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7C219" w14:textId="10E3C00C" w:rsidR="00C70D9C" w:rsidRDefault="00C70D9C" w:rsidP="009C386A">
      <w:pPr>
        <w:jc w:val="center"/>
        <w:rPr>
          <w:rFonts w:eastAsia="Times New Roman" w:cs="Times New Roman"/>
          <w:sz w:val="28"/>
          <w:szCs w:val="36"/>
        </w:rPr>
      </w:pPr>
      <w:proofErr w:type="spellStart"/>
      <w:r>
        <w:rPr>
          <w:rFonts w:eastAsia="Times New Roman" w:cs="Times New Roman"/>
          <w:sz w:val="28"/>
          <w:szCs w:val="36"/>
        </w:rPr>
        <w:t>Entirillado</w:t>
      </w:r>
      <w:proofErr w:type="spellEnd"/>
      <w:r>
        <w:rPr>
          <w:rFonts w:eastAsia="Times New Roman" w:cs="Times New Roman"/>
          <w:sz w:val="28"/>
          <w:szCs w:val="36"/>
        </w:rPr>
        <w:t xml:space="preserve"> electrónico</w:t>
      </w:r>
    </w:p>
    <w:p w14:paraId="303E3FBB" w14:textId="24576C05" w:rsidR="009C386A" w:rsidRPr="00120574" w:rsidRDefault="000F21B3" w:rsidP="009C386A">
      <w:pPr>
        <w:jc w:val="center"/>
        <w:rPr>
          <w:rFonts w:eastAsia="Times New Roman" w:cs="Times New Roman"/>
          <w:sz w:val="28"/>
          <w:szCs w:val="36"/>
        </w:rPr>
      </w:pPr>
      <w:r w:rsidRPr="00120574">
        <w:rPr>
          <w:rFonts w:eastAsia="Times New Roman" w:cs="Times New Roman"/>
          <w:sz w:val="28"/>
          <w:szCs w:val="36"/>
        </w:rPr>
        <w:t>GOBIERNO</w:t>
      </w:r>
      <w:r w:rsidR="007030F2" w:rsidRPr="00120574">
        <w:rPr>
          <w:rFonts w:eastAsia="Times New Roman" w:cs="Times New Roman"/>
          <w:sz w:val="28"/>
          <w:szCs w:val="36"/>
        </w:rPr>
        <w:t xml:space="preserve"> </w:t>
      </w:r>
      <w:r w:rsidR="009C386A" w:rsidRPr="00120574">
        <w:rPr>
          <w:rFonts w:eastAsia="Times New Roman" w:cs="Times New Roman"/>
          <w:sz w:val="28"/>
          <w:szCs w:val="36"/>
        </w:rPr>
        <w:t>DE PUERTO RICO</w:t>
      </w:r>
    </w:p>
    <w:p w14:paraId="5F1FB416" w14:textId="77777777" w:rsidR="009C386A" w:rsidRPr="00120574" w:rsidRDefault="009C386A" w:rsidP="009C386A">
      <w:pPr>
        <w:jc w:val="center"/>
        <w:rPr>
          <w:rFonts w:eastAsia="Times New Roman" w:cs="Times New Roman"/>
          <w:szCs w:val="20"/>
        </w:rPr>
      </w:pPr>
    </w:p>
    <w:p w14:paraId="5E4C90F3" w14:textId="5B607DC9" w:rsidR="009C386A" w:rsidRPr="001A6231" w:rsidRDefault="001A6231" w:rsidP="001A6231">
      <w:pPr>
        <w:rPr>
          <w:rFonts w:eastAsia="Times New Roman" w:cs="Times New Roman"/>
          <w:szCs w:val="20"/>
          <w:lang w:val="it-IT"/>
        </w:rPr>
      </w:pPr>
      <w:r w:rsidRPr="001A6231">
        <w:rPr>
          <w:rFonts w:eastAsia="Times New Roman" w:cs="Times New Roman"/>
          <w:szCs w:val="20"/>
          <w:lang w:val="it-IT"/>
        </w:rPr>
        <w:t>20ma.</w:t>
      </w:r>
      <w:r w:rsidR="009C386A" w:rsidRPr="001A6231">
        <w:rPr>
          <w:rFonts w:eastAsia="Times New Roman" w:cs="Times New Roman"/>
          <w:szCs w:val="20"/>
          <w:lang w:val="it-IT"/>
        </w:rPr>
        <w:t xml:space="preserve"> Asamblea</w:t>
      </w:r>
      <w:r w:rsidR="009C386A"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Pr>
          <w:rFonts w:eastAsia="Times New Roman" w:cs="Times New Roman"/>
          <w:szCs w:val="20"/>
          <w:lang w:val="it-IT"/>
        </w:rPr>
        <w:t xml:space="preserve">                       </w:t>
      </w:r>
      <w:r w:rsidRPr="001A6231">
        <w:rPr>
          <w:rFonts w:eastAsia="Times New Roman" w:cs="Times New Roman"/>
          <w:szCs w:val="20"/>
          <w:lang w:val="it-IT"/>
        </w:rPr>
        <w:t>1ra.</w:t>
      </w:r>
      <w:r w:rsidR="009C386A" w:rsidRPr="001A6231">
        <w:rPr>
          <w:rFonts w:eastAsia="Times New Roman" w:cs="Times New Roman"/>
          <w:szCs w:val="20"/>
          <w:lang w:val="it-IT"/>
        </w:rPr>
        <w:t xml:space="preserve"> Sesión</w:t>
      </w:r>
    </w:p>
    <w:p w14:paraId="3A6195C4" w14:textId="4879C92C" w:rsidR="009C386A" w:rsidRPr="001A6231" w:rsidRDefault="009C386A" w:rsidP="001A6231">
      <w:pPr>
        <w:rPr>
          <w:rFonts w:eastAsia="Times New Roman" w:cs="Times New Roman"/>
          <w:szCs w:val="20"/>
          <w:lang w:val="it-IT"/>
        </w:rPr>
      </w:pPr>
      <w:r w:rsidRPr="001A6231">
        <w:rPr>
          <w:rFonts w:eastAsia="Times New Roman" w:cs="Times New Roman"/>
          <w:szCs w:val="20"/>
          <w:lang w:val="it-IT"/>
        </w:rPr>
        <w:tab/>
        <w:t>Legislativa</w:t>
      </w:r>
      <w:r w:rsidRPr="001A6231">
        <w:rPr>
          <w:rFonts w:eastAsia="Times New Roman" w:cs="Times New Roman"/>
          <w:szCs w:val="20"/>
          <w:lang w:val="it-IT"/>
        </w:rPr>
        <w:tab/>
      </w:r>
      <w:r w:rsidRPr="001A6231">
        <w:rPr>
          <w:rFonts w:eastAsia="Times New Roman" w:cs="Times New Roman"/>
          <w:szCs w:val="20"/>
          <w:lang w:val="it-IT"/>
        </w:rPr>
        <w:tab/>
        <w:t xml:space="preserve">      </w:t>
      </w:r>
      <w:r w:rsidR="007030F2" w:rsidRPr="001A6231">
        <w:rPr>
          <w:rFonts w:eastAsia="Times New Roman" w:cs="Times New Roman"/>
          <w:szCs w:val="20"/>
          <w:lang w:val="it-IT"/>
        </w:rPr>
        <w:t xml:space="preserve">     </w:t>
      </w:r>
      <w:r w:rsidR="00D97790" w:rsidRPr="001A6231">
        <w:rPr>
          <w:rFonts w:eastAsia="Times New Roman" w:cs="Times New Roman"/>
          <w:szCs w:val="20"/>
          <w:lang w:val="it-IT"/>
        </w:rPr>
        <w:t xml:space="preserve">       </w:t>
      </w:r>
      <w:r w:rsidR="001A6231" w:rsidRPr="001A6231">
        <w:rPr>
          <w:rFonts w:eastAsia="Times New Roman" w:cs="Times New Roman"/>
          <w:szCs w:val="20"/>
          <w:lang w:val="it-IT"/>
        </w:rPr>
        <w:t xml:space="preserve">                                                             </w:t>
      </w:r>
      <w:r w:rsidR="001A6231">
        <w:rPr>
          <w:rFonts w:eastAsia="Times New Roman" w:cs="Times New Roman"/>
          <w:szCs w:val="20"/>
          <w:lang w:val="it-IT"/>
        </w:rPr>
        <w:t xml:space="preserve">           </w:t>
      </w:r>
      <w:r w:rsidR="007030F2" w:rsidRPr="001A6231">
        <w:rPr>
          <w:rFonts w:eastAsia="Times New Roman" w:cs="Times New Roman"/>
          <w:szCs w:val="20"/>
          <w:lang w:val="it-IT"/>
        </w:rPr>
        <w:t>O</w:t>
      </w:r>
      <w:r w:rsidRPr="001A6231">
        <w:rPr>
          <w:rFonts w:eastAsia="Times New Roman" w:cs="Times New Roman"/>
          <w:szCs w:val="20"/>
          <w:lang w:val="it-IT"/>
        </w:rPr>
        <w:t>rdinaria</w:t>
      </w:r>
    </w:p>
    <w:p w14:paraId="4CBB51BA" w14:textId="77777777" w:rsidR="009C386A" w:rsidRPr="001A6231" w:rsidRDefault="009C386A" w:rsidP="009C386A">
      <w:pPr>
        <w:rPr>
          <w:rFonts w:eastAsia="Times New Roman" w:cs="Times New Roman"/>
          <w:szCs w:val="20"/>
          <w:lang w:val="it-IT"/>
        </w:rPr>
      </w:pPr>
    </w:p>
    <w:p w14:paraId="493B1806" w14:textId="69A834EB" w:rsidR="009C386A" w:rsidRPr="00120574" w:rsidRDefault="00617E5F" w:rsidP="009C386A">
      <w:pPr>
        <w:widowControl w:val="0"/>
        <w:suppressLineNumbers/>
        <w:jc w:val="center"/>
        <w:rPr>
          <w:rFonts w:eastAsia="Book Antiqua" w:cs="Times New Roman"/>
          <w:b/>
          <w:sz w:val="36"/>
          <w:szCs w:val="24"/>
        </w:rPr>
      </w:pPr>
      <w:r w:rsidRPr="00120574">
        <w:rPr>
          <w:rFonts w:eastAsia="Times New Roman" w:cs="Times New Roman"/>
          <w:b/>
          <w:sz w:val="36"/>
          <w:szCs w:val="24"/>
        </w:rPr>
        <w:t>CÁMARA DE REPRESENTANTES</w:t>
      </w:r>
    </w:p>
    <w:p w14:paraId="7B1574A5" w14:textId="77777777" w:rsidR="009C386A" w:rsidRPr="00120574" w:rsidRDefault="009C386A" w:rsidP="009C386A">
      <w:pPr>
        <w:widowControl w:val="0"/>
        <w:suppressLineNumbers/>
        <w:jc w:val="center"/>
        <w:rPr>
          <w:rFonts w:eastAsia="Book Antiqua" w:cs="Book Antiqua"/>
          <w:szCs w:val="24"/>
        </w:rPr>
      </w:pPr>
    </w:p>
    <w:p w14:paraId="0128CF50" w14:textId="50154DBF" w:rsidR="009C386A" w:rsidRPr="00120574" w:rsidRDefault="009C386A" w:rsidP="009C386A">
      <w:pPr>
        <w:widowControl w:val="0"/>
        <w:suppressLineNumbers/>
        <w:jc w:val="center"/>
        <w:rPr>
          <w:rFonts w:eastAsia="Book Antiqua" w:cs="Times New Roman"/>
          <w:b/>
          <w:sz w:val="52"/>
          <w:szCs w:val="24"/>
        </w:rPr>
      </w:pPr>
      <w:r w:rsidRPr="00120574">
        <w:rPr>
          <w:rFonts w:eastAsia="Times New Roman" w:cs="Times New Roman"/>
          <w:b/>
          <w:sz w:val="52"/>
          <w:szCs w:val="24"/>
        </w:rPr>
        <w:t>P. de</w:t>
      </w:r>
      <w:r w:rsidR="00617E5F" w:rsidRPr="00120574">
        <w:rPr>
          <w:rFonts w:eastAsia="Times New Roman" w:cs="Times New Roman"/>
          <w:b/>
          <w:sz w:val="52"/>
          <w:szCs w:val="24"/>
        </w:rPr>
        <w:t xml:space="preserve"> la C</w:t>
      </w:r>
      <w:r w:rsidRPr="00120574">
        <w:rPr>
          <w:rFonts w:eastAsia="Times New Roman" w:cs="Times New Roman"/>
          <w:b/>
          <w:sz w:val="52"/>
          <w:szCs w:val="24"/>
        </w:rPr>
        <w:t>.</w:t>
      </w:r>
      <w:r w:rsidR="005F3484" w:rsidRPr="00120574">
        <w:rPr>
          <w:rFonts w:eastAsia="Times New Roman" w:cs="Times New Roman"/>
          <w:b/>
          <w:sz w:val="52"/>
          <w:szCs w:val="24"/>
        </w:rPr>
        <w:t xml:space="preserve"> </w:t>
      </w:r>
      <w:r w:rsidR="00103ED9">
        <w:rPr>
          <w:rFonts w:eastAsia="Times New Roman" w:cs="Times New Roman"/>
          <w:b/>
          <w:sz w:val="52"/>
          <w:szCs w:val="24"/>
        </w:rPr>
        <w:t>698</w:t>
      </w:r>
    </w:p>
    <w:p w14:paraId="15A5DCCC" w14:textId="77777777" w:rsidR="009C386A" w:rsidRPr="00120574" w:rsidRDefault="009C386A" w:rsidP="009C386A">
      <w:pPr>
        <w:widowControl w:val="0"/>
        <w:suppressLineNumbers/>
        <w:jc w:val="center"/>
        <w:rPr>
          <w:rFonts w:eastAsia="Book Antiqua" w:cs="Book Antiqua"/>
          <w:szCs w:val="24"/>
        </w:rPr>
      </w:pPr>
    </w:p>
    <w:p w14:paraId="17144273" w14:textId="55E963F9" w:rsidR="009C386A" w:rsidRPr="00120574" w:rsidRDefault="00F8409F" w:rsidP="009C386A">
      <w:pPr>
        <w:widowControl w:val="0"/>
        <w:suppressLineNumbers/>
        <w:tabs>
          <w:tab w:val="left" w:pos="8186"/>
        </w:tabs>
        <w:jc w:val="center"/>
        <w:rPr>
          <w:rFonts w:eastAsia="Book Antiqua" w:cs="Book Antiqua"/>
          <w:szCs w:val="24"/>
        </w:rPr>
      </w:pPr>
      <w:r w:rsidRPr="00120574">
        <w:rPr>
          <w:rFonts w:eastAsia="Times New Roman" w:cs="Times New Roman"/>
          <w:szCs w:val="24"/>
        </w:rPr>
        <w:t xml:space="preserve"> </w:t>
      </w:r>
      <w:r w:rsidR="00B86F1C">
        <w:rPr>
          <w:rFonts w:eastAsia="Times New Roman" w:cs="Times New Roman"/>
          <w:szCs w:val="24"/>
        </w:rPr>
        <w:t xml:space="preserve">27 DE </w:t>
      </w:r>
      <w:r w:rsidR="00FD6197" w:rsidRPr="00120574">
        <w:rPr>
          <w:rFonts w:eastAsia="Times New Roman" w:cs="Times New Roman"/>
          <w:szCs w:val="24"/>
        </w:rPr>
        <w:t>MAYO</w:t>
      </w:r>
      <w:r w:rsidR="003E4D4E" w:rsidRPr="00120574">
        <w:rPr>
          <w:rFonts w:eastAsia="Times New Roman" w:cs="Times New Roman"/>
          <w:szCs w:val="24"/>
        </w:rPr>
        <w:t xml:space="preserve"> DE 202</w:t>
      </w:r>
      <w:r w:rsidR="00A339B5" w:rsidRPr="00120574">
        <w:rPr>
          <w:rFonts w:eastAsia="Times New Roman" w:cs="Times New Roman"/>
          <w:szCs w:val="24"/>
        </w:rPr>
        <w:t>5</w:t>
      </w:r>
    </w:p>
    <w:p w14:paraId="7F45E790" w14:textId="77777777" w:rsidR="009C386A" w:rsidRPr="00120574" w:rsidRDefault="009C386A" w:rsidP="009C386A">
      <w:pPr>
        <w:widowControl w:val="0"/>
        <w:suppressLineNumbers/>
        <w:jc w:val="center"/>
        <w:rPr>
          <w:rFonts w:eastAsia="Book Antiqua" w:cs="Book Antiqua"/>
          <w:i/>
          <w:iCs/>
          <w:szCs w:val="24"/>
        </w:rPr>
      </w:pPr>
    </w:p>
    <w:p w14:paraId="3F968BD9" w14:textId="12D9A5F9" w:rsidR="00E82AB3" w:rsidRPr="00120574" w:rsidRDefault="002E5A3F" w:rsidP="00E82AB3">
      <w:pPr>
        <w:suppressLineNumbers/>
        <w:ind w:left="720" w:hanging="720"/>
        <w:jc w:val="center"/>
        <w:rPr>
          <w:i/>
          <w:iCs/>
          <w:color w:val="1D2228"/>
          <w:szCs w:val="24"/>
          <w:shd w:val="clear" w:color="auto" w:fill="FFFFFF"/>
        </w:rPr>
      </w:pPr>
      <w:r w:rsidRPr="00120574">
        <w:rPr>
          <w:color w:val="1D2228"/>
          <w:szCs w:val="24"/>
          <w:shd w:val="clear" w:color="auto" w:fill="FFFFFF"/>
        </w:rPr>
        <w:t>Presentado por</w:t>
      </w:r>
      <w:r w:rsidR="00E82AB3" w:rsidRPr="00120574">
        <w:rPr>
          <w:color w:val="1D2228"/>
          <w:szCs w:val="24"/>
          <w:shd w:val="clear" w:color="auto" w:fill="FFFFFF"/>
        </w:rPr>
        <w:t xml:space="preserve"> el representante </w:t>
      </w:r>
      <w:r w:rsidR="00FD6197" w:rsidRPr="00120574">
        <w:rPr>
          <w:i/>
          <w:iCs/>
          <w:color w:val="1D2228"/>
          <w:szCs w:val="24"/>
          <w:shd w:val="clear" w:color="auto" w:fill="FFFFFF"/>
        </w:rPr>
        <w:t>Peña Ramírez</w:t>
      </w:r>
    </w:p>
    <w:p w14:paraId="75D1135C" w14:textId="77777777" w:rsidR="00FD05FF" w:rsidRPr="00120574" w:rsidRDefault="00FD05FF" w:rsidP="008B246E">
      <w:pPr>
        <w:suppressLineNumbers/>
        <w:ind w:left="720" w:hanging="720"/>
        <w:jc w:val="center"/>
        <w:rPr>
          <w:rFonts w:eastAsia="Times New Roman" w:cs="Times New Roman"/>
          <w:szCs w:val="20"/>
        </w:rPr>
      </w:pPr>
    </w:p>
    <w:p w14:paraId="2BE12B0F" w14:textId="4F352EF7" w:rsidR="009C386A" w:rsidRPr="00120574" w:rsidRDefault="00B93BF3" w:rsidP="002E5A3F">
      <w:pPr>
        <w:suppressLineNumbers/>
        <w:ind w:left="720" w:hanging="720"/>
        <w:jc w:val="center"/>
        <w:rPr>
          <w:rFonts w:eastAsia="Times New Roman" w:cs="Times New Roman"/>
          <w:szCs w:val="20"/>
        </w:rPr>
      </w:pPr>
      <w:r w:rsidRPr="00120574">
        <w:rPr>
          <w:rFonts w:eastAsia="Times New Roman" w:cs="Times New Roman"/>
          <w:szCs w:val="20"/>
        </w:rPr>
        <w:t xml:space="preserve">Referido a </w:t>
      </w:r>
      <w:r w:rsidR="00AE3577" w:rsidRPr="00120574">
        <w:rPr>
          <w:rFonts w:cs="CG Times (W1)"/>
          <w:szCs w:val="24"/>
        </w:rPr>
        <w:t>la Comisión de</w:t>
      </w:r>
      <w:r w:rsidR="00FD6197" w:rsidRPr="00120574">
        <w:rPr>
          <w:rFonts w:cs="CG Times (W1)"/>
          <w:szCs w:val="24"/>
        </w:rPr>
        <w:t xml:space="preserve"> </w:t>
      </w:r>
      <w:r w:rsidR="00C24204">
        <w:rPr>
          <w:rFonts w:cs="CG Times (W1)"/>
          <w:szCs w:val="24"/>
        </w:rPr>
        <w:t>lo Jurídico</w:t>
      </w:r>
    </w:p>
    <w:p w14:paraId="4D33DEB4" w14:textId="59F38E35" w:rsidR="00ED5FD3" w:rsidRPr="00120574" w:rsidRDefault="00ED5FD3" w:rsidP="009C386A">
      <w:pPr>
        <w:jc w:val="center"/>
        <w:rPr>
          <w:rFonts w:eastAsia="Times New Roman" w:cs="Times New Roman"/>
          <w:b/>
          <w:sz w:val="28"/>
          <w:szCs w:val="20"/>
        </w:rPr>
      </w:pPr>
    </w:p>
    <w:p w14:paraId="783DA8A0" w14:textId="0A828BA5" w:rsidR="009C386A" w:rsidRPr="00120574" w:rsidRDefault="009C386A" w:rsidP="009C386A">
      <w:pPr>
        <w:jc w:val="center"/>
        <w:rPr>
          <w:rFonts w:eastAsia="Times New Roman" w:cs="Times New Roman"/>
          <w:b/>
          <w:sz w:val="28"/>
          <w:szCs w:val="20"/>
        </w:rPr>
      </w:pPr>
      <w:r w:rsidRPr="00120574">
        <w:rPr>
          <w:rFonts w:eastAsia="Times New Roman" w:cs="Times New Roman"/>
          <w:b/>
          <w:sz w:val="28"/>
          <w:szCs w:val="20"/>
        </w:rPr>
        <w:t>LEY</w:t>
      </w:r>
    </w:p>
    <w:p w14:paraId="707AFB95" w14:textId="77777777" w:rsidR="009C386A" w:rsidRPr="00120574" w:rsidRDefault="009C386A" w:rsidP="009C386A">
      <w:pPr>
        <w:jc w:val="both"/>
        <w:rPr>
          <w:rFonts w:eastAsia="Times New Roman" w:cs="Times New Roman"/>
          <w:szCs w:val="20"/>
        </w:rPr>
      </w:pPr>
    </w:p>
    <w:p w14:paraId="768A15FC" w14:textId="0BCEA424" w:rsidR="00CD0541" w:rsidRPr="00120574" w:rsidRDefault="00CD0541" w:rsidP="00CD0541">
      <w:pPr>
        <w:ind w:left="720" w:hanging="720"/>
        <w:jc w:val="both"/>
        <w:rPr>
          <w:rFonts w:ascii="Mongolian Baiti" w:hAnsi="Mongolian Baiti" w:cs="Mongolian Baiti"/>
        </w:rPr>
      </w:pPr>
      <w:r w:rsidRPr="00120574">
        <w:rPr>
          <w:szCs w:val="24"/>
        </w:rPr>
        <w:t xml:space="preserve">Para enmendar la Regla </w:t>
      </w:r>
      <w:r w:rsidR="00D37C43" w:rsidRPr="00120574">
        <w:rPr>
          <w:szCs w:val="24"/>
        </w:rPr>
        <w:t>247(b)</w:t>
      </w:r>
      <w:r w:rsidRPr="00120574">
        <w:rPr>
          <w:szCs w:val="24"/>
        </w:rPr>
        <w:t xml:space="preserve"> de las Reglas de Procedimiento Criminal de 1963, según enmendadas,</w:t>
      </w:r>
      <w:r w:rsidR="00D37C43" w:rsidRPr="00120574">
        <w:t xml:space="preserve"> </w:t>
      </w:r>
      <w:r w:rsidR="00D37C43" w:rsidRPr="00120574">
        <w:rPr>
          <w:szCs w:val="24"/>
        </w:rPr>
        <w:t xml:space="preserve">a los fines de establecer los criterios específicos que deberán considerarse por los Tribunales antes de decretar el sobreseimiento motu </w:t>
      </w:r>
      <w:r w:rsidR="00D37C43" w:rsidRPr="00580DE3">
        <w:rPr>
          <w:strike/>
          <w:szCs w:val="24"/>
        </w:rPr>
        <w:t>propio</w:t>
      </w:r>
      <w:r w:rsidR="00D37C43" w:rsidRPr="00120574">
        <w:rPr>
          <w:szCs w:val="24"/>
        </w:rPr>
        <w:t xml:space="preserve"> </w:t>
      </w:r>
      <w:r w:rsidR="00580DE3">
        <w:rPr>
          <w:i/>
          <w:iCs/>
          <w:szCs w:val="24"/>
          <w:u w:val="single"/>
        </w:rPr>
        <w:t>proprio</w:t>
      </w:r>
      <w:r w:rsidR="00580DE3" w:rsidRPr="00580DE3">
        <w:rPr>
          <w:szCs w:val="24"/>
        </w:rPr>
        <w:t xml:space="preserve"> </w:t>
      </w:r>
      <w:r w:rsidR="00D37C43" w:rsidRPr="00120574">
        <w:rPr>
          <w:szCs w:val="24"/>
        </w:rPr>
        <w:t>de una denuncia o acusación</w:t>
      </w:r>
      <w:r w:rsidRPr="00120574">
        <w:rPr>
          <w:szCs w:val="24"/>
        </w:rPr>
        <w:t xml:space="preserve">; </w:t>
      </w:r>
      <w:r w:rsidR="006B7EE5">
        <w:rPr>
          <w:i/>
          <w:iCs/>
          <w:szCs w:val="24"/>
          <w:u w:val="single"/>
        </w:rPr>
        <w:t xml:space="preserve">para </w:t>
      </w:r>
      <w:r w:rsidR="006B7EE5" w:rsidRPr="006B7EE5">
        <w:rPr>
          <w:i/>
          <w:iCs/>
          <w:szCs w:val="24"/>
          <w:u w:val="single"/>
        </w:rPr>
        <w:t>enmendar la Regla 72(2)</w:t>
      </w:r>
      <w:r w:rsidR="007818C9">
        <w:rPr>
          <w:i/>
          <w:iCs/>
          <w:szCs w:val="24"/>
          <w:u w:val="single"/>
        </w:rPr>
        <w:t xml:space="preserve"> y (7)</w:t>
      </w:r>
      <w:r w:rsidR="006B7EE5" w:rsidRPr="006B7EE5">
        <w:rPr>
          <w:i/>
          <w:iCs/>
          <w:szCs w:val="24"/>
          <w:u w:val="single"/>
        </w:rPr>
        <w:t xml:space="preserve"> de Procedimiento Criminal de 1963, según enmendadas, para que se le notifique por escrito a la víctima cualquier preacuerdo preliminar, y para que se le permita a la víctima expresarle al tribunal su postura sobre el acuerdo al que lleguen las partes</w:t>
      </w:r>
      <w:r w:rsidR="00F570AF">
        <w:rPr>
          <w:i/>
          <w:iCs/>
          <w:szCs w:val="24"/>
          <w:u w:val="single"/>
        </w:rPr>
        <w:t>;</w:t>
      </w:r>
      <w:r w:rsidR="00F570AF" w:rsidRPr="00F570AF">
        <w:rPr>
          <w:szCs w:val="24"/>
        </w:rPr>
        <w:t xml:space="preserve"> </w:t>
      </w:r>
      <w:r w:rsidRPr="00120574">
        <w:rPr>
          <w:szCs w:val="24"/>
        </w:rPr>
        <w:t xml:space="preserve">y para otros fines relacionados. </w:t>
      </w:r>
    </w:p>
    <w:p w14:paraId="32A5472E" w14:textId="77777777" w:rsidR="00420585" w:rsidRPr="00120574" w:rsidRDefault="00420585" w:rsidP="00A44C28">
      <w:pPr>
        <w:ind w:left="720" w:hanging="720"/>
        <w:jc w:val="both"/>
        <w:rPr>
          <w:rFonts w:eastAsia="Book Antiqua" w:cs="Book Antiqua"/>
          <w:color w:val="000000" w:themeColor="text1"/>
          <w:szCs w:val="24"/>
        </w:rPr>
      </w:pPr>
    </w:p>
    <w:p w14:paraId="54472BD0" w14:textId="43D9DB15" w:rsidR="009B6886" w:rsidRPr="00120574" w:rsidRDefault="009C386A" w:rsidP="00EE0EFF">
      <w:pPr>
        <w:ind w:firstLine="360"/>
        <w:jc w:val="center"/>
        <w:rPr>
          <w:rFonts w:eastAsia="Times New Roman" w:cs="Times New Roman"/>
          <w:szCs w:val="20"/>
        </w:rPr>
      </w:pPr>
      <w:r w:rsidRPr="00120574">
        <w:rPr>
          <w:rFonts w:eastAsia="Times New Roman" w:cs="Times New Roman"/>
          <w:szCs w:val="20"/>
        </w:rPr>
        <w:t>EXPOSICIÓN DE MOTIVOS</w:t>
      </w:r>
    </w:p>
    <w:p w14:paraId="4E6C559B" w14:textId="77777777" w:rsidR="009B6886" w:rsidRPr="00120574" w:rsidRDefault="009B6886" w:rsidP="00A020F5">
      <w:pPr>
        <w:jc w:val="both"/>
        <w:rPr>
          <w:rFonts w:eastAsia="Times New Roman" w:cs="Times New Roman"/>
          <w:szCs w:val="20"/>
        </w:rPr>
      </w:pPr>
    </w:p>
    <w:p w14:paraId="58900649" w14:textId="1D7CC40F" w:rsidR="0043316D" w:rsidRPr="00C16628" w:rsidRDefault="0043316D" w:rsidP="001A6231">
      <w:pPr>
        <w:ind w:firstLine="720"/>
        <w:jc w:val="both"/>
        <w:rPr>
          <w:strike/>
        </w:rPr>
      </w:pPr>
      <w:r w:rsidRPr="00C16628">
        <w:rPr>
          <w:strike/>
        </w:rPr>
        <w:t>Es política pública del Gobierno de Puerto Rico, repudiar enérgicamente la violencia doméstica por ser contraria a los valores de paz, dignidad y respeto que este pueblo quiere mantener para los individuos, las familias y la comunidad en general. A través de esta política pública se propicia el desarrollo, establecimiento y fortalecimiento de remedios eficaces para ofrecer protección y ayuda a las víctimas, alternativas para la rehabilitación de lo</w:t>
      </w:r>
      <w:r w:rsidR="009D0589" w:rsidRPr="00C16628">
        <w:rPr>
          <w:strike/>
        </w:rPr>
        <w:t>s</w:t>
      </w:r>
      <w:r w:rsidRPr="00C16628">
        <w:rPr>
          <w:strike/>
        </w:rPr>
        <w:t xml:space="preserve"> ofensores y estrategias para la prevención de la violencia doméstica.</w:t>
      </w:r>
    </w:p>
    <w:p w14:paraId="0C3B581E" w14:textId="77777777" w:rsidR="001A6231" w:rsidRPr="00C16628" w:rsidRDefault="001A6231" w:rsidP="001A6231">
      <w:pPr>
        <w:ind w:firstLine="720"/>
        <w:jc w:val="both"/>
        <w:rPr>
          <w:strike/>
        </w:rPr>
      </w:pPr>
    </w:p>
    <w:p w14:paraId="244FB6BE" w14:textId="77777777" w:rsidR="0043316D" w:rsidRPr="00C16628" w:rsidRDefault="0043316D" w:rsidP="001A6231">
      <w:pPr>
        <w:ind w:firstLine="720"/>
        <w:jc w:val="both"/>
        <w:rPr>
          <w:strike/>
        </w:rPr>
      </w:pPr>
      <w:r w:rsidRPr="00C16628">
        <w:rPr>
          <w:strike/>
        </w:rPr>
        <w:t xml:space="preserve">En los últimos años Puerto Rico ha experimentado un ascenso sostenido y alarmante en la violencia doméstica y de género, a pesar de que desde enero de 2021 rige un estado de emergencia declarado por el Ejecutivo para atender esta crisis. Según datos de la Policía de Puerto Rico, ha habido un crecimiento del 62 % entre 2022 y 2024 coincide con un fuerte repunte de los feminicidios. El Observatorio de Equidad de Género (OEG) </w:t>
      </w:r>
      <w:r w:rsidRPr="00C16628">
        <w:rPr>
          <w:strike/>
        </w:rPr>
        <w:lastRenderedPageBreak/>
        <w:t>documentó 81 feminicidios durante 2024, la cifra anual más alta desde que se recopilan estadísticas sistemáticas.</w:t>
      </w:r>
    </w:p>
    <w:p w14:paraId="1395312D" w14:textId="77777777" w:rsidR="001A6231" w:rsidRPr="00C16628" w:rsidRDefault="001A6231" w:rsidP="001A6231">
      <w:pPr>
        <w:ind w:firstLine="720"/>
        <w:jc w:val="both"/>
        <w:rPr>
          <w:strike/>
        </w:rPr>
      </w:pPr>
    </w:p>
    <w:p w14:paraId="40E4CE93" w14:textId="58DCA917" w:rsidR="0043316D" w:rsidRPr="00C16628" w:rsidRDefault="0043316D" w:rsidP="001A6231">
      <w:pPr>
        <w:ind w:firstLine="720"/>
        <w:jc w:val="both"/>
        <w:rPr>
          <w:strike/>
        </w:rPr>
      </w:pPr>
      <w:r w:rsidRPr="00C16628">
        <w:rPr>
          <w:strike/>
        </w:rPr>
        <w:t>En apenas los primeros tres meses de 2025 el mismo organismo ya reporta 12 feminicidios, 45 intentos y 18 desapariciones de mujeres y niñas, con 15 menores huérfanos.</w:t>
      </w:r>
    </w:p>
    <w:p w14:paraId="67FF9A13" w14:textId="77777777" w:rsidR="001A6231" w:rsidRDefault="001A6231" w:rsidP="001A6231">
      <w:pPr>
        <w:ind w:firstLine="720"/>
        <w:jc w:val="both"/>
      </w:pPr>
    </w:p>
    <w:p w14:paraId="4A57481A" w14:textId="71E964E9" w:rsidR="0043316D" w:rsidRDefault="0043316D" w:rsidP="001A6231">
      <w:pPr>
        <w:ind w:firstLine="720"/>
        <w:jc w:val="both"/>
      </w:pPr>
      <w:r w:rsidRPr="00982527">
        <w:rPr>
          <w:strike/>
        </w:rPr>
        <w:t>Estos indicadores evidencian que, a pesar de la declaración de emergencia y la creación del Comité P.A.R.E., las</w:t>
      </w:r>
      <w:r w:rsidRPr="0043316D">
        <w:t xml:space="preserve"> </w:t>
      </w:r>
      <w:proofErr w:type="spellStart"/>
      <w:r w:rsidR="00982527">
        <w:rPr>
          <w:i/>
          <w:iCs/>
          <w:u w:val="single"/>
        </w:rPr>
        <w:t>Las</w:t>
      </w:r>
      <w:proofErr w:type="spellEnd"/>
      <w:r w:rsidR="00982527" w:rsidRPr="00982527">
        <w:t xml:space="preserve"> </w:t>
      </w:r>
      <w:r w:rsidRPr="0043316D">
        <w:t xml:space="preserve">herramientas procesales actuales no bastan para detener la escalada de violencia ni para </w:t>
      </w:r>
      <w:r w:rsidRPr="00076BB3">
        <w:rPr>
          <w:strike/>
        </w:rPr>
        <w:t>garantizar</w:t>
      </w:r>
      <w:r w:rsidRPr="0043316D">
        <w:t xml:space="preserve"> </w:t>
      </w:r>
      <w:r w:rsidR="00076BB3">
        <w:rPr>
          <w:i/>
          <w:iCs/>
          <w:u w:val="single"/>
        </w:rPr>
        <w:t>garantizarles</w:t>
      </w:r>
      <w:r w:rsidR="00076BB3" w:rsidRPr="00076BB3">
        <w:t xml:space="preserve"> </w:t>
      </w:r>
      <w:r w:rsidRPr="0043316D">
        <w:t>a las víctimas una participación efectiva en las decisiones que afectan su seguridad y su derecho a justicia.</w:t>
      </w:r>
    </w:p>
    <w:p w14:paraId="074337D8" w14:textId="77777777" w:rsidR="001A6231" w:rsidRDefault="001A6231" w:rsidP="001A6231">
      <w:pPr>
        <w:ind w:firstLine="720"/>
        <w:jc w:val="both"/>
      </w:pPr>
    </w:p>
    <w:p w14:paraId="69D127B3" w14:textId="6ABAE3B8" w:rsidR="0043316D" w:rsidRDefault="0043316D" w:rsidP="001A6231">
      <w:pPr>
        <w:ind w:firstLine="720"/>
        <w:jc w:val="both"/>
      </w:pPr>
      <w:r w:rsidRPr="0043316D">
        <w:t xml:space="preserve">Resulta, por tanto, indispensable </w:t>
      </w:r>
      <w:r w:rsidRPr="0043316D">
        <w:rPr>
          <w:b/>
          <w:bCs/>
        </w:rPr>
        <w:t>reforzar las Reglas de Procedimiento Criminal</w:t>
      </w:r>
      <w:r w:rsidRPr="0043316D">
        <w:t xml:space="preserve"> </w:t>
      </w:r>
      <w:r>
        <w:t xml:space="preserve">de Puerto Rico </w:t>
      </w:r>
      <w:r w:rsidRPr="0043316D">
        <w:t>para:</w:t>
      </w:r>
    </w:p>
    <w:p w14:paraId="2EB38962" w14:textId="77777777" w:rsidR="0043316D" w:rsidRDefault="0043316D" w:rsidP="001A6231">
      <w:pPr>
        <w:ind w:firstLine="720"/>
        <w:jc w:val="both"/>
      </w:pPr>
    </w:p>
    <w:p w14:paraId="78EB6CE2" w14:textId="4BED3908" w:rsidR="0043316D" w:rsidRPr="0043316D" w:rsidRDefault="0043316D" w:rsidP="001A6231">
      <w:pPr>
        <w:pStyle w:val="ListParagraph"/>
        <w:numPr>
          <w:ilvl w:val="0"/>
          <w:numId w:val="17"/>
        </w:numPr>
        <w:ind w:left="0" w:firstLine="720"/>
        <w:jc w:val="both"/>
      </w:pPr>
      <w:r>
        <w:t>U</w:t>
      </w:r>
      <w:r w:rsidRPr="0043316D">
        <w:t>niform</w:t>
      </w:r>
      <w:r>
        <w:t>ar los criterios</w:t>
      </w:r>
      <w:r w:rsidRPr="0043316D">
        <w:t xml:space="preserve"> de evaluación judicial antes de archivar </w:t>
      </w:r>
      <w:r>
        <w:t xml:space="preserve">la denuncia o acusaciones; </w:t>
      </w:r>
      <w:r w:rsidRPr="0043316D">
        <w:t>o avalar acuerdos de culpabilidad.</w:t>
      </w:r>
    </w:p>
    <w:p w14:paraId="52A7F411" w14:textId="04F198FF" w:rsidR="0043316D" w:rsidRDefault="0043316D" w:rsidP="001A6231">
      <w:pPr>
        <w:numPr>
          <w:ilvl w:val="0"/>
          <w:numId w:val="17"/>
        </w:numPr>
        <w:ind w:left="0" w:firstLine="720"/>
        <w:jc w:val="both"/>
      </w:pPr>
      <w:r w:rsidRPr="0043316D">
        <w:t>Elevar a rango de ley el derecho de la víctima a ser oída en sobreseimientos y “</w:t>
      </w:r>
      <w:proofErr w:type="spellStart"/>
      <w:r w:rsidRPr="0043316D">
        <w:t>plea</w:t>
      </w:r>
      <w:proofErr w:type="spellEnd"/>
      <w:r w:rsidRPr="0043316D">
        <w:t xml:space="preserve"> </w:t>
      </w:r>
      <w:proofErr w:type="spellStart"/>
      <w:r w:rsidRPr="0043316D">
        <w:t>bargains</w:t>
      </w:r>
      <w:proofErr w:type="spellEnd"/>
      <w:r w:rsidRPr="0043316D">
        <w:t>”.</w:t>
      </w:r>
    </w:p>
    <w:p w14:paraId="33D27196" w14:textId="77777777" w:rsidR="00B86F1C" w:rsidRDefault="00B86F1C" w:rsidP="001A6231">
      <w:pPr>
        <w:ind w:firstLine="720"/>
        <w:jc w:val="both"/>
      </w:pPr>
    </w:p>
    <w:p w14:paraId="5217F8B5" w14:textId="1B658A0F" w:rsidR="00DF2FD5" w:rsidRDefault="0043316D" w:rsidP="001A6231">
      <w:pPr>
        <w:ind w:firstLine="720"/>
        <w:jc w:val="both"/>
      </w:pPr>
      <w:r>
        <w:t xml:space="preserve">Esta Ley es </w:t>
      </w:r>
      <w:r w:rsidR="00DF2FD5">
        <w:t>cónsona</w:t>
      </w:r>
      <w:r>
        <w:t xml:space="preserve"> con lo resuelto por el Tribunal </w:t>
      </w:r>
      <w:r w:rsidRPr="00F47843">
        <w:rPr>
          <w:strike/>
        </w:rPr>
        <w:t>de</w:t>
      </w:r>
      <w:r>
        <w:t xml:space="preserve"> Supremo de Puerto Rico en el caso </w:t>
      </w:r>
      <w:r w:rsidR="00DF2FD5" w:rsidRPr="00DF2FD5">
        <w:rPr>
          <w:i/>
          <w:iCs/>
        </w:rPr>
        <w:t>Pueblo v. Castellón Calderón</w:t>
      </w:r>
      <w:r w:rsidR="00DF2FD5">
        <w:t xml:space="preserve">, 151 </w:t>
      </w:r>
      <w:r w:rsidR="00DF2FD5" w:rsidRPr="00703E39">
        <w:rPr>
          <w:strike/>
        </w:rPr>
        <w:t>D.P.R.</w:t>
      </w:r>
      <w:r w:rsidR="00DF2FD5">
        <w:t xml:space="preserve"> </w:t>
      </w:r>
      <w:r w:rsidR="00703E39">
        <w:rPr>
          <w:i/>
          <w:iCs/>
          <w:u w:val="single"/>
        </w:rPr>
        <w:t>DPR</w:t>
      </w:r>
      <w:r w:rsidR="00703E39" w:rsidRPr="00703E39">
        <w:t xml:space="preserve"> </w:t>
      </w:r>
      <w:r w:rsidR="00DF2FD5">
        <w:t xml:space="preserve">15, 23-29 (2000), opinión mediante la cual se estableció que la discreción del juez de sobreseer una denuncia o acusación no es ilimitada y debe ejercerse tras una vista en la que participe el Ministerio Público y se consideren factores objetivos (naturaleza del delito, solidez probatoria, riesgos a la víctima, interés público, entre otros). </w:t>
      </w:r>
    </w:p>
    <w:p w14:paraId="5E7263B9" w14:textId="77777777" w:rsidR="001A6231" w:rsidRDefault="001A6231" w:rsidP="001A6231">
      <w:pPr>
        <w:ind w:firstLine="720"/>
        <w:jc w:val="both"/>
      </w:pPr>
    </w:p>
    <w:p w14:paraId="1C6A7A9C" w14:textId="7CAD27C5" w:rsidR="00DF2FD5" w:rsidRDefault="00DF2FD5" w:rsidP="001A6231">
      <w:pPr>
        <w:ind w:firstLine="720"/>
        <w:jc w:val="both"/>
      </w:pPr>
      <w:r>
        <w:t>Sin embargo, estos criterios nunca se han codificado expresamente en la Regla 247 de Procedimiento Criminal, lo que ocasiona prácticas dispares en nuestros tribunales.</w:t>
      </w:r>
    </w:p>
    <w:p w14:paraId="30B0203D" w14:textId="77777777" w:rsidR="001A6231" w:rsidRDefault="001A6231" w:rsidP="001A6231">
      <w:pPr>
        <w:ind w:firstLine="720"/>
        <w:jc w:val="both"/>
      </w:pPr>
    </w:p>
    <w:p w14:paraId="43925452" w14:textId="2F905272" w:rsidR="00DF2FD5" w:rsidRDefault="00DF2FD5" w:rsidP="001A6231">
      <w:pPr>
        <w:ind w:firstLine="720"/>
        <w:jc w:val="both"/>
      </w:pPr>
      <w:r>
        <w:t xml:space="preserve">Por otro lado, </w:t>
      </w:r>
      <w:r w:rsidRPr="00BC79B1">
        <w:rPr>
          <w:strike/>
        </w:rPr>
        <w:t>la participación de la víctima en las negociaciones al amparo de</w:t>
      </w:r>
      <w:r>
        <w:t xml:space="preserve"> la Regla 72 </w:t>
      </w:r>
      <w:r w:rsidR="00DD38CD" w:rsidRPr="00DD38CD">
        <w:rPr>
          <w:i/>
          <w:iCs/>
          <w:u w:val="single"/>
        </w:rPr>
        <w:t>de Procedimiento Criminal</w:t>
      </w:r>
      <w:r w:rsidR="00DD38CD">
        <w:t xml:space="preserve"> </w:t>
      </w:r>
      <w:r w:rsidRPr="00DD38CD">
        <w:rPr>
          <w:strike/>
        </w:rPr>
        <w:t>se reduce hoy a un mero derecho a ser notificada, sin</w:t>
      </w:r>
      <w:r>
        <w:t xml:space="preserve"> </w:t>
      </w:r>
      <w:proofErr w:type="spellStart"/>
      <w:r w:rsidR="00DD38CD">
        <w:rPr>
          <w:i/>
          <w:iCs/>
          <w:u w:val="single"/>
        </w:rPr>
        <w:t>carece</w:t>
      </w:r>
      <w:proofErr w:type="spellEnd"/>
      <w:r w:rsidR="00DD38CD">
        <w:rPr>
          <w:i/>
          <w:iCs/>
          <w:u w:val="single"/>
        </w:rPr>
        <w:t xml:space="preserve"> de</w:t>
      </w:r>
      <w:r w:rsidR="00DD38CD" w:rsidRPr="00DD38CD">
        <w:t xml:space="preserve"> </w:t>
      </w:r>
      <w:r>
        <w:t xml:space="preserve">mecanismos claros para que </w:t>
      </w:r>
      <w:r w:rsidRPr="0024053E">
        <w:rPr>
          <w:strike/>
        </w:rPr>
        <w:t>sus</w:t>
      </w:r>
      <w:r>
        <w:t xml:space="preserve"> </w:t>
      </w:r>
      <w:r w:rsidR="0024053E">
        <w:rPr>
          <w:i/>
          <w:iCs/>
          <w:u w:val="single"/>
        </w:rPr>
        <w:t>las</w:t>
      </w:r>
      <w:r w:rsidR="0024053E" w:rsidRPr="0024053E">
        <w:t xml:space="preserve"> </w:t>
      </w:r>
      <w:r>
        <w:t xml:space="preserve">posiciones </w:t>
      </w:r>
      <w:r w:rsidR="0024053E">
        <w:rPr>
          <w:i/>
          <w:iCs/>
          <w:u w:val="single"/>
        </w:rPr>
        <w:t>de las víctimas</w:t>
      </w:r>
      <w:r w:rsidR="0024053E" w:rsidRPr="0024053E">
        <w:t xml:space="preserve"> </w:t>
      </w:r>
      <w:r>
        <w:t xml:space="preserve">consten en récord antes de que el tribunal convalide un acuerdo. </w:t>
      </w:r>
    </w:p>
    <w:p w14:paraId="55964F78" w14:textId="77777777" w:rsidR="001A6231" w:rsidRDefault="001A6231" w:rsidP="001A6231">
      <w:pPr>
        <w:ind w:firstLine="720"/>
        <w:jc w:val="both"/>
      </w:pPr>
    </w:p>
    <w:p w14:paraId="76842037" w14:textId="127C8F23" w:rsidR="00DF2FD5" w:rsidRDefault="00DF2FD5" w:rsidP="001A6231">
      <w:pPr>
        <w:ind w:firstLine="720"/>
        <w:jc w:val="both"/>
      </w:pPr>
      <w:r w:rsidRPr="0024053E">
        <w:rPr>
          <w:strike/>
        </w:rPr>
        <w:t xml:space="preserve">Por tal razón, </w:t>
      </w:r>
      <w:r w:rsidR="00643632" w:rsidRPr="0024053E">
        <w:rPr>
          <w:strike/>
        </w:rPr>
        <w:t>a</w:t>
      </w:r>
      <w:r>
        <w:t xml:space="preserve"> </w:t>
      </w:r>
      <w:proofErr w:type="spellStart"/>
      <w:r w:rsidR="003803DA">
        <w:rPr>
          <w:i/>
          <w:iCs/>
          <w:u w:val="single"/>
        </w:rPr>
        <w:t>A</w:t>
      </w:r>
      <w:proofErr w:type="spellEnd"/>
      <w:r w:rsidR="003803DA" w:rsidRPr="003803DA">
        <w:t xml:space="preserve"> </w:t>
      </w:r>
      <w:r>
        <w:t xml:space="preserve">fin de armonizar </w:t>
      </w:r>
      <w:r w:rsidRPr="003803DA">
        <w:rPr>
          <w:strike/>
        </w:rPr>
        <w:t>la política pública contra la violencia doméstica,</w:t>
      </w:r>
      <w:r>
        <w:t xml:space="preserve"> el derecho constitucional al debido proceso y el interés del Estado en hacer cumplir las leyes, esta Asamblea Legislativa entiende necesario enmendar las Reglas 247 y 72 </w:t>
      </w:r>
      <w:r w:rsidR="003803DA" w:rsidRPr="00DD38CD">
        <w:rPr>
          <w:i/>
          <w:iCs/>
          <w:u w:val="single"/>
        </w:rPr>
        <w:t>de Procedimiento Criminal</w:t>
      </w:r>
      <w:r w:rsidR="003803DA">
        <w:t xml:space="preserve"> </w:t>
      </w:r>
      <w:r>
        <w:t>para:</w:t>
      </w:r>
    </w:p>
    <w:p w14:paraId="23E16C09" w14:textId="77777777" w:rsidR="001A6231" w:rsidRDefault="001A6231" w:rsidP="001A6231">
      <w:pPr>
        <w:ind w:firstLine="720"/>
        <w:jc w:val="both"/>
      </w:pPr>
    </w:p>
    <w:p w14:paraId="57D7C2F0" w14:textId="7E16F48A" w:rsidR="00DF2FD5" w:rsidRDefault="00DF2FD5" w:rsidP="001A6231">
      <w:pPr>
        <w:pStyle w:val="ListParagraph"/>
        <w:numPr>
          <w:ilvl w:val="0"/>
          <w:numId w:val="18"/>
        </w:numPr>
        <w:ind w:left="0" w:firstLine="720"/>
        <w:jc w:val="both"/>
      </w:pPr>
      <w:r>
        <w:t xml:space="preserve">Codificar los factores que el tribunal debe ponderar antes de archivar una causa </w:t>
      </w:r>
      <w:proofErr w:type="gramStart"/>
      <w:r>
        <w:t xml:space="preserve">motu </w:t>
      </w:r>
      <w:r w:rsidRPr="00DA07C7">
        <w:rPr>
          <w:strike/>
        </w:rPr>
        <w:t>propio</w:t>
      </w:r>
      <w:proofErr w:type="gramEnd"/>
      <w:r w:rsidR="00DA07C7">
        <w:t xml:space="preserve"> </w:t>
      </w:r>
      <w:r w:rsidR="00DA07C7">
        <w:rPr>
          <w:i/>
          <w:iCs/>
          <w:u w:val="single"/>
        </w:rPr>
        <w:t>proprio</w:t>
      </w:r>
      <w:r>
        <w:t>.</w:t>
      </w:r>
    </w:p>
    <w:p w14:paraId="3B9D2FA0" w14:textId="1C8F0A4E" w:rsidR="00DF2FD5" w:rsidRDefault="00DF2FD5" w:rsidP="001A6231">
      <w:pPr>
        <w:pStyle w:val="ListParagraph"/>
        <w:numPr>
          <w:ilvl w:val="0"/>
          <w:numId w:val="18"/>
        </w:numPr>
        <w:ind w:left="0" w:firstLine="720"/>
        <w:jc w:val="both"/>
      </w:pPr>
      <w:r>
        <w:lastRenderedPageBreak/>
        <w:t>Garantizar una “vista” en la que el tribunal escuche, bajo juramento, al Ministerio Público y a la víctima (o su representante) antes de resolver.</w:t>
      </w:r>
    </w:p>
    <w:p w14:paraId="482A475F" w14:textId="4E153D7E" w:rsidR="00DF2FD5" w:rsidRDefault="00DF2FD5" w:rsidP="001A6231">
      <w:pPr>
        <w:pStyle w:val="ListParagraph"/>
        <w:numPr>
          <w:ilvl w:val="0"/>
          <w:numId w:val="18"/>
        </w:numPr>
        <w:ind w:left="0" w:firstLine="720"/>
        <w:jc w:val="both"/>
      </w:pPr>
      <w:r>
        <w:t xml:space="preserve">Requerir determinaciones escritas </w:t>
      </w:r>
      <w:r w:rsidRPr="00954AC3">
        <w:rPr>
          <w:strike/>
        </w:rPr>
        <w:t>a los jueces</w:t>
      </w:r>
      <w:r>
        <w:t xml:space="preserve"> </w:t>
      </w:r>
      <w:r w:rsidR="00954AC3">
        <w:rPr>
          <w:i/>
          <w:iCs/>
          <w:u w:val="single"/>
        </w:rPr>
        <w:t>al tribunal</w:t>
      </w:r>
      <w:r w:rsidR="00954AC3" w:rsidRPr="00954AC3">
        <w:t xml:space="preserve"> </w:t>
      </w:r>
      <w:r>
        <w:t xml:space="preserve">sobre los fundamentos en los que </w:t>
      </w:r>
      <w:r w:rsidRPr="00954AC3">
        <w:rPr>
          <w:strike/>
        </w:rPr>
        <w:t>baso</w:t>
      </w:r>
      <w:r>
        <w:t xml:space="preserve"> </w:t>
      </w:r>
      <w:r w:rsidR="00954AC3">
        <w:rPr>
          <w:i/>
          <w:iCs/>
          <w:u w:val="single"/>
        </w:rPr>
        <w:t>basó</w:t>
      </w:r>
      <w:r w:rsidR="00954AC3" w:rsidRPr="00954AC3">
        <w:t xml:space="preserve"> </w:t>
      </w:r>
      <w:r>
        <w:t>su determinación judicial.</w:t>
      </w:r>
    </w:p>
    <w:p w14:paraId="102B061D" w14:textId="663F8504" w:rsidR="00DF2FD5" w:rsidRDefault="00DF2FD5" w:rsidP="001A6231">
      <w:pPr>
        <w:pStyle w:val="ListParagraph"/>
        <w:numPr>
          <w:ilvl w:val="0"/>
          <w:numId w:val="18"/>
        </w:numPr>
        <w:ind w:left="0" w:firstLine="720"/>
        <w:jc w:val="both"/>
      </w:pPr>
      <w:r w:rsidRPr="007A20C5">
        <w:rPr>
          <w:strike/>
        </w:rPr>
        <w:t>Reconocer</w:t>
      </w:r>
      <w:r>
        <w:t xml:space="preserve"> </w:t>
      </w:r>
      <w:r w:rsidR="007A20C5">
        <w:rPr>
          <w:i/>
          <w:iCs/>
          <w:u w:val="single"/>
        </w:rPr>
        <w:t>Reconocerle</w:t>
      </w:r>
      <w:r w:rsidR="007A20C5" w:rsidRPr="007A20C5">
        <w:t xml:space="preserve"> </w:t>
      </w:r>
      <w:r>
        <w:t xml:space="preserve">a la víctima un derecho a expresarse durante la audiencia de alegación </w:t>
      </w:r>
      <w:proofErr w:type="spellStart"/>
      <w:r>
        <w:t>preacordada</w:t>
      </w:r>
      <w:proofErr w:type="spellEnd"/>
      <w:r>
        <w:t>, sin que ello constituya un veto, y obligar al tribunal a exponer en récord c</w:t>
      </w:r>
      <w:r w:rsidR="009D0589">
        <w:t>o</w:t>
      </w:r>
      <w:r>
        <w:t>mo ponderó dichas expresiones.</w:t>
      </w:r>
    </w:p>
    <w:p w14:paraId="4564DE52" w14:textId="77777777" w:rsidR="001A6231" w:rsidRDefault="001A6231" w:rsidP="001A6231">
      <w:pPr>
        <w:pStyle w:val="ListParagraph"/>
        <w:jc w:val="both"/>
      </w:pPr>
    </w:p>
    <w:p w14:paraId="67AC527C" w14:textId="3208949A" w:rsidR="009835DD" w:rsidRDefault="00DF2FD5" w:rsidP="001A6231">
      <w:pPr>
        <w:ind w:firstLine="720"/>
        <w:jc w:val="both"/>
      </w:pPr>
      <w:r>
        <w:t>Con estas enmiendas se promueve la transparencia judicial, la protección de las víctimas y la uniformidad procesal, sin menoscabar la discreción fiscal ni la autoridad constitucional del tribunal.</w:t>
      </w:r>
      <w:r w:rsidR="00FA7B75">
        <w:t xml:space="preserve"> </w:t>
      </w:r>
    </w:p>
    <w:p w14:paraId="5B5E8F39" w14:textId="77777777" w:rsidR="00FA7B75" w:rsidRPr="00120574" w:rsidRDefault="00FA7B75" w:rsidP="00FA7B75">
      <w:pPr>
        <w:ind w:left="360" w:firstLine="360"/>
        <w:jc w:val="both"/>
        <w:rPr>
          <w:rFonts w:eastAsia="Times New Roman" w:cs="Times New Roman"/>
          <w:bCs/>
          <w:i/>
          <w:szCs w:val="20"/>
        </w:rPr>
      </w:pPr>
    </w:p>
    <w:p w14:paraId="7853079F" w14:textId="7A657090" w:rsidR="009C386A" w:rsidRPr="00120574" w:rsidRDefault="00F73CE6" w:rsidP="007129CF">
      <w:pPr>
        <w:spacing w:line="480" w:lineRule="auto"/>
        <w:rPr>
          <w:rFonts w:eastAsia="Times New Roman" w:cs="Times New Roman"/>
          <w:bCs/>
          <w:i/>
          <w:szCs w:val="20"/>
        </w:rPr>
        <w:sectPr w:rsidR="009C386A" w:rsidRPr="00120574" w:rsidSect="00310ACE">
          <w:headerReference w:type="default" r:id="rId11"/>
          <w:pgSz w:w="12240" w:h="15840" w:code="1"/>
          <w:pgMar w:top="1440" w:right="1440" w:bottom="1440" w:left="1440" w:header="720" w:footer="720" w:gutter="0"/>
          <w:cols w:space="720"/>
          <w:titlePg/>
        </w:sectPr>
      </w:pPr>
      <w:r w:rsidRPr="00120574">
        <w:rPr>
          <w:rFonts w:eastAsia="Times New Roman" w:cs="Times New Roman"/>
          <w:bCs/>
          <w:i/>
          <w:szCs w:val="20"/>
        </w:rPr>
        <w:t>DECR</w:t>
      </w:r>
      <w:r w:rsidR="00985A8F" w:rsidRPr="00120574">
        <w:rPr>
          <w:rFonts w:eastAsia="Times New Roman" w:cs="Times New Roman"/>
          <w:bCs/>
          <w:i/>
          <w:szCs w:val="20"/>
        </w:rPr>
        <w:t>É</w:t>
      </w:r>
      <w:r w:rsidRPr="00120574">
        <w:rPr>
          <w:rFonts w:eastAsia="Times New Roman" w:cs="Times New Roman"/>
          <w:bCs/>
          <w:i/>
          <w:szCs w:val="20"/>
        </w:rPr>
        <w:t>TASE</w:t>
      </w:r>
      <w:r w:rsidR="009C386A" w:rsidRPr="00120574">
        <w:rPr>
          <w:rFonts w:eastAsia="Times New Roman" w:cs="Times New Roman"/>
          <w:bCs/>
          <w:i/>
          <w:szCs w:val="20"/>
        </w:rPr>
        <w:t xml:space="preserve"> POR LA ASAMBLEA LEGISLATIVA DE PUERTO RICO:</w:t>
      </w:r>
    </w:p>
    <w:p w14:paraId="30567916" w14:textId="4CE39955" w:rsidR="00FA7B75" w:rsidRPr="00FA7B75" w:rsidRDefault="00FA7B75" w:rsidP="00FA7B75">
      <w:pPr>
        <w:spacing w:line="480" w:lineRule="auto"/>
        <w:ind w:firstLine="720"/>
        <w:jc w:val="both"/>
        <w:rPr>
          <w:rFonts w:eastAsia="Times New Roman" w:cs="Times New Roman"/>
          <w:szCs w:val="20"/>
          <w:lang w:val="es-ES"/>
        </w:rPr>
      </w:pPr>
      <w:r w:rsidRPr="00FA7B75">
        <w:rPr>
          <w:rFonts w:eastAsia="Times New Roman" w:cs="Times New Roman"/>
          <w:szCs w:val="20"/>
          <w:lang w:val="es-ES_tradnl"/>
        </w:rPr>
        <w:t xml:space="preserve">Artículo 1.- </w:t>
      </w:r>
      <w:r w:rsidRPr="00FA7B75">
        <w:rPr>
          <w:rFonts w:eastAsia="Times New Roman" w:cs="Times New Roman"/>
          <w:szCs w:val="20"/>
          <w:lang w:val="es-ES"/>
        </w:rPr>
        <w:t xml:space="preserve">Se enmienda la Regla </w:t>
      </w:r>
      <w:r>
        <w:rPr>
          <w:rFonts w:eastAsia="Times New Roman" w:cs="Times New Roman"/>
          <w:szCs w:val="20"/>
          <w:lang w:val="es-ES"/>
        </w:rPr>
        <w:t>247</w:t>
      </w:r>
      <w:r w:rsidRPr="00FA7B75">
        <w:rPr>
          <w:rFonts w:eastAsia="Times New Roman" w:cs="Times New Roman"/>
          <w:szCs w:val="20"/>
          <w:lang w:val="es-ES"/>
        </w:rPr>
        <w:t xml:space="preserve"> de Procedimiento Criminal de 1963, según enmendadas, para que lea como sigue: </w:t>
      </w:r>
    </w:p>
    <w:p w14:paraId="2B932E79" w14:textId="59EA86C5" w:rsidR="00F97214" w:rsidRDefault="00FA7B75" w:rsidP="00FA7B75">
      <w:pPr>
        <w:spacing w:line="480" w:lineRule="auto"/>
        <w:ind w:firstLine="720"/>
        <w:jc w:val="both"/>
        <w:rPr>
          <w:rFonts w:eastAsia="Times New Roman" w:cs="Times New Roman"/>
          <w:szCs w:val="20"/>
          <w:lang w:val="es-ES"/>
        </w:rPr>
      </w:pPr>
      <w:r w:rsidRPr="00FA7B75">
        <w:rPr>
          <w:rFonts w:eastAsia="Times New Roman" w:cs="Times New Roman"/>
          <w:szCs w:val="20"/>
          <w:lang w:val="es-ES"/>
        </w:rPr>
        <w:t xml:space="preserve">REGLA </w:t>
      </w:r>
      <w:r>
        <w:rPr>
          <w:rFonts w:eastAsia="Times New Roman" w:cs="Times New Roman"/>
          <w:szCs w:val="20"/>
          <w:lang w:val="es-ES"/>
        </w:rPr>
        <w:t>247</w:t>
      </w:r>
      <w:r w:rsidRPr="00FA7B75">
        <w:rPr>
          <w:rFonts w:eastAsia="Times New Roman" w:cs="Times New Roman"/>
          <w:szCs w:val="20"/>
          <w:lang w:val="es-ES"/>
        </w:rPr>
        <w:t xml:space="preserve">. — </w:t>
      </w:r>
      <w:r w:rsidR="00F97214" w:rsidRPr="00F97214">
        <w:rPr>
          <w:rFonts w:eastAsia="Times New Roman" w:cs="Times New Roman"/>
          <w:szCs w:val="20"/>
          <w:lang w:val="es-ES"/>
        </w:rPr>
        <w:t>SOBRESEIMIENTO</w:t>
      </w:r>
      <w:r w:rsidRPr="00FA7B75">
        <w:rPr>
          <w:rFonts w:eastAsia="Times New Roman" w:cs="Times New Roman"/>
          <w:szCs w:val="20"/>
          <w:lang w:val="es-ES"/>
        </w:rPr>
        <w:t xml:space="preserve">. </w:t>
      </w:r>
    </w:p>
    <w:p w14:paraId="7274A0AA" w14:textId="6B30CF63" w:rsidR="00F97214" w:rsidRDefault="00F97214" w:rsidP="00F97214">
      <w:pPr>
        <w:spacing w:line="480" w:lineRule="auto"/>
        <w:ind w:firstLine="720"/>
        <w:jc w:val="both"/>
        <w:rPr>
          <w:rFonts w:eastAsia="Times New Roman" w:cs="Times New Roman"/>
          <w:szCs w:val="20"/>
          <w:lang w:val="es-ES"/>
        </w:rPr>
      </w:pPr>
      <w:r>
        <w:rPr>
          <w:rFonts w:eastAsia="Times New Roman" w:cs="Times New Roman"/>
          <w:szCs w:val="20"/>
          <w:lang w:val="es-ES"/>
        </w:rPr>
        <w:t>(a) …</w:t>
      </w:r>
      <w:r w:rsidR="00FA7B75" w:rsidRPr="00FA7B75">
        <w:rPr>
          <w:rFonts w:eastAsia="Times New Roman" w:cs="Times New Roman"/>
          <w:szCs w:val="20"/>
          <w:lang w:val="es-ES"/>
        </w:rPr>
        <w:t xml:space="preserve"> </w:t>
      </w:r>
    </w:p>
    <w:p w14:paraId="64FD6B3A" w14:textId="30369B41" w:rsidR="00F97214" w:rsidRDefault="00F97214" w:rsidP="00F97214">
      <w:pPr>
        <w:spacing w:line="480" w:lineRule="auto"/>
        <w:ind w:firstLine="720"/>
        <w:jc w:val="both"/>
        <w:rPr>
          <w:rFonts w:eastAsia="Times New Roman" w:cs="Times New Roman"/>
          <w:szCs w:val="20"/>
          <w:lang w:val="es-ES"/>
        </w:rPr>
      </w:pPr>
      <w:r w:rsidRPr="00F97214">
        <w:rPr>
          <w:rFonts w:eastAsia="Times New Roman" w:cs="Times New Roman"/>
          <w:szCs w:val="20"/>
          <w:lang w:val="es-ES"/>
        </w:rPr>
        <w:t xml:space="preserve">(b) </w:t>
      </w:r>
      <w:r w:rsidRPr="00F97214">
        <w:rPr>
          <w:rFonts w:eastAsia="Times New Roman" w:cs="Times New Roman"/>
          <w:b/>
          <w:bCs/>
          <w:szCs w:val="20"/>
          <w:lang w:val="es-ES"/>
        </w:rPr>
        <w:t>[Por el tribunal; orden. Cuando ello sea conveniente para los fines de la justicia y previa celebración de vista en la cual participará el fiscal, el tribunal podrá decretar el sobreseimiento de una acusación o denuncia. Las causas de sobreseimiento deberán exponerse en la orden que al efecto se dictare, la cual se unirá al expediente del proceso.]</w:t>
      </w:r>
    </w:p>
    <w:p w14:paraId="01C4CB5F" w14:textId="21476BC2" w:rsidR="00F97214" w:rsidRDefault="00F74F41" w:rsidP="00FA7B75">
      <w:pPr>
        <w:spacing w:line="480" w:lineRule="auto"/>
        <w:ind w:firstLine="720"/>
        <w:jc w:val="both"/>
        <w:rPr>
          <w:rFonts w:eastAsia="Times New Roman" w:cs="Times New Roman"/>
          <w:i/>
          <w:iCs/>
          <w:szCs w:val="20"/>
        </w:rPr>
      </w:pPr>
      <w:r w:rsidRPr="00F74F41">
        <w:rPr>
          <w:rFonts w:eastAsia="Times New Roman" w:cs="Times New Roman"/>
          <w:i/>
          <w:iCs/>
          <w:szCs w:val="20"/>
        </w:rPr>
        <w:t xml:space="preserve">El tribunal deberá celebrar una vista </w:t>
      </w:r>
      <w:proofErr w:type="spellStart"/>
      <w:r w:rsidR="009D0589">
        <w:rPr>
          <w:rFonts w:eastAsia="Times New Roman" w:cs="Times New Roman"/>
          <w:i/>
          <w:iCs/>
          <w:szCs w:val="20"/>
        </w:rPr>
        <w:t>evidenciaria</w:t>
      </w:r>
      <w:proofErr w:type="spellEnd"/>
      <w:r w:rsidR="009D0589">
        <w:rPr>
          <w:rFonts w:eastAsia="Times New Roman" w:cs="Times New Roman"/>
          <w:i/>
          <w:iCs/>
          <w:szCs w:val="20"/>
        </w:rPr>
        <w:t xml:space="preserve"> </w:t>
      </w:r>
      <w:r w:rsidRPr="00F74F41">
        <w:rPr>
          <w:rFonts w:eastAsia="Times New Roman" w:cs="Times New Roman"/>
          <w:i/>
          <w:iCs/>
          <w:szCs w:val="20"/>
        </w:rPr>
        <w:t xml:space="preserve">dentro de un término no mayor de treinta (30) días desde que se solicite el sobreseimiento, con </w:t>
      </w:r>
      <w:r w:rsidR="009D0589" w:rsidRPr="00F74F41">
        <w:rPr>
          <w:rFonts w:eastAsia="Times New Roman" w:cs="Times New Roman"/>
          <w:i/>
          <w:iCs/>
          <w:szCs w:val="20"/>
        </w:rPr>
        <w:t>l</w:t>
      </w:r>
      <w:r w:rsidR="009D0589">
        <w:rPr>
          <w:rFonts w:eastAsia="Times New Roman" w:cs="Times New Roman"/>
          <w:i/>
          <w:iCs/>
          <w:szCs w:val="20"/>
        </w:rPr>
        <w:t>a</w:t>
      </w:r>
      <w:r w:rsidRPr="00F74F41">
        <w:rPr>
          <w:rFonts w:eastAsia="Times New Roman" w:cs="Times New Roman"/>
          <w:i/>
          <w:iCs/>
          <w:szCs w:val="20"/>
        </w:rPr>
        <w:t xml:space="preserve"> comparecencia obligatoria del Ministerio Público, del imputado y de la víctima o su representante, salvo renuncia expresa de esta última.</w:t>
      </w:r>
    </w:p>
    <w:p w14:paraId="6CE6E0C8" w14:textId="4745EDBF" w:rsidR="00F74F41" w:rsidRDefault="00F74F41" w:rsidP="00F74F41">
      <w:pPr>
        <w:spacing w:line="480" w:lineRule="auto"/>
        <w:ind w:firstLine="720"/>
        <w:jc w:val="both"/>
        <w:rPr>
          <w:rFonts w:eastAsia="Times New Roman" w:cs="Times New Roman"/>
          <w:i/>
          <w:iCs/>
          <w:szCs w:val="20"/>
          <w:lang w:val="es-ES"/>
        </w:rPr>
      </w:pPr>
      <w:r w:rsidRPr="00F74F41">
        <w:rPr>
          <w:rFonts w:eastAsia="Times New Roman" w:cs="Times New Roman"/>
          <w:i/>
          <w:iCs/>
          <w:szCs w:val="20"/>
          <w:lang w:val="es-ES"/>
        </w:rPr>
        <w:t>La víctima tendrá derecho a</w:t>
      </w:r>
      <w:r>
        <w:rPr>
          <w:rFonts w:eastAsia="Times New Roman" w:cs="Times New Roman"/>
          <w:i/>
          <w:iCs/>
          <w:szCs w:val="20"/>
          <w:lang w:val="es-ES"/>
        </w:rPr>
        <w:t xml:space="preserve"> e</w:t>
      </w:r>
      <w:r w:rsidRPr="00F74F41">
        <w:rPr>
          <w:rFonts w:eastAsia="Times New Roman" w:cs="Times New Roman"/>
          <w:i/>
          <w:iCs/>
          <w:szCs w:val="20"/>
          <w:lang w:val="es-ES"/>
        </w:rPr>
        <w:t>star presente y ser oída;</w:t>
      </w:r>
      <w:r>
        <w:rPr>
          <w:rFonts w:eastAsia="Times New Roman" w:cs="Times New Roman"/>
          <w:i/>
          <w:iCs/>
          <w:szCs w:val="20"/>
          <w:lang w:val="es-ES"/>
        </w:rPr>
        <w:t xml:space="preserve"> c</w:t>
      </w:r>
      <w:r w:rsidRPr="00F74F41">
        <w:rPr>
          <w:rFonts w:eastAsia="Times New Roman" w:cs="Times New Roman"/>
          <w:i/>
          <w:iCs/>
          <w:szCs w:val="20"/>
          <w:lang w:val="es-ES"/>
        </w:rPr>
        <w:t>omparecer asistida de un/a abogado/a o intercesora legal; y</w:t>
      </w:r>
      <w:r>
        <w:rPr>
          <w:rFonts w:eastAsia="Times New Roman" w:cs="Times New Roman"/>
          <w:i/>
          <w:iCs/>
          <w:szCs w:val="20"/>
          <w:lang w:val="es-ES"/>
        </w:rPr>
        <w:t xml:space="preserve"> p</w:t>
      </w:r>
      <w:r w:rsidRPr="00F74F41">
        <w:rPr>
          <w:rFonts w:eastAsia="Times New Roman" w:cs="Times New Roman"/>
          <w:i/>
          <w:iCs/>
          <w:szCs w:val="20"/>
          <w:lang w:val="es-ES"/>
        </w:rPr>
        <w:t>roponer medidas de protección alternas.</w:t>
      </w:r>
    </w:p>
    <w:p w14:paraId="53D4DDDA" w14:textId="77777777" w:rsidR="00F55AEE" w:rsidRDefault="00F74F41" w:rsidP="00F74F41">
      <w:pPr>
        <w:spacing w:line="480" w:lineRule="auto"/>
        <w:ind w:firstLine="720"/>
        <w:jc w:val="both"/>
        <w:rPr>
          <w:rFonts w:eastAsia="Times New Roman" w:cs="Times New Roman"/>
          <w:i/>
          <w:iCs/>
          <w:szCs w:val="20"/>
        </w:rPr>
      </w:pPr>
      <w:r w:rsidRPr="00F74F41">
        <w:rPr>
          <w:rFonts w:eastAsia="Times New Roman" w:cs="Times New Roman"/>
          <w:i/>
          <w:iCs/>
          <w:szCs w:val="20"/>
        </w:rPr>
        <w:lastRenderedPageBreak/>
        <w:t xml:space="preserve">Al resolver, el tribunal deberá </w:t>
      </w:r>
      <w:r>
        <w:rPr>
          <w:rFonts w:eastAsia="Times New Roman" w:cs="Times New Roman"/>
          <w:i/>
          <w:iCs/>
          <w:szCs w:val="20"/>
        </w:rPr>
        <w:t>esbozar los fundamentos tomados en consideración al tomar su determinación, la cual deberá ser escrita.</w:t>
      </w:r>
    </w:p>
    <w:p w14:paraId="3F1E711D" w14:textId="44B7B984" w:rsidR="005D161C" w:rsidRDefault="00472FDA" w:rsidP="005D161C">
      <w:pPr>
        <w:spacing w:line="480" w:lineRule="auto"/>
        <w:ind w:firstLine="720"/>
        <w:jc w:val="both"/>
        <w:rPr>
          <w:rFonts w:eastAsia="Times New Roman" w:cs="Times New Roman"/>
          <w:i/>
          <w:iCs/>
          <w:szCs w:val="20"/>
        </w:rPr>
      </w:pPr>
      <w:r>
        <w:rPr>
          <w:rFonts w:eastAsia="Times New Roman" w:cs="Times New Roman"/>
          <w:i/>
          <w:iCs/>
          <w:szCs w:val="20"/>
          <w:u w:val="single"/>
        </w:rPr>
        <w:t>A</w:t>
      </w:r>
      <w:r w:rsidR="005D161C" w:rsidRPr="005D161C">
        <w:rPr>
          <w:rFonts w:eastAsia="Times New Roman" w:cs="Times New Roman"/>
          <w:i/>
          <w:iCs/>
          <w:szCs w:val="20"/>
          <w:u w:val="single"/>
        </w:rPr>
        <w:t xml:space="preserve">l ejercer su discreción de archivar un caso criminal, </w:t>
      </w:r>
      <w:r>
        <w:rPr>
          <w:rFonts w:eastAsia="Times New Roman" w:cs="Times New Roman"/>
          <w:i/>
          <w:iCs/>
          <w:szCs w:val="20"/>
          <w:u w:val="single"/>
        </w:rPr>
        <w:t xml:space="preserve">el tribunal </w:t>
      </w:r>
      <w:r w:rsidR="005D161C" w:rsidRPr="005D161C">
        <w:rPr>
          <w:rFonts w:eastAsia="Times New Roman" w:cs="Times New Roman"/>
          <w:i/>
          <w:iCs/>
          <w:szCs w:val="20"/>
          <w:u w:val="single"/>
        </w:rPr>
        <w:t xml:space="preserve">debe tomar en consideración </w:t>
      </w:r>
      <w:r w:rsidR="00826407">
        <w:rPr>
          <w:rFonts w:eastAsia="Times New Roman" w:cs="Times New Roman"/>
          <w:i/>
          <w:iCs/>
          <w:szCs w:val="20"/>
          <w:u w:val="single"/>
        </w:rPr>
        <w:t>varios factores, entre ellos</w:t>
      </w:r>
      <w:r w:rsidR="005D161C" w:rsidRPr="005D161C">
        <w:rPr>
          <w:rFonts w:eastAsia="Times New Roman" w:cs="Times New Roman"/>
          <w:i/>
          <w:iCs/>
          <w:szCs w:val="20"/>
          <w:u w:val="single"/>
        </w:rPr>
        <w:t>:</w:t>
      </w:r>
    </w:p>
    <w:p w14:paraId="2179D99B" w14:textId="4903B29C" w:rsidR="00F74F41" w:rsidRDefault="005D161C" w:rsidP="005D161C">
      <w:pPr>
        <w:spacing w:line="480" w:lineRule="auto"/>
        <w:ind w:firstLine="720"/>
        <w:jc w:val="both"/>
        <w:rPr>
          <w:rFonts w:eastAsia="Times New Roman" w:cs="Times New Roman"/>
          <w:i/>
          <w:iCs/>
          <w:szCs w:val="20"/>
          <w:u w:val="single"/>
        </w:rPr>
      </w:pPr>
      <w:r w:rsidRPr="005D161C">
        <w:rPr>
          <w:rFonts w:eastAsia="Times New Roman" w:cs="Times New Roman"/>
          <w:i/>
          <w:iCs/>
          <w:szCs w:val="20"/>
        </w:rPr>
        <w:t xml:space="preserve"> </w:t>
      </w:r>
      <w:r w:rsidR="00604417" w:rsidRPr="0017545E">
        <w:rPr>
          <w:rFonts w:eastAsia="Times New Roman" w:cs="Times New Roman"/>
          <w:i/>
          <w:iCs/>
          <w:szCs w:val="20"/>
          <w:u w:val="single"/>
        </w:rPr>
        <w:t xml:space="preserve">la evidencia con la que cuenta el Ministerio </w:t>
      </w:r>
      <w:r w:rsidR="0017545E" w:rsidRPr="0017545E">
        <w:rPr>
          <w:rFonts w:eastAsia="Times New Roman" w:cs="Times New Roman"/>
          <w:i/>
          <w:iCs/>
          <w:szCs w:val="20"/>
          <w:u w:val="single"/>
        </w:rPr>
        <w:t>Público para establecer su caso</w:t>
      </w:r>
      <w:r w:rsidR="00DE69FF">
        <w:rPr>
          <w:rFonts w:eastAsia="Times New Roman" w:cs="Times New Roman"/>
          <w:i/>
          <w:iCs/>
          <w:szCs w:val="20"/>
          <w:u w:val="single"/>
        </w:rPr>
        <w:t>;</w:t>
      </w:r>
    </w:p>
    <w:p w14:paraId="7A5DD6D9" w14:textId="531468AF" w:rsidR="0017545E" w:rsidRPr="0017545E" w:rsidRDefault="00D5013E" w:rsidP="005D161C">
      <w:pPr>
        <w:spacing w:line="480" w:lineRule="auto"/>
        <w:ind w:firstLine="720"/>
        <w:jc w:val="both"/>
        <w:rPr>
          <w:rFonts w:eastAsia="Times New Roman" w:cs="Times New Roman"/>
          <w:i/>
          <w:iCs/>
          <w:szCs w:val="20"/>
          <w:u w:val="single"/>
        </w:rPr>
      </w:pPr>
      <w:r w:rsidRPr="00D5013E">
        <w:rPr>
          <w:rFonts w:eastAsia="Times New Roman" w:cs="Times New Roman"/>
          <w:i/>
          <w:iCs/>
          <w:szCs w:val="20"/>
          <w:u w:val="single"/>
        </w:rPr>
        <w:t>naturaleza del delito</w:t>
      </w:r>
      <w:r w:rsidR="00DE69FF">
        <w:rPr>
          <w:rFonts w:eastAsia="Times New Roman" w:cs="Times New Roman"/>
          <w:i/>
          <w:iCs/>
          <w:szCs w:val="20"/>
          <w:u w:val="single"/>
        </w:rPr>
        <w:t>;</w:t>
      </w:r>
    </w:p>
    <w:p w14:paraId="1FFC7D12" w14:textId="00CB39A3" w:rsidR="00D5013E" w:rsidRPr="001E49B6" w:rsidRDefault="001E49B6" w:rsidP="001E49B6">
      <w:pPr>
        <w:spacing w:line="480" w:lineRule="auto"/>
        <w:ind w:firstLine="720"/>
        <w:jc w:val="both"/>
        <w:rPr>
          <w:rFonts w:eastAsia="Times New Roman" w:cs="Times New Roman"/>
          <w:i/>
          <w:iCs/>
          <w:szCs w:val="20"/>
          <w:u w:val="single"/>
        </w:rPr>
      </w:pPr>
      <w:r w:rsidRPr="001E49B6">
        <w:rPr>
          <w:rFonts w:eastAsia="Times New Roman" w:cs="Times New Roman"/>
          <w:i/>
          <w:iCs/>
          <w:szCs w:val="20"/>
          <w:u w:val="single"/>
        </w:rPr>
        <w:t>si el acusado está encarcelado o ha sido convicto en un caso relacionado o similar</w:t>
      </w:r>
      <w:r w:rsidR="00DE69FF">
        <w:rPr>
          <w:rFonts w:eastAsia="Times New Roman" w:cs="Times New Roman"/>
          <w:i/>
          <w:iCs/>
          <w:szCs w:val="20"/>
          <w:u w:val="single"/>
        </w:rPr>
        <w:t>;</w:t>
      </w:r>
    </w:p>
    <w:p w14:paraId="56CD6AA0" w14:textId="6293D62F" w:rsidR="00B45B54" w:rsidRPr="00B45B54" w:rsidRDefault="00B45B54" w:rsidP="00B45B54">
      <w:pPr>
        <w:spacing w:line="480" w:lineRule="auto"/>
        <w:ind w:firstLine="720"/>
        <w:jc w:val="both"/>
        <w:rPr>
          <w:rFonts w:eastAsia="Times New Roman" w:cs="Times New Roman"/>
          <w:i/>
          <w:iCs/>
          <w:szCs w:val="20"/>
          <w:u w:val="single"/>
        </w:rPr>
      </w:pPr>
      <w:r w:rsidRPr="00B45B54">
        <w:rPr>
          <w:rFonts w:eastAsia="Times New Roman" w:cs="Times New Roman"/>
          <w:i/>
          <w:iCs/>
          <w:szCs w:val="20"/>
          <w:u w:val="single"/>
        </w:rPr>
        <w:t>tiempo que el acusado lleva encarcelado</w:t>
      </w:r>
      <w:r w:rsidR="00DE69FF">
        <w:rPr>
          <w:rFonts w:eastAsia="Times New Roman" w:cs="Times New Roman"/>
          <w:i/>
          <w:iCs/>
          <w:szCs w:val="20"/>
          <w:u w:val="single"/>
        </w:rPr>
        <w:t>;</w:t>
      </w:r>
    </w:p>
    <w:p w14:paraId="0BC65772" w14:textId="46C7F61B" w:rsidR="00B45B54" w:rsidRDefault="00B73E5B" w:rsidP="00F74F41">
      <w:pPr>
        <w:spacing w:line="480" w:lineRule="auto"/>
        <w:ind w:firstLine="720"/>
        <w:jc w:val="both"/>
        <w:rPr>
          <w:rFonts w:eastAsia="Times New Roman" w:cs="Times New Roman"/>
          <w:i/>
          <w:iCs/>
          <w:szCs w:val="20"/>
          <w:u w:val="single"/>
        </w:rPr>
      </w:pPr>
      <w:r w:rsidRPr="00B73E5B">
        <w:rPr>
          <w:rFonts w:eastAsia="Times New Roman" w:cs="Times New Roman"/>
          <w:i/>
          <w:iCs/>
          <w:szCs w:val="20"/>
          <w:u w:val="single"/>
        </w:rPr>
        <w:t>posibilidad de amenaza u hostigamiento</w:t>
      </w:r>
      <w:r w:rsidR="00DE69FF">
        <w:rPr>
          <w:rFonts w:eastAsia="Times New Roman" w:cs="Times New Roman"/>
          <w:i/>
          <w:iCs/>
          <w:szCs w:val="20"/>
          <w:u w:val="single"/>
        </w:rPr>
        <w:t>;</w:t>
      </w:r>
    </w:p>
    <w:p w14:paraId="42AC5F5D" w14:textId="2D882F8B" w:rsidR="00B73E5B" w:rsidRPr="00B73E5B" w:rsidRDefault="00EB60C0" w:rsidP="00EB60C0">
      <w:pPr>
        <w:spacing w:line="480" w:lineRule="auto"/>
        <w:ind w:firstLine="720"/>
        <w:jc w:val="both"/>
        <w:rPr>
          <w:rFonts w:eastAsia="Times New Roman" w:cs="Times New Roman"/>
          <w:i/>
          <w:iCs/>
          <w:szCs w:val="20"/>
          <w:u w:val="single"/>
        </w:rPr>
      </w:pPr>
      <w:r w:rsidRPr="00EB60C0">
        <w:rPr>
          <w:rFonts w:eastAsia="Times New Roman" w:cs="Times New Roman"/>
          <w:i/>
          <w:iCs/>
          <w:szCs w:val="20"/>
          <w:u w:val="single"/>
        </w:rPr>
        <w:t>probabilidad de que en el juicio pueda traerse evidencia</w:t>
      </w:r>
      <w:r>
        <w:rPr>
          <w:rFonts w:eastAsia="Times New Roman" w:cs="Times New Roman"/>
          <w:i/>
          <w:iCs/>
          <w:szCs w:val="20"/>
          <w:u w:val="single"/>
        </w:rPr>
        <w:t xml:space="preserve"> nueva o </w:t>
      </w:r>
      <w:r w:rsidRPr="00EB60C0">
        <w:rPr>
          <w:rFonts w:eastAsia="Times New Roman" w:cs="Times New Roman"/>
          <w:i/>
          <w:iCs/>
          <w:szCs w:val="20"/>
          <w:u w:val="single"/>
        </w:rPr>
        <w:t>adicional</w:t>
      </w:r>
      <w:r w:rsidR="00DE69FF">
        <w:rPr>
          <w:rFonts w:eastAsia="Times New Roman" w:cs="Times New Roman"/>
          <w:i/>
          <w:iCs/>
          <w:szCs w:val="20"/>
          <w:u w:val="single"/>
        </w:rPr>
        <w:t>;</w:t>
      </w:r>
    </w:p>
    <w:p w14:paraId="042F2A8F" w14:textId="1CB07FDB" w:rsidR="00EB60C0" w:rsidRDefault="00743E02" w:rsidP="00743E02">
      <w:pPr>
        <w:spacing w:line="480" w:lineRule="auto"/>
        <w:ind w:firstLine="720"/>
        <w:jc w:val="both"/>
        <w:rPr>
          <w:rFonts w:eastAsia="Times New Roman" w:cs="Times New Roman"/>
          <w:i/>
          <w:iCs/>
          <w:szCs w:val="20"/>
        </w:rPr>
      </w:pPr>
      <w:r w:rsidRPr="00743E02">
        <w:rPr>
          <w:rFonts w:eastAsia="Times New Roman" w:cs="Times New Roman"/>
          <w:i/>
          <w:iCs/>
          <w:szCs w:val="20"/>
          <w:u w:val="single"/>
        </w:rPr>
        <w:t>si sirve a los mejores intereses de la sociedad proseguir con los procedimientos</w:t>
      </w:r>
      <w:r w:rsidRPr="00743E02">
        <w:rPr>
          <w:rFonts w:eastAsia="Times New Roman" w:cs="Times New Roman"/>
          <w:i/>
          <w:iCs/>
          <w:szCs w:val="20"/>
        </w:rPr>
        <w:t>.</w:t>
      </w:r>
    </w:p>
    <w:p w14:paraId="6F49B793" w14:textId="3A000F74" w:rsidR="000A7531" w:rsidRDefault="00B11A69" w:rsidP="00B11A69">
      <w:pPr>
        <w:spacing w:line="480" w:lineRule="auto"/>
        <w:ind w:firstLine="720"/>
        <w:jc w:val="both"/>
        <w:rPr>
          <w:rFonts w:eastAsia="Times New Roman" w:cs="Times New Roman"/>
          <w:i/>
          <w:iCs/>
          <w:szCs w:val="20"/>
          <w:u w:val="single"/>
        </w:rPr>
      </w:pPr>
      <w:r w:rsidRPr="00B11A69">
        <w:rPr>
          <w:rFonts w:eastAsia="Times New Roman" w:cs="Times New Roman"/>
          <w:i/>
          <w:iCs/>
          <w:szCs w:val="20"/>
          <w:u w:val="single"/>
        </w:rPr>
        <w:t>Además de dichos criterios, será preciso</w:t>
      </w:r>
      <w:r>
        <w:rPr>
          <w:rFonts w:eastAsia="Times New Roman" w:cs="Times New Roman"/>
          <w:i/>
          <w:iCs/>
          <w:szCs w:val="20"/>
          <w:u w:val="single"/>
        </w:rPr>
        <w:t xml:space="preserve"> </w:t>
      </w:r>
      <w:r w:rsidRPr="00B11A69">
        <w:rPr>
          <w:rFonts w:eastAsia="Times New Roman" w:cs="Times New Roman"/>
          <w:i/>
          <w:iCs/>
          <w:szCs w:val="20"/>
          <w:u w:val="single"/>
        </w:rPr>
        <w:t>examinar la naturaleza de la acusación</w:t>
      </w:r>
      <w:r w:rsidR="00410208">
        <w:rPr>
          <w:rFonts w:eastAsia="Times New Roman" w:cs="Times New Roman"/>
          <w:i/>
          <w:iCs/>
          <w:szCs w:val="20"/>
          <w:u w:val="single"/>
        </w:rPr>
        <w:t xml:space="preserve">. </w:t>
      </w:r>
      <w:r w:rsidR="000A7531">
        <w:rPr>
          <w:rFonts w:eastAsia="Times New Roman" w:cs="Times New Roman"/>
          <w:i/>
          <w:iCs/>
          <w:szCs w:val="20"/>
          <w:u w:val="single"/>
        </w:rPr>
        <w:t xml:space="preserve">Esto </w:t>
      </w:r>
      <w:r w:rsidR="000A7531" w:rsidRPr="00B11A69">
        <w:rPr>
          <w:rFonts w:eastAsia="Times New Roman" w:cs="Times New Roman"/>
          <w:i/>
          <w:iCs/>
          <w:szCs w:val="20"/>
          <w:u w:val="single"/>
        </w:rPr>
        <w:t>incluye</w:t>
      </w:r>
      <w:r w:rsidR="00410208">
        <w:rPr>
          <w:rFonts w:eastAsia="Times New Roman" w:cs="Times New Roman"/>
          <w:i/>
          <w:iCs/>
          <w:szCs w:val="20"/>
          <w:u w:val="single"/>
        </w:rPr>
        <w:t>:</w:t>
      </w:r>
      <w:r w:rsidRPr="00B11A69">
        <w:rPr>
          <w:rFonts w:eastAsia="Times New Roman" w:cs="Times New Roman"/>
          <w:i/>
          <w:iCs/>
          <w:szCs w:val="20"/>
          <w:u w:val="single"/>
        </w:rPr>
        <w:t xml:space="preserve"> </w:t>
      </w:r>
    </w:p>
    <w:p w14:paraId="15B8D0BD" w14:textId="6BEF8105" w:rsidR="000A7531" w:rsidRDefault="00B11A69" w:rsidP="00B11A69">
      <w:pPr>
        <w:spacing w:line="480" w:lineRule="auto"/>
        <w:ind w:firstLine="720"/>
        <w:jc w:val="both"/>
        <w:rPr>
          <w:rFonts w:eastAsia="Times New Roman" w:cs="Times New Roman"/>
          <w:i/>
          <w:iCs/>
          <w:szCs w:val="20"/>
          <w:u w:val="single"/>
        </w:rPr>
      </w:pPr>
      <w:r w:rsidRPr="00B11A69">
        <w:rPr>
          <w:rFonts w:eastAsia="Times New Roman" w:cs="Times New Roman"/>
          <w:i/>
          <w:iCs/>
          <w:szCs w:val="20"/>
          <w:u w:val="single"/>
        </w:rPr>
        <w:t>el tipo de</w:t>
      </w:r>
      <w:r w:rsidR="00410208">
        <w:rPr>
          <w:rFonts w:eastAsia="Times New Roman" w:cs="Times New Roman"/>
          <w:i/>
          <w:iCs/>
          <w:szCs w:val="20"/>
          <w:u w:val="single"/>
        </w:rPr>
        <w:t xml:space="preserve"> </w:t>
      </w:r>
      <w:r w:rsidRPr="00B11A69">
        <w:rPr>
          <w:rFonts w:eastAsia="Times New Roman" w:cs="Times New Roman"/>
          <w:i/>
          <w:iCs/>
          <w:szCs w:val="20"/>
          <w:u w:val="single"/>
        </w:rPr>
        <w:t>actividad delictiva en cuestión</w:t>
      </w:r>
      <w:r w:rsidR="00DE69FF">
        <w:rPr>
          <w:rFonts w:eastAsia="Times New Roman" w:cs="Times New Roman"/>
          <w:i/>
          <w:iCs/>
          <w:szCs w:val="20"/>
          <w:u w:val="single"/>
        </w:rPr>
        <w:t>;</w:t>
      </w:r>
      <w:r w:rsidRPr="00B11A69">
        <w:rPr>
          <w:rFonts w:eastAsia="Times New Roman" w:cs="Times New Roman"/>
          <w:i/>
          <w:iCs/>
          <w:szCs w:val="20"/>
          <w:u w:val="single"/>
        </w:rPr>
        <w:t xml:space="preserve"> </w:t>
      </w:r>
    </w:p>
    <w:p w14:paraId="566B4355" w14:textId="61DCDF81" w:rsidR="000A7531" w:rsidRDefault="00B11A69" w:rsidP="00B11A69">
      <w:pPr>
        <w:spacing w:line="480" w:lineRule="auto"/>
        <w:ind w:firstLine="720"/>
        <w:jc w:val="both"/>
        <w:rPr>
          <w:rFonts w:eastAsia="Times New Roman" w:cs="Times New Roman"/>
          <w:i/>
          <w:iCs/>
          <w:szCs w:val="20"/>
          <w:u w:val="single"/>
        </w:rPr>
      </w:pPr>
      <w:r w:rsidRPr="00B11A69">
        <w:rPr>
          <w:rFonts w:eastAsia="Times New Roman" w:cs="Times New Roman"/>
          <w:i/>
          <w:iCs/>
          <w:szCs w:val="20"/>
          <w:u w:val="single"/>
        </w:rPr>
        <w:t>su seriedad</w:t>
      </w:r>
      <w:r w:rsidR="00DE69FF">
        <w:rPr>
          <w:rFonts w:eastAsia="Times New Roman" w:cs="Times New Roman"/>
          <w:i/>
          <w:iCs/>
          <w:szCs w:val="20"/>
          <w:u w:val="single"/>
        </w:rPr>
        <w:t>;</w:t>
      </w:r>
      <w:r w:rsidRPr="00B11A69">
        <w:rPr>
          <w:rFonts w:eastAsia="Times New Roman" w:cs="Times New Roman"/>
          <w:i/>
          <w:iCs/>
          <w:szCs w:val="20"/>
          <w:u w:val="single"/>
        </w:rPr>
        <w:t xml:space="preserve"> </w:t>
      </w:r>
    </w:p>
    <w:p w14:paraId="7E4B83D5" w14:textId="63549794" w:rsidR="003B4293" w:rsidRDefault="00B11A69" w:rsidP="00B11A69">
      <w:pPr>
        <w:spacing w:line="480" w:lineRule="auto"/>
        <w:ind w:firstLine="720"/>
        <w:jc w:val="both"/>
        <w:rPr>
          <w:rFonts w:eastAsia="Times New Roman" w:cs="Times New Roman"/>
          <w:i/>
          <w:iCs/>
          <w:szCs w:val="20"/>
          <w:u w:val="single"/>
        </w:rPr>
      </w:pPr>
      <w:r w:rsidRPr="00B11A69">
        <w:rPr>
          <w:rFonts w:eastAsia="Times New Roman" w:cs="Times New Roman"/>
          <w:i/>
          <w:iCs/>
          <w:szCs w:val="20"/>
          <w:u w:val="single"/>
        </w:rPr>
        <w:t>la frecuencia con</w:t>
      </w:r>
      <w:r w:rsidR="00410208">
        <w:rPr>
          <w:rFonts w:eastAsia="Times New Roman" w:cs="Times New Roman"/>
          <w:i/>
          <w:iCs/>
          <w:szCs w:val="20"/>
          <w:u w:val="single"/>
        </w:rPr>
        <w:t xml:space="preserve"> </w:t>
      </w:r>
      <w:r w:rsidRPr="00B11A69">
        <w:rPr>
          <w:rFonts w:eastAsia="Times New Roman" w:cs="Times New Roman"/>
          <w:i/>
          <w:iCs/>
          <w:szCs w:val="20"/>
          <w:u w:val="single"/>
        </w:rPr>
        <w:t>que se archivan casos del mismo tipo</w:t>
      </w:r>
      <w:r w:rsidR="00A91D4D">
        <w:rPr>
          <w:rFonts w:eastAsia="Times New Roman" w:cs="Times New Roman"/>
          <w:i/>
          <w:iCs/>
          <w:szCs w:val="20"/>
          <w:u w:val="single"/>
        </w:rPr>
        <w:t>;</w:t>
      </w:r>
    </w:p>
    <w:p w14:paraId="05168050" w14:textId="5CAC790B" w:rsidR="00B11A69" w:rsidRDefault="00B11A69" w:rsidP="00B11A69">
      <w:pPr>
        <w:spacing w:line="480" w:lineRule="auto"/>
        <w:ind w:firstLine="720"/>
        <w:jc w:val="both"/>
        <w:rPr>
          <w:rFonts w:eastAsia="Times New Roman" w:cs="Times New Roman"/>
          <w:i/>
          <w:iCs/>
          <w:szCs w:val="20"/>
        </w:rPr>
      </w:pPr>
      <w:r w:rsidRPr="00B11A69">
        <w:rPr>
          <w:rFonts w:eastAsia="Times New Roman" w:cs="Times New Roman"/>
          <w:i/>
          <w:iCs/>
          <w:szCs w:val="20"/>
          <w:u w:val="single"/>
        </w:rPr>
        <w:t>el impacto del</w:t>
      </w:r>
      <w:r w:rsidR="00410208">
        <w:rPr>
          <w:rFonts w:eastAsia="Times New Roman" w:cs="Times New Roman"/>
          <w:i/>
          <w:iCs/>
          <w:szCs w:val="20"/>
          <w:u w:val="single"/>
        </w:rPr>
        <w:t xml:space="preserve"> </w:t>
      </w:r>
      <w:r w:rsidR="00366311">
        <w:rPr>
          <w:rFonts w:eastAsia="Times New Roman" w:cs="Times New Roman"/>
          <w:i/>
          <w:iCs/>
          <w:szCs w:val="20"/>
          <w:u w:val="single"/>
        </w:rPr>
        <w:t>archivo</w:t>
      </w:r>
      <w:r w:rsidRPr="00B11A69">
        <w:rPr>
          <w:rFonts w:eastAsia="Times New Roman" w:cs="Times New Roman"/>
          <w:i/>
          <w:iCs/>
          <w:szCs w:val="20"/>
          <w:u w:val="single"/>
        </w:rPr>
        <w:t xml:space="preserve"> sobre la administración de la justicia y los</w:t>
      </w:r>
      <w:r w:rsidR="00410208">
        <w:rPr>
          <w:rFonts w:eastAsia="Times New Roman" w:cs="Times New Roman"/>
          <w:i/>
          <w:iCs/>
          <w:szCs w:val="20"/>
          <w:u w:val="single"/>
        </w:rPr>
        <w:t xml:space="preserve"> </w:t>
      </w:r>
      <w:r w:rsidRPr="00B11A69">
        <w:rPr>
          <w:rFonts w:eastAsia="Times New Roman" w:cs="Times New Roman"/>
          <w:i/>
          <w:iCs/>
          <w:szCs w:val="20"/>
          <w:u w:val="single"/>
        </w:rPr>
        <w:t>derechos del acusado.</w:t>
      </w:r>
    </w:p>
    <w:p w14:paraId="5BBCF12E" w14:textId="1713896C" w:rsidR="00FB2808" w:rsidRDefault="00D34661" w:rsidP="00D34661">
      <w:pPr>
        <w:spacing w:line="480" w:lineRule="auto"/>
        <w:ind w:firstLine="720"/>
        <w:jc w:val="both"/>
        <w:rPr>
          <w:rFonts w:eastAsia="Times New Roman" w:cs="Times New Roman"/>
          <w:i/>
          <w:iCs/>
          <w:szCs w:val="20"/>
        </w:rPr>
      </w:pPr>
      <w:r w:rsidRPr="00D34661">
        <w:rPr>
          <w:rFonts w:eastAsia="Times New Roman" w:cs="Times New Roman"/>
          <w:i/>
          <w:iCs/>
          <w:szCs w:val="20"/>
          <w:u w:val="single"/>
        </w:rPr>
        <w:t xml:space="preserve">Aunque los factores </w:t>
      </w:r>
      <w:r w:rsidR="00501E69">
        <w:rPr>
          <w:rFonts w:eastAsia="Times New Roman" w:cs="Times New Roman"/>
          <w:i/>
          <w:iCs/>
          <w:szCs w:val="20"/>
          <w:u w:val="single"/>
        </w:rPr>
        <w:t>mencionados</w:t>
      </w:r>
      <w:r w:rsidRPr="00D34661">
        <w:rPr>
          <w:rFonts w:eastAsia="Times New Roman" w:cs="Times New Roman"/>
          <w:i/>
          <w:iCs/>
          <w:szCs w:val="20"/>
          <w:u w:val="single"/>
        </w:rPr>
        <w:t xml:space="preserve"> constituyen elementos</w:t>
      </w:r>
      <w:r w:rsidR="00E210B3">
        <w:rPr>
          <w:rFonts w:eastAsia="Times New Roman" w:cs="Times New Roman"/>
          <w:i/>
          <w:iCs/>
          <w:szCs w:val="20"/>
          <w:u w:val="single"/>
        </w:rPr>
        <w:t xml:space="preserve"> </w:t>
      </w:r>
      <w:r w:rsidRPr="00D34661">
        <w:rPr>
          <w:rFonts w:eastAsia="Times New Roman" w:cs="Times New Roman"/>
          <w:i/>
          <w:iCs/>
          <w:szCs w:val="20"/>
          <w:u w:val="single"/>
        </w:rPr>
        <w:t>necesarios a considerarse en la determinación de un tribunal de</w:t>
      </w:r>
      <w:r w:rsidR="00E210B3">
        <w:rPr>
          <w:rFonts w:eastAsia="Times New Roman" w:cs="Times New Roman"/>
          <w:i/>
          <w:iCs/>
          <w:szCs w:val="20"/>
          <w:u w:val="single"/>
        </w:rPr>
        <w:t xml:space="preserve"> </w:t>
      </w:r>
      <w:r w:rsidRPr="00D34661">
        <w:rPr>
          <w:rFonts w:eastAsia="Times New Roman" w:cs="Times New Roman"/>
          <w:i/>
          <w:iCs/>
          <w:szCs w:val="20"/>
          <w:u w:val="single"/>
        </w:rPr>
        <w:t>archivar una denuncia o acusación, esto no significa que todos</w:t>
      </w:r>
      <w:r w:rsidR="00787B6D">
        <w:rPr>
          <w:rFonts w:eastAsia="Times New Roman" w:cs="Times New Roman"/>
          <w:i/>
          <w:iCs/>
          <w:szCs w:val="20"/>
          <w:u w:val="single"/>
        </w:rPr>
        <w:t xml:space="preserve"> </w:t>
      </w:r>
      <w:r w:rsidRPr="00D34661">
        <w:rPr>
          <w:rFonts w:eastAsia="Times New Roman" w:cs="Times New Roman"/>
          <w:i/>
          <w:iCs/>
          <w:szCs w:val="20"/>
          <w:u w:val="single"/>
        </w:rPr>
        <w:t>deben concurrir para que se justifique el archivo. El tribunal</w:t>
      </w:r>
      <w:r w:rsidR="00787B6D">
        <w:rPr>
          <w:rFonts w:eastAsia="Times New Roman" w:cs="Times New Roman"/>
          <w:i/>
          <w:iCs/>
          <w:szCs w:val="20"/>
          <w:u w:val="single"/>
        </w:rPr>
        <w:t xml:space="preserve"> </w:t>
      </w:r>
      <w:r w:rsidRPr="00D34661">
        <w:rPr>
          <w:rFonts w:eastAsia="Times New Roman" w:cs="Times New Roman"/>
          <w:i/>
          <w:iCs/>
          <w:szCs w:val="20"/>
          <w:u w:val="single"/>
        </w:rPr>
        <w:t>puede tomar en cuenta otros factores para determinar si procede</w:t>
      </w:r>
      <w:r w:rsidR="00787B6D">
        <w:rPr>
          <w:rFonts w:eastAsia="Times New Roman" w:cs="Times New Roman"/>
          <w:i/>
          <w:iCs/>
          <w:szCs w:val="20"/>
          <w:u w:val="single"/>
        </w:rPr>
        <w:t xml:space="preserve"> </w:t>
      </w:r>
      <w:r w:rsidRPr="00D34661">
        <w:rPr>
          <w:rFonts w:eastAsia="Times New Roman" w:cs="Times New Roman"/>
          <w:i/>
          <w:iCs/>
          <w:szCs w:val="20"/>
          <w:u w:val="single"/>
        </w:rPr>
        <w:t>un sobreseimiento, que le permitan hacer el balance entre la</w:t>
      </w:r>
      <w:r w:rsidR="00787B6D">
        <w:rPr>
          <w:rFonts w:eastAsia="Times New Roman" w:cs="Times New Roman"/>
          <w:i/>
          <w:iCs/>
          <w:szCs w:val="20"/>
          <w:u w:val="single"/>
        </w:rPr>
        <w:t xml:space="preserve"> </w:t>
      </w:r>
      <w:r w:rsidRPr="00D34661">
        <w:rPr>
          <w:rFonts w:eastAsia="Times New Roman" w:cs="Times New Roman"/>
          <w:i/>
          <w:iCs/>
          <w:szCs w:val="20"/>
          <w:u w:val="single"/>
        </w:rPr>
        <w:t xml:space="preserve">libertad del individuo y el interés del </w:t>
      </w:r>
      <w:r w:rsidR="00787B6D">
        <w:rPr>
          <w:rFonts w:eastAsia="Times New Roman" w:cs="Times New Roman"/>
          <w:i/>
          <w:iCs/>
          <w:szCs w:val="20"/>
          <w:u w:val="single"/>
        </w:rPr>
        <w:t>Gobierno</w:t>
      </w:r>
      <w:r w:rsidRPr="00D34661">
        <w:rPr>
          <w:rFonts w:eastAsia="Times New Roman" w:cs="Times New Roman"/>
          <w:i/>
          <w:iCs/>
          <w:szCs w:val="20"/>
          <w:u w:val="single"/>
        </w:rPr>
        <w:t xml:space="preserve"> en encausar a los</w:t>
      </w:r>
      <w:r w:rsidR="00787B6D">
        <w:rPr>
          <w:rFonts w:eastAsia="Times New Roman" w:cs="Times New Roman"/>
          <w:i/>
          <w:iCs/>
          <w:szCs w:val="20"/>
          <w:u w:val="single"/>
        </w:rPr>
        <w:t xml:space="preserve"> </w:t>
      </w:r>
      <w:r w:rsidRPr="00D34661">
        <w:rPr>
          <w:rFonts w:eastAsia="Times New Roman" w:cs="Times New Roman"/>
          <w:i/>
          <w:iCs/>
          <w:szCs w:val="20"/>
          <w:u w:val="single"/>
        </w:rPr>
        <w:t>responsables de actos delictivos.</w:t>
      </w:r>
    </w:p>
    <w:p w14:paraId="22A29D1B" w14:textId="7ECEB9DB" w:rsidR="00F74F41" w:rsidRDefault="00F74F41" w:rsidP="00F74F41">
      <w:pPr>
        <w:spacing w:line="480" w:lineRule="auto"/>
        <w:ind w:firstLine="720"/>
        <w:jc w:val="both"/>
        <w:rPr>
          <w:rFonts w:eastAsia="Times New Roman" w:cs="Times New Roman"/>
          <w:i/>
          <w:iCs/>
          <w:szCs w:val="20"/>
        </w:rPr>
      </w:pPr>
      <w:r>
        <w:rPr>
          <w:rFonts w:eastAsia="Times New Roman" w:cs="Times New Roman"/>
          <w:i/>
          <w:iCs/>
          <w:szCs w:val="20"/>
        </w:rPr>
        <w:lastRenderedPageBreak/>
        <w:t>(c)…</w:t>
      </w:r>
    </w:p>
    <w:p w14:paraId="022B9FD0" w14:textId="40419625" w:rsidR="00F74F41" w:rsidRDefault="00F74F41" w:rsidP="00F74F41">
      <w:pPr>
        <w:spacing w:line="480" w:lineRule="auto"/>
        <w:ind w:firstLine="720"/>
        <w:jc w:val="both"/>
        <w:rPr>
          <w:rFonts w:eastAsia="Times New Roman" w:cs="Times New Roman"/>
          <w:i/>
          <w:iCs/>
          <w:szCs w:val="20"/>
        </w:rPr>
      </w:pPr>
      <w:r>
        <w:rPr>
          <w:rFonts w:eastAsia="Times New Roman" w:cs="Times New Roman"/>
          <w:i/>
          <w:iCs/>
          <w:szCs w:val="20"/>
        </w:rPr>
        <w:t>(d)…</w:t>
      </w:r>
    </w:p>
    <w:p w14:paraId="204E8DC2" w14:textId="0FEDF1E3" w:rsidR="00FA7B75" w:rsidRPr="00FA7B75" w:rsidRDefault="00FA7B75" w:rsidP="00FA7B75">
      <w:pPr>
        <w:spacing w:line="480" w:lineRule="auto"/>
        <w:ind w:firstLine="720"/>
        <w:jc w:val="both"/>
        <w:rPr>
          <w:rFonts w:eastAsia="Times New Roman" w:cs="Times New Roman"/>
          <w:szCs w:val="20"/>
          <w:lang w:val="es-ES"/>
        </w:rPr>
      </w:pPr>
      <w:r w:rsidRPr="00FA7B75">
        <w:rPr>
          <w:rFonts w:eastAsia="Times New Roman" w:cs="Times New Roman"/>
          <w:szCs w:val="20"/>
          <w:lang w:val="es-ES"/>
        </w:rPr>
        <w:t xml:space="preserve">Artículo 2.- Se enmienda la Regla </w:t>
      </w:r>
      <w:r w:rsidR="00F74F41">
        <w:rPr>
          <w:rFonts w:eastAsia="Times New Roman" w:cs="Times New Roman"/>
          <w:szCs w:val="20"/>
          <w:lang w:val="es-ES"/>
        </w:rPr>
        <w:t>72</w:t>
      </w:r>
      <w:r w:rsidRPr="00FA7B75">
        <w:rPr>
          <w:rFonts w:eastAsia="Times New Roman" w:cs="Times New Roman"/>
          <w:szCs w:val="20"/>
          <w:lang w:val="es-ES"/>
        </w:rPr>
        <w:t xml:space="preserve"> de Procedimiento Criminal de 1963, según enmendada, para que lea como sigue:</w:t>
      </w:r>
    </w:p>
    <w:p w14:paraId="00A10626" w14:textId="47196A43" w:rsidR="00FA7B75" w:rsidRDefault="00FA7B75" w:rsidP="00FA7B75">
      <w:pPr>
        <w:spacing w:line="480" w:lineRule="auto"/>
        <w:ind w:firstLine="720"/>
        <w:jc w:val="both"/>
        <w:rPr>
          <w:rFonts w:eastAsia="Times New Roman" w:cs="Times New Roman"/>
          <w:szCs w:val="20"/>
          <w:lang w:val="es-ES"/>
        </w:rPr>
      </w:pPr>
      <w:r w:rsidRPr="00FA7B75">
        <w:rPr>
          <w:rFonts w:eastAsia="Times New Roman" w:cs="Times New Roman"/>
          <w:szCs w:val="20"/>
          <w:lang w:val="es-ES"/>
        </w:rPr>
        <w:t xml:space="preserve">REGLA </w:t>
      </w:r>
      <w:r w:rsidR="00F74F41">
        <w:rPr>
          <w:rFonts w:eastAsia="Times New Roman" w:cs="Times New Roman"/>
          <w:szCs w:val="20"/>
          <w:lang w:val="es-ES"/>
        </w:rPr>
        <w:t>72</w:t>
      </w:r>
      <w:r w:rsidRPr="00FA7B75">
        <w:rPr>
          <w:rFonts w:eastAsia="Times New Roman" w:cs="Times New Roman"/>
          <w:szCs w:val="20"/>
          <w:lang w:val="es-ES"/>
        </w:rPr>
        <w:t xml:space="preserve">. </w:t>
      </w:r>
      <w:r w:rsidR="00F74F41" w:rsidRPr="00F74F41">
        <w:rPr>
          <w:rFonts w:eastAsia="Times New Roman" w:cs="Times New Roman"/>
          <w:szCs w:val="20"/>
          <w:lang w:val="es-ES"/>
        </w:rPr>
        <w:t>ALEGACIONES PREACORDADAS</w:t>
      </w:r>
      <w:r w:rsidRPr="00FA7B75">
        <w:rPr>
          <w:rFonts w:eastAsia="Times New Roman" w:cs="Times New Roman"/>
          <w:szCs w:val="20"/>
          <w:lang w:val="es-ES"/>
        </w:rPr>
        <w:t xml:space="preserve">. </w:t>
      </w:r>
    </w:p>
    <w:p w14:paraId="2297F82D" w14:textId="00ABE4D0"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En todos aquellos casos en que mediaren alegaciones </w:t>
      </w:r>
      <w:proofErr w:type="spellStart"/>
      <w:r w:rsidRPr="002C2A0B">
        <w:rPr>
          <w:rFonts w:eastAsia="Times New Roman" w:cs="Times New Roman"/>
          <w:szCs w:val="20"/>
          <w:lang w:val="es-ES"/>
        </w:rPr>
        <w:t>preacordadas</w:t>
      </w:r>
      <w:proofErr w:type="spellEnd"/>
      <w:r w:rsidRPr="002C2A0B">
        <w:rPr>
          <w:rFonts w:eastAsia="Times New Roman" w:cs="Times New Roman"/>
          <w:szCs w:val="20"/>
          <w:lang w:val="es-ES"/>
        </w:rPr>
        <w:t xml:space="preserve"> entre la defensa del</w:t>
      </w:r>
      <w:r>
        <w:rPr>
          <w:rFonts w:eastAsia="Times New Roman" w:cs="Times New Roman"/>
          <w:szCs w:val="20"/>
          <w:lang w:val="es-ES"/>
        </w:rPr>
        <w:t xml:space="preserve"> </w:t>
      </w:r>
      <w:r w:rsidRPr="002C2A0B">
        <w:rPr>
          <w:rFonts w:eastAsia="Times New Roman" w:cs="Times New Roman"/>
          <w:szCs w:val="20"/>
          <w:lang w:val="es-ES"/>
        </w:rPr>
        <w:t>imputado y el representante del Ministerio Público, se seguirá el siguiente procedimiento:</w:t>
      </w:r>
    </w:p>
    <w:p w14:paraId="73F9A11B" w14:textId="2AE1D7E1"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(1) El fiscal y el imputado, por mediación de su abogado, podrán iniciar conversaciones con</w:t>
      </w:r>
      <w:r>
        <w:rPr>
          <w:rFonts w:eastAsia="Times New Roman" w:cs="Times New Roman"/>
          <w:szCs w:val="20"/>
          <w:lang w:val="es-ES"/>
        </w:rPr>
        <w:t xml:space="preserve"> </w:t>
      </w:r>
      <w:r w:rsidRPr="002C2A0B">
        <w:rPr>
          <w:rFonts w:eastAsia="Times New Roman" w:cs="Times New Roman"/>
          <w:szCs w:val="20"/>
          <w:lang w:val="es-ES"/>
        </w:rPr>
        <w:t>miras a acordar que, a cambio de una alegación de culpabilidad por el delito alegado en la</w:t>
      </w:r>
      <w:r>
        <w:rPr>
          <w:rFonts w:eastAsia="Times New Roman" w:cs="Times New Roman"/>
          <w:szCs w:val="20"/>
          <w:lang w:val="es-ES"/>
        </w:rPr>
        <w:t xml:space="preserve"> </w:t>
      </w:r>
      <w:r w:rsidRPr="002C2A0B">
        <w:rPr>
          <w:rFonts w:eastAsia="Times New Roman" w:cs="Times New Roman"/>
          <w:szCs w:val="20"/>
          <w:lang w:val="es-ES"/>
        </w:rPr>
        <w:t>acusación o denuncia, o por uno de grado inferior o relacionado, el fiscal se obliga a uno o</w:t>
      </w:r>
      <w:r>
        <w:rPr>
          <w:rFonts w:eastAsia="Times New Roman" w:cs="Times New Roman"/>
          <w:szCs w:val="20"/>
          <w:lang w:val="es-ES"/>
        </w:rPr>
        <w:t xml:space="preserve"> </w:t>
      </w:r>
      <w:r w:rsidRPr="002C2A0B">
        <w:rPr>
          <w:rFonts w:eastAsia="Times New Roman" w:cs="Times New Roman"/>
          <w:szCs w:val="20"/>
          <w:lang w:val="es-ES"/>
        </w:rPr>
        <w:t>varios de los siguientes cursos de acción:</w:t>
      </w:r>
    </w:p>
    <w:p w14:paraId="4AA6809E" w14:textId="77777777"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(a) Solicitar el archivo de otros cargos pendientes que pesen sobre él;</w:t>
      </w:r>
    </w:p>
    <w:p w14:paraId="70A11852" w14:textId="77777777"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(b) eliminar alegación de reincidencia en cualquiera de sus grados;</w:t>
      </w:r>
    </w:p>
    <w:p w14:paraId="1A3E35D7" w14:textId="39F7430D"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(c) recomendar una sentencia en particular o no oponerse a la solicitud que haga la</w:t>
      </w:r>
      <w:r>
        <w:rPr>
          <w:rFonts w:eastAsia="Times New Roman" w:cs="Times New Roman"/>
          <w:szCs w:val="20"/>
          <w:lang w:val="es-ES"/>
        </w:rPr>
        <w:t xml:space="preserve"> </w:t>
      </w:r>
      <w:r w:rsidRPr="002C2A0B">
        <w:rPr>
          <w:rFonts w:eastAsia="Times New Roman" w:cs="Times New Roman"/>
          <w:szCs w:val="20"/>
          <w:lang w:val="es-ES"/>
        </w:rPr>
        <w:t>defensa sobre una sentencia específica, entendiéndose que ni lo uno ni lo otro</w:t>
      </w:r>
      <w:r>
        <w:rPr>
          <w:rFonts w:eastAsia="Times New Roman" w:cs="Times New Roman"/>
          <w:szCs w:val="20"/>
          <w:lang w:val="es-ES"/>
        </w:rPr>
        <w:t xml:space="preserve"> </w:t>
      </w:r>
      <w:r w:rsidRPr="002C2A0B">
        <w:rPr>
          <w:rFonts w:eastAsia="Times New Roman" w:cs="Times New Roman"/>
          <w:szCs w:val="20"/>
          <w:lang w:val="es-ES"/>
        </w:rPr>
        <w:t>serán obligatorios para el tribunal, o</w:t>
      </w:r>
    </w:p>
    <w:p w14:paraId="3C2BF550" w14:textId="455EF1F5"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(d) acordar que determinada sentencia específica es la que dispone </w:t>
      </w:r>
      <w:r w:rsidR="009D0589" w:rsidRPr="002C2A0B">
        <w:rPr>
          <w:rFonts w:eastAsia="Times New Roman" w:cs="Times New Roman"/>
          <w:szCs w:val="20"/>
          <w:lang w:val="es-ES"/>
        </w:rPr>
        <w:t>adecuadamente del</w:t>
      </w:r>
      <w:r w:rsidRPr="002C2A0B">
        <w:rPr>
          <w:rFonts w:eastAsia="Times New Roman" w:cs="Times New Roman"/>
          <w:szCs w:val="20"/>
          <w:lang w:val="es-ES"/>
        </w:rPr>
        <w:t xml:space="preserve"> caso.</w:t>
      </w:r>
    </w:p>
    <w:p w14:paraId="7D6ED93F" w14:textId="77777777"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El tribunal no participará en estas conversaciones.</w:t>
      </w:r>
    </w:p>
    <w:p w14:paraId="0E5E8C17" w14:textId="74F14761" w:rsid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(2) De llegarse a un acuerdo,</w:t>
      </w:r>
      <w:r>
        <w:rPr>
          <w:rFonts w:eastAsia="Times New Roman" w:cs="Times New Roman"/>
          <w:szCs w:val="20"/>
          <w:lang w:val="es-ES"/>
        </w:rPr>
        <w:t xml:space="preserve"> </w:t>
      </w:r>
      <w:r w:rsidRPr="00BD1D37">
        <w:rPr>
          <w:rFonts w:eastAsia="Times New Roman" w:cs="Times New Roman"/>
          <w:strike/>
          <w:szCs w:val="20"/>
          <w:lang w:val="es-ES"/>
        </w:rPr>
        <w:t>e</w:t>
      </w:r>
      <w:r w:rsidRPr="00BD1D37">
        <w:rPr>
          <w:rFonts w:eastAsia="Times New Roman" w:cs="Times New Roman"/>
          <w:i/>
          <w:iCs/>
          <w:strike/>
          <w:szCs w:val="20"/>
        </w:rPr>
        <w:t>l</w:t>
      </w:r>
      <w:r w:rsidRPr="002C2A0B">
        <w:rPr>
          <w:rFonts w:eastAsia="Times New Roman" w:cs="Times New Roman"/>
          <w:i/>
          <w:iCs/>
          <w:szCs w:val="20"/>
        </w:rPr>
        <w:t xml:space="preserve"> </w:t>
      </w:r>
      <w:r w:rsidR="00BD1D37" w:rsidRPr="00BD1D37">
        <w:rPr>
          <w:rFonts w:eastAsia="Times New Roman" w:cs="Times New Roman"/>
          <w:i/>
          <w:iCs/>
          <w:szCs w:val="20"/>
          <w:u w:val="single"/>
        </w:rPr>
        <w:t>el</w:t>
      </w:r>
      <w:r w:rsidR="00BD1D37" w:rsidRPr="00BD1D37">
        <w:rPr>
          <w:rFonts w:eastAsia="Times New Roman" w:cs="Times New Roman"/>
          <w:szCs w:val="20"/>
        </w:rPr>
        <w:t xml:space="preserve"> </w:t>
      </w:r>
      <w:r w:rsidRPr="002C2A0B">
        <w:rPr>
          <w:rFonts w:eastAsia="Times New Roman" w:cs="Times New Roman"/>
          <w:i/>
          <w:iCs/>
          <w:szCs w:val="20"/>
        </w:rPr>
        <w:t>Ministerio Público notificará por escrito a la víctima cualquier preacuerdo preliminar dentro de veinticuatro (24) horas de alcanzado</w:t>
      </w:r>
      <w:r>
        <w:rPr>
          <w:rFonts w:eastAsia="Times New Roman" w:cs="Times New Roman"/>
          <w:i/>
          <w:iCs/>
          <w:szCs w:val="20"/>
        </w:rPr>
        <w:t>, posteriormente,</w:t>
      </w:r>
      <w:r w:rsidRPr="002C2A0B">
        <w:rPr>
          <w:rFonts w:eastAsia="Times New Roman" w:cs="Times New Roman"/>
          <w:szCs w:val="20"/>
          <w:lang w:val="es-ES"/>
        </w:rPr>
        <w:t xml:space="preserve"> </w:t>
      </w:r>
      <w:r w:rsidRPr="002C2A0B">
        <w:rPr>
          <w:rFonts w:eastAsia="Times New Roman" w:cs="Times New Roman"/>
          <w:szCs w:val="20"/>
          <w:lang w:val="es-ES"/>
        </w:rPr>
        <w:lastRenderedPageBreak/>
        <w:t>las partes notificarán de sus detalles al tribunal en corte abierta,</w:t>
      </w:r>
      <w:r>
        <w:rPr>
          <w:rFonts w:eastAsia="Times New Roman" w:cs="Times New Roman"/>
          <w:szCs w:val="20"/>
          <w:lang w:val="es-ES"/>
        </w:rPr>
        <w:t xml:space="preserve"> </w:t>
      </w:r>
      <w:r w:rsidRPr="002C2A0B">
        <w:rPr>
          <w:rFonts w:eastAsia="Times New Roman" w:cs="Times New Roman"/>
          <w:szCs w:val="20"/>
          <w:lang w:val="es-ES"/>
        </w:rPr>
        <w:t>o en cámara si mediare justa causa para ello. Dicho acuerdo se hará constar en récord. Si</w:t>
      </w:r>
      <w:r>
        <w:rPr>
          <w:rFonts w:eastAsia="Times New Roman" w:cs="Times New Roman"/>
          <w:szCs w:val="20"/>
          <w:lang w:val="es-ES"/>
        </w:rPr>
        <w:t xml:space="preserve"> </w:t>
      </w:r>
      <w:r w:rsidRPr="002C2A0B">
        <w:rPr>
          <w:rFonts w:eastAsia="Times New Roman" w:cs="Times New Roman"/>
          <w:szCs w:val="20"/>
          <w:lang w:val="es-ES"/>
        </w:rPr>
        <w:t>el imputado se refiere a alguno de los cursos de acción especificados en las cláusulas (a),</w:t>
      </w:r>
      <w:r>
        <w:rPr>
          <w:rFonts w:eastAsia="Times New Roman" w:cs="Times New Roman"/>
          <w:szCs w:val="20"/>
          <w:lang w:val="es-ES"/>
        </w:rPr>
        <w:t xml:space="preserve"> </w:t>
      </w:r>
      <w:r w:rsidRPr="002C2A0B">
        <w:rPr>
          <w:rFonts w:eastAsia="Times New Roman" w:cs="Times New Roman"/>
          <w:szCs w:val="20"/>
          <w:lang w:val="es-ES"/>
        </w:rPr>
        <w:t>(b) y (d) del inciso (1) de esta regla, el tribunal podrá aceptarlo o rechazarlo, o aplazar su</w:t>
      </w:r>
      <w:r>
        <w:rPr>
          <w:rFonts w:eastAsia="Times New Roman" w:cs="Times New Roman"/>
          <w:szCs w:val="20"/>
          <w:lang w:val="es-ES"/>
        </w:rPr>
        <w:t xml:space="preserve"> </w:t>
      </w:r>
      <w:r w:rsidRPr="002C2A0B">
        <w:rPr>
          <w:rFonts w:eastAsia="Times New Roman" w:cs="Times New Roman"/>
          <w:szCs w:val="20"/>
          <w:lang w:val="es-ES"/>
        </w:rPr>
        <w:t xml:space="preserve">decisión hasta recibir y considerar el informe </w:t>
      </w:r>
      <w:proofErr w:type="spellStart"/>
      <w:r w:rsidRPr="002C2A0B">
        <w:rPr>
          <w:rFonts w:eastAsia="Times New Roman" w:cs="Times New Roman"/>
          <w:szCs w:val="20"/>
          <w:lang w:val="es-ES"/>
        </w:rPr>
        <w:t>presentencia</w:t>
      </w:r>
      <w:proofErr w:type="spellEnd"/>
      <w:r w:rsidRPr="002C2A0B">
        <w:rPr>
          <w:rFonts w:eastAsia="Times New Roman" w:cs="Times New Roman"/>
          <w:szCs w:val="20"/>
          <w:lang w:val="es-ES"/>
        </w:rPr>
        <w:t>. Si el curso de acción acordado</w:t>
      </w:r>
      <w:r>
        <w:rPr>
          <w:rFonts w:eastAsia="Times New Roman" w:cs="Times New Roman"/>
          <w:szCs w:val="20"/>
          <w:lang w:val="es-ES"/>
        </w:rPr>
        <w:t xml:space="preserve"> </w:t>
      </w:r>
      <w:r w:rsidRPr="002C2A0B">
        <w:rPr>
          <w:rFonts w:eastAsia="Times New Roman" w:cs="Times New Roman"/>
          <w:szCs w:val="20"/>
          <w:lang w:val="es-ES"/>
        </w:rPr>
        <w:t>fuere del tipo especificado en la cláusula (c) de dicho inciso el tribunal advertirá al</w:t>
      </w:r>
      <w:r>
        <w:rPr>
          <w:rFonts w:eastAsia="Times New Roman" w:cs="Times New Roman"/>
          <w:szCs w:val="20"/>
          <w:lang w:val="es-ES"/>
        </w:rPr>
        <w:t xml:space="preserve"> </w:t>
      </w:r>
      <w:r w:rsidRPr="002C2A0B">
        <w:rPr>
          <w:rFonts w:eastAsia="Times New Roman" w:cs="Times New Roman"/>
          <w:szCs w:val="20"/>
          <w:lang w:val="es-ES"/>
        </w:rPr>
        <w:t xml:space="preserve">imputado </w:t>
      </w:r>
      <w:r w:rsidR="000013AC" w:rsidRPr="002C2A0B">
        <w:rPr>
          <w:rFonts w:eastAsia="Times New Roman" w:cs="Times New Roman"/>
          <w:szCs w:val="20"/>
          <w:lang w:val="es-ES"/>
        </w:rPr>
        <w:t>que,</w:t>
      </w:r>
      <w:r w:rsidRPr="002C2A0B">
        <w:rPr>
          <w:rFonts w:eastAsia="Times New Roman" w:cs="Times New Roman"/>
          <w:szCs w:val="20"/>
          <w:lang w:val="es-ES"/>
        </w:rPr>
        <w:t xml:space="preserve"> si la recomendación del fiscal o la solicitud de la defensa no es aceptada por</w:t>
      </w:r>
      <w:r>
        <w:rPr>
          <w:rFonts w:eastAsia="Times New Roman" w:cs="Times New Roman"/>
          <w:szCs w:val="20"/>
          <w:lang w:val="es-ES"/>
        </w:rPr>
        <w:t xml:space="preserve"> </w:t>
      </w:r>
      <w:r w:rsidRPr="002C2A0B">
        <w:rPr>
          <w:rFonts w:eastAsia="Times New Roman" w:cs="Times New Roman"/>
          <w:szCs w:val="20"/>
          <w:lang w:val="es-ES"/>
        </w:rPr>
        <w:t>el tribunal, el imputado no tendrá derecho a retirar su alegación.</w:t>
      </w:r>
    </w:p>
    <w:p w14:paraId="752788CF" w14:textId="6E56A7B9" w:rsidR="002C2A0B" w:rsidRDefault="002C2A0B" w:rsidP="002C2A0B">
      <w:pPr>
        <w:spacing w:line="480" w:lineRule="auto"/>
        <w:ind w:firstLine="720"/>
        <w:jc w:val="both"/>
        <w:rPr>
          <w:rFonts w:eastAsia="Times New Roman" w:cs="Times New Roman"/>
          <w:i/>
          <w:iCs/>
          <w:szCs w:val="20"/>
        </w:rPr>
      </w:pPr>
      <w:r w:rsidRPr="002C2A0B">
        <w:rPr>
          <w:rFonts w:eastAsia="Times New Roman" w:cs="Times New Roman"/>
          <w:i/>
          <w:iCs/>
          <w:szCs w:val="20"/>
        </w:rPr>
        <w:t>Antes de que el tribunal acepte el acuerdo, deberá conceder a la víctima</w:t>
      </w:r>
      <w:r>
        <w:rPr>
          <w:rFonts w:eastAsia="Times New Roman" w:cs="Times New Roman"/>
          <w:i/>
          <w:iCs/>
          <w:szCs w:val="20"/>
        </w:rPr>
        <w:t>, de esta solicitarlo,</w:t>
      </w:r>
      <w:r w:rsidRPr="002C2A0B">
        <w:rPr>
          <w:rFonts w:eastAsia="Times New Roman" w:cs="Times New Roman"/>
          <w:i/>
          <w:iCs/>
          <w:szCs w:val="20"/>
        </w:rPr>
        <w:t xml:space="preserve"> la oportunidad de dirigirse brevemente a</w:t>
      </w:r>
      <w:r>
        <w:rPr>
          <w:rFonts w:eastAsia="Times New Roman" w:cs="Times New Roman"/>
          <w:i/>
          <w:iCs/>
          <w:szCs w:val="20"/>
        </w:rPr>
        <w:t>l juez</w:t>
      </w:r>
      <w:r w:rsidRPr="002C2A0B">
        <w:rPr>
          <w:rFonts w:eastAsia="Times New Roman" w:cs="Times New Roman"/>
          <w:i/>
          <w:iCs/>
          <w:szCs w:val="20"/>
        </w:rPr>
        <w:t>, en persona o mediante representación</w:t>
      </w:r>
      <w:r>
        <w:rPr>
          <w:rFonts w:eastAsia="Times New Roman" w:cs="Times New Roman"/>
          <w:i/>
          <w:iCs/>
          <w:szCs w:val="20"/>
        </w:rPr>
        <w:t xml:space="preserve"> legal</w:t>
      </w:r>
      <w:r w:rsidRPr="002C2A0B">
        <w:rPr>
          <w:rFonts w:eastAsia="Times New Roman" w:cs="Times New Roman"/>
          <w:i/>
          <w:iCs/>
          <w:szCs w:val="20"/>
        </w:rPr>
        <w:t>, para exponer su posición.</w:t>
      </w:r>
    </w:p>
    <w:p w14:paraId="34E4F247" w14:textId="7C7F8884" w:rsidR="002C2A0B" w:rsidRPr="002C2A0B" w:rsidRDefault="002C2A0B" w:rsidP="002C2A0B">
      <w:pPr>
        <w:spacing w:line="480" w:lineRule="auto"/>
        <w:ind w:firstLine="720"/>
        <w:jc w:val="both"/>
        <w:rPr>
          <w:rFonts w:eastAsia="Times New Roman" w:cs="Times New Roman"/>
          <w:i/>
          <w:iCs/>
          <w:szCs w:val="20"/>
          <w:lang w:val="es-ES"/>
        </w:rPr>
      </w:pPr>
      <w:r w:rsidRPr="002C2A0B">
        <w:rPr>
          <w:rFonts w:eastAsia="Times New Roman" w:cs="Times New Roman"/>
          <w:i/>
          <w:iCs/>
          <w:szCs w:val="20"/>
        </w:rPr>
        <w:t xml:space="preserve">La aceptación o rechazo del acuerdo </w:t>
      </w:r>
      <w:r>
        <w:rPr>
          <w:rFonts w:eastAsia="Times New Roman" w:cs="Times New Roman"/>
          <w:i/>
          <w:iCs/>
          <w:szCs w:val="20"/>
        </w:rPr>
        <w:t xml:space="preserve">por parte del juez, </w:t>
      </w:r>
      <w:r w:rsidRPr="002C2A0B">
        <w:rPr>
          <w:rFonts w:eastAsia="Times New Roman" w:cs="Times New Roman"/>
          <w:i/>
          <w:iCs/>
          <w:szCs w:val="20"/>
        </w:rPr>
        <w:t xml:space="preserve">no estará </w:t>
      </w:r>
      <w:r w:rsidR="009D0589" w:rsidRPr="002C2A0B">
        <w:rPr>
          <w:rFonts w:eastAsia="Times New Roman" w:cs="Times New Roman"/>
          <w:i/>
          <w:iCs/>
          <w:szCs w:val="20"/>
        </w:rPr>
        <w:t>supe</w:t>
      </w:r>
      <w:r w:rsidR="009D0589">
        <w:rPr>
          <w:rFonts w:eastAsia="Times New Roman" w:cs="Times New Roman"/>
          <w:i/>
          <w:iCs/>
          <w:szCs w:val="20"/>
        </w:rPr>
        <w:t>d</w:t>
      </w:r>
      <w:r w:rsidR="009D0589" w:rsidRPr="002C2A0B">
        <w:rPr>
          <w:rFonts w:eastAsia="Times New Roman" w:cs="Times New Roman"/>
          <w:i/>
          <w:iCs/>
          <w:szCs w:val="20"/>
        </w:rPr>
        <w:t>itada</w:t>
      </w:r>
      <w:r w:rsidRPr="002C2A0B">
        <w:rPr>
          <w:rFonts w:eastAsia="Times New Roman" w:cs="Times New Roman"/>
          <w:i/>
          <w:iCs/>
          <w:szCs w:val="20"/>
        </w:rPr>
        <w:t xml:space="preserve"> a la </w:t>
      </w:r>
      <w:r>
        <w:rPr>
          <w:rFonts w:eastAsia="Times New Roman" w:cs="Times New Roman"/>
          <w:i/>
          <w:iCs/>
          <w:szCs w:val="20"/>
        </w:rPr>
        <w:t>anuencia o no de la</w:t>
      </w:r>
      <w:r w:rsidRPr="002C2A0B">
        <w:rPr>
          <w:rFonts w:eastAsia="Times New Roman" w:cs="Times New Roman"/>
          <w:i/>
          <w:iCs/>
          <w:szCs w:val="20"/>
        </w:rPr>
        <w:t xml:space="preserve"> víctima; sin embargo, la sentencia o resolución deberá indicar que se escuchó a la víctima y explicará, en lenguaje claro, c</w:t>
      </w:r>
      <w:r w:rsidR="009D0589">
        <w:rPr>
          <w:rFonts w:eastAsia="Times New Roman" w:cs="Times New Roman"/>
          <w:i/>
          <w:iCs/>
          <w:szCs w:val="20"/>
        </w:rPr>
        <w:t>o</w:t>
      </w:r>
      <w:r w:rsidRPr="002C2A0B">
        <w:rPr>
          <w:rFonts w:eastAsia="Times New Roman" w:cs="Times New Roman"/>
          <w:i/>
          <w:iCs/>
          <w:szCs w:val="20"/>
        </w:rPr>
        <w:t>mo se balancearon sus intereses con los del Estado y del imputado.</w:t>
      </w:r>
    </w:p>
    <w:p w14:paraId="5EF21C1E" w14:textId="7E5ED22E"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(3) Si la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es aceptada por el tribunal, éste informará al imputado que la</w:t>
      </w:r>
      <w:r>
        <w:rPr>
          <w:rFonts w:eastAsia="Times New Roman" w:cs="Times New Roman"/>
          <w:szCs w:val="20"/>
          <w:lang w:val="es-ES"/>
        </w:rPr>
        <w:t xml:space="preserve"> </w:t>
      </w:r>
      <w:r w:rsidRPr="002C2A0B">
        <w:rPr>
          <w:rFonts w:eastAsia="Times New Roman" w:cs="Times New Roman"/>
          <w:szCs w:val="20"/>
          <w:lang w:val="es-ES"/>
        </w:rPr>
        <w:t>misma se incorporará y se hará formar parte de la sentencia.</w:t>
      </w:r>
    </w:p>
    <w:p w14:paraId="291FA22A" w14:textId="3E0829DC" w:rsidR="00F74F41"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(4) Si la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es rechazada por el tribunal, éste así lo informará a las partes</w:t>
      </w:r>
      <w:r>
        <w:rPr>
          <w:rFonts w:eastAsia="Times New Roman" w:cs="Times New Roman"/>
          <w:szCs w:val="20"/>
          <w:lang w:val="es-ES"/>
        </w:rPr>
        <w:t xml:space="preserve"> </w:t>
      </w:r>
      <w:r w:rsidRPr="002C2A0B">
        <w:rPr>
          <w:rFonts w:eastAsia="Times New Roman" w:cs="Times New Roman"/>
          <w:szCs w:val="20"/>
          <w:lang w:val="es-ES"/>
        </w:rPr>
        <w:t>y advertirá al imputado personalmente en corte abierta, o en cámara si mediare justa causa</w:t>
      </w:r>
      <w:r>
        <w:rPr>
          <w:rFonts w:eastAsia="Times New Roman" w:cs="Times New Roman"/>
          <w:szCs w:val="20"/>
          <w:lang w:val="es-ES"/>
        </w:rPr>
        <w:t xml:space="preserve"> </w:t>
      </w:r>
      <w:r w:rsidRPr="002C2A0B">
        <w:rPr>
          <w:rFonts w:eastAsia="Times New Roman" w:cs="Times New Roman"/>
          <w:szCs w:val="20"/>
          <w:lang w:val="es-ES"/>
        </w:rPr>
        <w:t>para ello, que el tribunal no está obligado por el acuerdo, y brindará al imputado la</w:t>
      </w:r>
      <w:r>
        <w:rPr>
          <w:rFonts w:eastAsia="Times New Roman" w:cs="Times New Roman"/>
          <w:szCs w:val="20"/>
          <w:lang w:val="es-ES"/>
        </w:rPr>
        <w:t xml:space="preserve"> </w:t>
      </w:r>
      <w:r w:rsidRPr="002C2A0B">
        <w:rPr>
          <w:rFonts w:eastAsia="Times New Roman" w:cs="Times New Roman"/>
          <w:szCs w:val="20"/>
          <w:lang w:val="es-ES"/>
        </w:rPr>
        <w:t>oportunidad de retirar su alegación. Le advertirá, además, que si persiste en su alegación</w:t>
      </w:r>
    </w:p>
    <w:p w14:paraId="7918B8BB" w14:textId="6A3F4076" w:rsidR="002C2A0B" w:rsidRPr="002C2A0B" w:rsidRDefault="002C2A0B" w:rsidP="002C2A0B">
      <w:pPr>
        <w:spacing w:line="480" w:lineRule="auto"/>
        <w:jc w:val="both"/>
        <w:rPr>
          <w:rFonts w:eastAsia="Times New Roman" w:cs="Times New Roman"/>
          <w:szCs w:val="20"/>
          <w:lang w:val="es-ES"/>
        </w:rPr>
      </w:pPr>
      <w:r w:rsidRPr="002C2A0B">
        <w:rPr>
          <w:rFonts w:eastAsia="Times New Roman" w:cs="Times New Roman"/>
          <w:szCs w:val="20"/>
          <w:lang w:val="es-ES"/>
        </w:rPr>
        <w:lastRenderedPageBreak/>
        <w:t>de culpabilidad, la determinación final del caso podrá serle menos favorable que la</w:t>
      </w:r>
      <w:r>
        <w:rPr>
          <w:rFonts w:eastAsia="Times New Roman" w:cs="Times New Roman"/>
          <w:szCs w:val="20"/>
          <w:lang w:val="es-ES"/>
        </w:rPr>
        <w:t xml:space="preserve"> </w:t>
      </w:r>
      <w:r w:rsidRPr="002C2A0B">
        <w:rPr>
          <w:rFonts w:eastAsia="Times New Roman" w:cs="Times New Roman"/>
          <w:szCs w:val="20"/>
          <w:lang w:val="es-ES"/>
        </w:rPr>
        <w:t>acordada entre su abogado y el fiscal. De este trámite se tomará constancia en el récord.</w:t>
      </w:r>
    </w:p>
    <w:p w14:paraId="06FDE820" w14:textId="7C71094C"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(5) La notificación al tribunal sobre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se hará antes del juicio,</w:t>
      </w:r>
      <w:r>
        <w:rPr>
          <w:rFonts w:eastAsia="Times New Roman" w:cs="Times New Roman"/>
          <w:szCs w:val="20"/>
          <w:lang w:val="es-ES"/>
        </w:rPr>
        <w:t xml:space="preserve"> </w:t>
      </w:r>
      <w:r w:rsidRPr="002C2A0B">
        <w:rPr>
          <w:rFonts w:eastAsia="Times New Roman" w:cs="Times New Roman"/>
          <w:szCs w:val="20"/>
          <w:lang w:val="es-ES"/>
        </w:rPr>
        <w:t>preferiblemente en el acto de lectura de la acusación, pero el tribunal podrá, en el ejercicio</w:t>
      </w:r>
      <w:r>
        <w:rPr>
          <w:rFonts w:eastAsia="Times New Roman" w:cs="Times New Roman"/>
          <w:szCs w:val="20"/>
          <w:lang w:val="es-ES"/>
        </w:rPr>
        <w:t xml:space="preserve"> </w:t>
      </w:r>
      <w:r w:rsidRPr="002C2A0B">
        <w:rPr>
          <w:rFonts w:eastAsia="Times New Roman" w:cs="Times New Roman"/>
          <w:szCs w:val="20"/>
          <w:lang w:val="es-ES"/>
        </w:rPr>
        <w:t>de su discreción, si las circunstancias lo ameritaren, permitirlo en cualquier otro momento.</w:t>
      </w:r>
    </w:p>
    <w:p w14:paraId="0AF7B7EE" w14:textId="3758B241"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(6) La existencia de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sus términos o condiciones, y los detalles y</w:t>
      </w:r>
      <w:r>
        <w:rPr>
          <w:rFonts w:eastAsia="Times New Roman" w:cs="Times New Roman"/>
          <w:szCs w:val="20"/>
          <w:lang w:val="es-ES"/>
        </w:rPr>
        <w:t xml:space="preserve"> </w:t>
      </w:r>
      <w:r w:rsidRPr="002C2A0B">
        <w:rPr>
          <w:rFonts w:eastAsia="Times New Roman" w:cs="Times New Roman"/>
          <w:szCs w:val="20"/>
          <w:lang w:val="es-ES"/>
        </w:rPr>
        <w:t>conversaciones conducentes a la misma no serán admisibles contra el imputado en ningún</w:t>
      </w:r>
      <w:r>
        <w:rPr>
          <w:rFonts w:eastAsia="Times New Roman" w:cs="Times New Roman"/>
          <w:szCs w:val="20"/>
          <w:lang w:val="es-ES"/>
        </w:rPr>
        <w:t xml:space="preserve"> </w:t>
      </w:r>
      <w:r w:rsidRPr="002C2A0B">
        <w:rPr>
          <w:rFonts w:eastAsia="Times New Roman" w:cs="Times New Roman"/>
          <w:szCs w:val="20"/>
          <w:lang w:val="es-ES"/>
        </w:rPr>
        <w:t xml:space="preserve">procedimiento criminal, civil o administrativo si la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hubiere sido</w:t>
      </w:r>
      <w:r>
        <w:rPr>
          <w:rFonts w:eastAsia="Times New Roman" w:cs="Times New Roman"/>
          <w:szCs w:val="20"/>
          <w:lang w:val="es-ES"/>
        </w:rPr>
        <w:t xml:space="preserve"> </w:t>
      </w:r>
      <w:r w:rsidRPr="002C2A0B">
        <w:rPr>
          <w:rFonts w:eastAsia="Times New Roman" w:cs="Times New Roman"/>
          <w:szCs w:val="20"/>
          <w:lang w:val="es-ES"/>
        </w:rPr>
        <w:t>rechazada por el tribunal o invalidada en algún recurso posterior o retirada válidamente por</w:t>
      </w:r>
      <w:r>
        <w:rPr>
          <w:rFonts w:eastAsia="Times New Roman" w:cs="Times New Roman"/>
          <w:szCs w:val="20"/>
          <w:lang w:val="es-ES"/>
        </w:rPr>
        <w:t xml:space="preserve"> </w:t>
      </w:r>
      <w:r w:rsidRPr="002C2A0B">
        <w:rPr>
          <w:rFonts w:eastAsia="Times New Roman" w:cs="Times New Roman"/>
          <w:szCs w:val="20"/>
          <w:lang w:val="es-ES"/>
        </w:rPr>
        <w:t>el imputado. Lo anterior será admisible por excepción en un procedimiento criminal por</w:t>
      </w:r>
      <w:r>
        <w:rPr>
          <w:rFonts w:eastAsia="Times New Roman" w:cs="Times New Roman"/>
          <w:szCs w:val="20"/>
          <w:lang w:val="es-ES"/>
        </w:rPr>
        <w:t xml:space="preserve"> </w:t>
      </w:r>
      <w:r w:rsidRPr="002C2A0B">
        <w:rPr>
          <w:rFonts w:eastAsia="Times New Roman" w:cs="Times New Roman"/>
          <w:szCs w:val="20"/>
          <w:lang w:val="es-ES"/>
        </w:rPr>
        <w:t>perjurio contra el imputado basado en manifestaciones hechas por él bajo juramento.</w:t>
      </w:r>
    </w:p>
    <w:p w14:paraId="27FFFEA3" w14:textId="7A862531" w:rsidR="002C2A0B" w:rsidRDefault="002C2A0B" w:rsidP="002C2A0B">
      <w:pPr>
        <w:spacing w:line="480" w:lineRule="auto"/>
        <w:ind w:firstLine="720"/>
        <w:jc w:val="both"/>
        <w:rPr>
          <w:rFonts w:eastAsia="Times New Roman" w:cs="Times New Roman"/>
          <w:strike/>
          <w:szCs w:val="20"/>
          <w:lang w:val="es-ES"/>
        </w:rPr>
      </w:pPr>
      <w:r w:rsidRPr="002C2A0B">
        <w:rPr>
          <w:rFonts w:eastAsia="Times New Roman" w:cs="Times New Roman"/>
          <w:szCs w:val="20"/>
          <w:lang w:val="es-ES"/>
        </w:rPr>
        <w:t xml:space="preserve">(7) </w:t>
      </w:r>
      <w:r w:rsidRPr="00F40984">
        <w:rPr>
          <w:rFonts w:eastAsia="Times New Roman" w:cs="Times New Roman"/>
          <w:strike/>
          <w:szCs w:val="20"/>
          <w:lang w:val="es-ES"/>
        </w:rPr>
        <w:t xml:space="preserve">Al decidir sobre la aceptación de una alegación </w:t>
      </w:r>
      <w:proofErr w:type="spellStart"/>
      <w:r w:rsidRPr="00F40984">
        <w:rPr>
          <w:rFonts w:eastAsia="Times New Roman" w:cs="Times New Roman"/>
          <w:strike/>
          <w:szCs w:val="20"/>
          <w:lang w:val="es-ES"/>
        </w:rPr>
        <w:t>preacordada</w:t>
      </w:r>
      <w:proofErr w:type="spellEnd"/>
      <w:r w:rsidRPr="00F40984">
        <w:rPr>
          <w:rFonts w:eastAsia="Times New Roman" w:cs="Times New Roman"/>
          <w:strike/>
          <w:szCs w:val="20"/>
          <w:lang w:val="es-ES"/>
        </w:rPr>
        <w:t xml:space="preserve"> el tribunal deberá cerciorarse de que ha sido hecha con pleno conocimiento, conformidad y voluntariedad del imputado; que es conveniente a una sana administración de justicia, y que ha sido lograda conforme a derecho y a la ética. A este fin, el tribunal podrá requerir del fiscal y del abogado del imputado aquella información, datos y documentos que tengan en su poder y que estime necesarios, y podrá examinar al imputado y a cualquier otra persona que a su juicio sea conveniente.</w:t>
      </w:r>
    </w:p>
    <w:p w14:paraId="3222B3A7" w14:textId="77777777" w:rsidR="00C949B7" w:rsidRDefault="00F40984" w:rsidP="00C949B7">
      <w:pPr>
        <w:spacing w:line="480" w:lineRule="auto"/>
        <w:ind w:left="720"/>
        <w:jc w:val="both"/>
        <w:rPr>
          <w:rFonts w:eastAsia="Times New Roman" w:cs="Times New Roman"/>
          <w:i/>
          <w:iCs/>
          <w:szCs w:val="20"/>
          <w:u w:val="single"/>
          <w:lang w:val="es-ES"/>
        </w:rPr>
      </w:pPr>
      <w:r w:rsidRPr="00C949B7">
        <w:rPr>
          <w:rFonts w:eastAsia="Times New Roman" w:cs="Times New Roman"/>
          <w:i/>
          <w:iCs/>
          <w:szCs w:val="20"/>
          <w:u w:val="single"/>
          <w:lang w:val="es-ES"/>
        </w:rPr>
        <w:t xml:space="preserve">Al decidir sobre la aceptación de una alegación </w:t>
      </w:r>
      <w:proofErr w:type="spellStart"/>
      <w:r w:rsidRPr="00C949B7">
        <w:rPr>
          <w:rFonts w:eastAsia="Times New Roman" w:cs="Times New Roman"/>
          <w:i/>
          <w:iCs/>
          <w:szCs w:val="20"/>
          <w:u w:val="single"/>
          <w:lang w:val="es-ES"/>
        </w:rPr>
        <w:t>preacordada</w:t>
      </w:r>
      <w:proofErr w:type="spellEnd"/>
      <w:r w:rsidR="00CB4771" w:rsidRPr="00C949B7">
        <w:rPr>
          <w:rFonts w:eastAsia="Times New Roman" w:cs="Times New Roman"/>
          <w:i/>
          <w:iCs/>
          <w:szCs w:val="20"/>
          <w:u w:val="single"/>
          <w:lang w:val="es-ES"/>
        </w:rPr>
        <w:t>,</w:t>
      </w:r>
      <w:r w:rsidRPr="00C949B7">
        <w:rPr>
          <w:rFonts w:eastAsia="Times New Roman" w:cs="Times New Roman"/>
          <w:i/>
          <w:iCs/>
          <w:szCs w:val="20"/>
          <w:u w:val="single"/>
          <w:lang w:val="es-ES"/>
        </w:rPr>
        <w:t xml:space="preserve"> el tribunal deberá</w:t>
      </w:r>
      <w:r w:rsidR="00C949B7" w:rsidRPr="00C949B7">
        <w:rPr>
          <w:rFonts w:eastAsia="Times New Roman" w:cs="Times New Roman"/>
          <w:i/>
          <w:iCs/>
          <w:szCs w:val="20"/>
          <w:u w:val="single"/>
          <w:lang w:val="es-ES"/>
        </w:rPr>
        <w:t>:</w:t>
      </w:r>
      <w:r w:rsidRPr="00C949B7">
        <w:rPr>
          <w:rFonts w:eastAsia="Times New Roman" w:cs="Times New Roman"/>
          <w:i/>
          <w:iCs/>
          <w:szCs w:val="20"/>
          <w:u w:val="single"/>
          <w:lang w:val="es-ES"/>
        </w:rPr>
        <w:t xml:space="preserve"> </w:t>
      </w:r>
    </w:p>
    <w:p w14:paraId="036A702C" w14:textId="44CC0093" w:rsidR="00C36629" w:rsidRDefault="00B70349" w:rsidP="00C949B7">
      <w:pPr>
        <w:spacing w:line="480" w:lineRule="auto"/>
        <w:ind w:left="720"/>
        <w:jc w:val="both"/>
        <w:rPr>
          <w:rFonts w:eastAsia="Times New Roman" w:cs="Times New Roman"/>
          <w:i/>
          <w:iCs/>
          <w:szCs w:val="20"/>
          <w:u w:val="single"/>
          <w:lang w:val="es-ES"/>
        </w:rPr>
      </w:pPr>
      <w:r>
        <w:rPr>
          <w:rFonts w:eastAsia="Times New Roman" w:cs="Times New Roman"/>
          <w:i/>
          <w:iCs/>
          <w:szCs w:val="20"/>
          <w:u w:val="single"/>
          <w:lang w:val="es-ES"/>
        </w:rPr>
        <w:t>(a) tomar en cuenta el parecer de la persona perjudicada;</w:t>
      </w:r>
    </w:p>
    <w:p w14:paraId="5CBECA43" w14:textId="4AE58476" w:rsidR="00B70349" w:rsidRDefault="00B70349" w:rsidP="00C949B7">
      <w:pPr>
        <w:spacing w:line="480" w:lineRule="auto"/>
        <w:ind w:left="720"/>
        <w:jc w:val="both"/>
        <w:rPr>
          <w:rFonts w:eastAsia="Times New Roman" w:cs="Times New Roman"/>
          <w:i/>
          <w:iCs/>
          <w:szCs w:val="20"/>
          <w:u w:val="single"/>
          <w:lang w:val="es-ES"/>
        </w:rPr>
      </w:pPr>
      <w:r>
        <w:rPr>
          <w:rFonts w:eastAsia="Times New Roman" w:cs="Times New Roman"/>
          <w:i/>
          <w:iCs/>
          <w:szCs w:val="20"/>
          <w:u w:val="single"/>
          <w:lang w:val="es-ES"/>
        </w:rPr>
        <w:lastRenderedPageBreak/>
        <w:t>(b)</w:t>
      </w:r>
      <w:r w:rsidR="00C63AF0">
        <w:rPr>
          <w:rFonts w:eastAsia="Times New Roman" w:cs="Times New Roman"/>
          <w:i/>
          <w:iCs/>
          <w:szCs w:val="20"/>
          <w:u w:val="single"/>
          <w:lang w:val="es-ES"/>
        </w:rPr>
        <w:t xml:space="preserve"> </w:t>
      </w:r>
      <w:r w:rsidR="00C63AF0" w:rsidRPr="00C63AF0">
        <w:rPr>
          <w:rFonts w:eastAsia="Times New Roman" w:cs="Times New Roman"/>
          <w:i/>
          <w:iCs/>
          <w:szCs w:val="20"/>
          <w:u w:val="single"/>
          <w:lang w:val="es-ES"/>
        </w:rPr>
        <w:t>cerciorarse que sirve al interés p</w:t>
      </w:r>
      <w:r w:rsidR="00C63AF0">
        <w:rPr>
          <w:rFonts w:eastAsia="Times New Roman" w:cs="Times New Roman"/>
          <w:i/>
          <w:iCs/>
          <w:szCs w:val="20"/>
          <w:u w:val="single"/>
          <w:lang w:val="es-ES"/>
        </w:rPr>
        <w:t>ú</w:t>
      </w:r>
      <w:r w:rsidR="00C63AF0" w:rsidRPr="00C63AF0">
        <w:rPr>
          <w:rFonts w:eastAsia="Times New Roman" w:cs="Times New Roman"/>
          <w:i/>
          <w:iCs/>
          <w:szCs w:val="20"/>
          <w:u w:val="single"/>
          <w:lang w:val="es-ES"/>
        </w:rPr>
        <w:t>blico</w:t>
      </w:r>
      <w:r w:rsidR="00C63AF0">
        <w:rPr>
          <w:rFonts w:eastAsia="Times New Roman" w:cs="Times New Roman"/>
          <w:i/>
          <w:iCs/>
          <w:szCs w:val="20"/>
          <w:u w:val="single"/>
          <w:lang w:val="es-ES"/>
        </w:rPr>
        <w:t>;</w:t>
      </w:r>
    </w:p>
    <w:p w14:paraId="4619670C" w14:textId="49AC548B" w:rsidR="00C949B7" w:rsidRPr="00C949B7" w:rsidRDefault="00C63AF0" w:rsidP="00C949B7">
      <w:pPr>
        <w:spacing w:line="480" w:lineRule="auto"/>
        <w:ind w:left="720"/>
        <w:jc w:val="both"/>
        <w:rPr>
          <w:rFonts w:eastAsia="Times New Roman" w:cs="Times New Roman"/>
          <w:i/>
          <w:iCs/>
          <w:szCs w:val="20"/>
          <w:u w:val="single"/>
          <w:lang w:val="es-ES"/>
        </w:rPr>
      </w:pPr>
      <w:r>
        <w:rPr>
          <w:rFonts w:eastAsia="Times New Roman" w:cs="Times New Roman"/>
          <w:i/>
          <w:iCs/>
          <w:szCs w:val="20"/>
          <w:u w:val="single"/>
          <w:lang w:val="es-ES"/>
        </w:rPr>
        <w:t xml:space="preserve">(c) </w:t>
      </w:r>
      <w:r w:rsidR="00F40984" w:rsidRPr="00C949B7">
        <w:rPr>
          <w:rFonts w:eastAsia="Times New Roman" w:cs="Times New Roman"/>
          <w:i/>
          <w:iCs/>
          <w:szCs w:val="20"/>
          <w:u w:val="single"/>
          <w:lang w:val="es-ES"/>
        </w:rPr>
        <w:t xml:space="preserve">cerciorarse que </w:t>
      </w:r>
      <w:r>
        <w:rPr>
          <w:rFonts w:eastAsia="Times New Roman" w:cs="Times New Roman"/>
          <w:i/>
          <w:iCs/>
          <w:szCs w:val="20"/>
          <w:u w:val="single"/>
          <w:lang w:val="es-ES"/>
        </w:rPr>
        <w:t xml:space="preserve">se hizo </w:t>
      </w:r>
      <w:r w:rsidR="00F40984" w:rsidRPr="00C949B7">
        <w:rPr>
          <w:rFonts w:eastAsia="Times New Roman" w:cs="Times New Roman"/>
          <w:i/>
          <w:iCs/>
          <w:szCs w:val="20"/>
          <w:u w:val="single"/>
          <w:lang w:val="es-ES"/>
        </w:rPr>
        <w:t xml:space="preserve">con pleno conocimiento, conformidad y voluntariedad del imputado; </w:t>
      </w:r>
    </w:p>
    <w:p w14:paraId="5E3CEBAD" w14:textId="18B8E72E" w:rsidR="00C63AF0" w:rsidRDefault="00C63AF0" w:rsidP="00C949B7">
      <w:pPr>
        <w:spacing w:line="480" w:lineRule="auto"/>
        <w:ind w:left="720"/>
        <w:jc w:val="both"/>
        <w:rPr>
          <w:rFonts w:eastAsia="Times New Roman" w:cs="Times New Roman"/>
          <w:i/>
          <w:iCs/>
          <w:szCs w:val="20"/>
          <w:u w:val="single"/>
          <w:lang w:val="es-ES"/>
        </w:rPr>
      </w:pPr>
      <w:r>
        <w:rPr>
          <w:rFonts w:eastAsia="Times New Roman" w:cs="Times New Roman"/>
          <w:i/>
          <w:iCs/>
          <w:szCs w:val="20"/>
          <w:u w:val="single"/>
          <w:lang w:val="es-ES"/>
        </w:rPr>
        <w:t xml:space="preserve">(d) </w:t>
      </w:r>
      <w:r w:rsidR="004F47F0" w:rsidRPr="00C949B7">
        <w:rPr>
          <w:rFonts w:eastAsia="Times New Roman" w:cs="Times New Roman"/>
          <w:i/>
          <w:iCs/>
          <w:szCs w:val="20"/>
          <w:u w:val="single"/>
          <w:lang w:val="es-ES"/>
        </w:rPr>
        <w:t xml:space="preserve">cerciorarse </w:t>
      </w:r>
      <w:r w:rsidR="00F40984" w:rsidRPr="00C949B7">
        <w:rPr>
          <w:rFonts w:eastAsia="Times New Roman" w:cs="Times New Roman"/>
          <w:i/>
          <w:iCs/>
          <w:szCs w:val="20"/>
          <w:u w:val="single"/>
          <w:lang w:val="es-ES"/>
        </w:rPr>
        <w:t>que es conveniente a una sana administración de justicia</w:t>
      </w:r>
      <w:r>
        <w:rPr>
          <w:rFonts w:eastAsia="Times New Roman" w:cs="Times New Roman"/>
          <w:i/>
          <w:iCs/>
          <w:szCs w:val="20"/>
          <w:u w:val="single"/>
          <w:lang w:val="es-ES"/>
        </w:rPr>
        <w:t>;</w:t>
      </w:r>
      <w:r w:rsidR="00F40984" w:rsidRPr="00C949B7">
        <w:rPr>
          <w:rFonts w:eastAsia="Times New Roman" w:cs="Times New Roman"/>
          <w:i/>
          <w:iCs/>
          <w:szCs w:val="20"/>
          <w:u w:val="single"/>
          <w:lang w:val="es-ES"/>
        </w:rPr>
        <w:t xml:space="preserve"> </w:t>
      </w:r>
    </w:p>
    <w:p w14:paraId="4FDE982D" w14:textId="3E7BA4B2" w:rsidR="00C63AF0" w:rsidRDefault="00C63AF0" w:rsidP="00C949B7">
      <w:pPr>
        <w:spacing w:line="480" w:lineRule="auto"/>
        <w:ind w:left="720"/>
        <w:jc w:val="both"/>
        <w:rPr>
          <w:rFonts w:eastAsia="Times New Roman" w:cs="Times New Roman"/>
          <w:i/>
          <w:iCs/>
          <w:szCs w:val="20"/>
          <w:u w:val="single"/>
          <w:lang w:val="es-ES"/>
        </w:rPr>
      </w:pPr>
      <w:r>
        <w:rPr>
          <w:rFonts w:eastAsia="Times New Roman" w:cs="Times New Roman"/>
          <w:i/>
          <w:iCs/>
          <w:szCs w:val="20"/>
          <w:u w:val="single"/>
          <w:lang w:val="es-ES"/>
        </w:rPr>
        <w:t xml:space="preserve">(e) </w:t>
      </w:r>
      <w:r w:rsidR="004F47F0" w:rsidRPr="00C949B7">
        <w:rPr>
          <w:rFonts w:eastAsia="Times New Roman" w:cs="Times New Roman"/>
          <w:i/>
          <w:iCs/>
          <w:szCs w:val="20"/>
          <w:u w:val="single"/>
          <w:lang w:val="es-ES"/>
        </w:rPr>
        <w:t xml:space="preserve">cerciorarse </w:t>
      </w:r>
      <w:r w:rsidR="00F40984" w:rsidRPr="00C949B7">
        <w:rPr>
          <w:rFonts w:eastAsia="Times New Roman" w:cs="Times New Roman"/>
          <w:i/>
          <w:iCs/>
          <w:szCs w:val="20"/>
          <w:u w:val="single"/>
          <w:lang w:val="es-ES"/>
        </w:rPr>
        <w:t>que</w:t>
      </w:r>
      <w:r>
        <w:rPr>
          <w:rFonts w:eastAsia="Times New Roman" w:cs="Times New Roman"/>
          <w:i/>
          <w:iCs/>
          <w:szCs w:val="20"/>
          <w:u w:val="single"/>
          <w:lang w:val="es-ES"/>
        </w:rPr>
        <w:t xml:space="preserve"> se logró</w:t>
      </w:r>
      <w:r w:rsidR="00F40984" w:rsidRPr="00C949B7">
        <w:rPr>
          <w:rFonts w:eastAsia="Times New Roman" w:cs="Times New Roman"/>
          <w:i/>
          <w:iCs/>
          <w:szCs w:val="20"/>
          <w:u w:val="single"/>
          <w:lang w:val="es-ES"/>
        </w:rPr>
        <w:t xml:space="preserve"> conforme a derecho y a la ética. </w:t>
      </w:r>
    </w:p>
    <w:p w14:paraId="3BC4BC3E" w14:textId="176E232C" w:rsidR="00F40984" w:rsidRPr="00C949B7" w:rsidRDefault="00F40984" w:rsidP="004F47F0">
      <w:pPr>
        <w:spacing w:line="480" w:lineRule="auto"/>
        <w:ind w:firstLine="720"/>
        <w:jc w:val="both"/>
        <w:rPr>
          <w:rFonts w:eastAsia="Times New Roman" w:cs="Times New Roman"/>
          <w:i/>
          <w:iCs/>
          <w:szCs w:val="20"/>
          <w:u w:val="single"/>
          <w:lang w:val="es-ES"/>
        </w:rPr>
      </w:pPr>
      <w:r w:rsidRPr="00C949B7">
        <w:rPr>
          <w:rFonts w:eastAsia="Times New Roman" w:cs="Times New Roman"/>
          <w:i/>
          <w:iCs/>
          <w:szCs w:val="20"/>
          <w:u w:val="single"/>
          <w:lang w:val="es-ES"/>
        </w:rPr>
        <w:t>A este fin, el tribunal podrá requerir del fiscal y del abogado del imputado aquella</w:t>
      </w:r>
      <w:r w:rsidR="004F47F0">
        <w:rPr>
          <w:rFonts w:eastAsia="Times New Roman" w:cs="Times New Roman"/>
          <w:i/>
          <w:iCs/>
          <w:szCs w:val="20"/>
          <w:u w:val="single"/>
          <w:lang w:val="es-ES"/>
        </w:rPr>
        <w:t xml:space="preserve"> </w:t>
      </w:r>
      <w:r w:rsidRPr="00C949B7">
        <w:rPr>
          <w:rFonts w:eastAsia="Times New Roman" w:cs="Times New Roman"/>
          <w:i/>
          <w:iCs/>
          <w:szCs w:val="20"/>
          <w:u w:val="single"/>
          <w:lang w:val="es-ES"/>
        </w:rPr>
        <w:t>información, datos y documentos que tengan en su poder y que estime necesarios</w:t>
      </w:r>
      <w:r w:rsidR="00AF5F6B">
        <w:rPr>
          <w:rFonts w:eastAsia="Times New Roman" w:cs="Times New Roman"/>
          <w:i/>
          <w:iCs/>
          <w:szCs w:val="20"/>
          <w:u w:val="single"/>
          <w:lang w:val="es-ES"/>
        </w:rPr>
        <w:t>.</w:t>
      </w:r>
      <w:r w:rsidRPr="00C949B7">
        <w:rPr>
          <w:rFonts w:eastAsia="Times New Roman" w:cs="Times New Roman"/>
          <w:i/>
          <w:iCs/>
          <w:szCs w:val="20"/>
          <w:u w:val="single"/>
          <w:lang w:val="es-ES"/>
        </w:rPr>
        <w:t xml:space="preserve"> </w:t>
      </w:r>
      <w:r w:rsidR="00AF5F6B">
        <w:rPr>
          <w:rFonts w:eastAsia="Times New Roman" w:cs="Times New Roman"/>
          <w:i/>
          <w:iCs/>
          <w:szCs w:val="20"/>
          <w:u w:val="single"/>
          <w:lang w:val="es-ES"/>
        </w:rPr>
        <w:t>También</w:t>
      </w:r>
      <w:r w:rsidRPr="00C949B7">
        <w:rPr>
          <w:rFonts w:eastAsia="Times New Roman" w:cs="Times New Roman"/>
          <w:i/>
          <w:iCs/>
          <w:szCs w:val="20"/>
          <w:u w:val="single"/>
          <w:lang w:val="es-ES"/>
        </w:rPr>
        <w:t xml:space="preserve"> podrá examinar al imputado y a cualquier otra persona que a su juicio sea conveniente.</w:t>
      </w:r>
    </w:p>
    <w:p w14:paraId="641ED801" w14:textId="3D1A4EE7"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El tribunal, previo a aceptar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deberá, haciéndolo constar en el</w:t>
      </w:r>
      <w:r>
        <w:rPr>
          <w:rFonts w:eastAsia="Times New Roman" w:cs="Times New Roman"/>
          <w:szCs w:val="20"/>
          <w:lang w:val="es-ES"/>
        </w:rPr>
        <w:t xml:space="preserve"> </w:t>
      </w:r>
      <w:r w:rsidRPr="002C2A0B">
        <w:rPr>
          <w:rFonts w:eastAsia="Times New Roman" w:cs="Times New Roman"/>
          <w:szCs w:val="20"/>
          <w:lang w:val="es-ES"/>
        </w:rPr>
        <w:t>registro, efectuar la siguiente advertencia al imputado:</w:t>
      </w:r>
    </w:p>
    <w:p w14:paraId="538F3CC3" w14:textId="3DC76340"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“Si usted no es ciudadano de los Estados Unidos, se le advierte que una convicción por el</w:t>
      </w:r>
      <w:r>
        <w:rPr>
          <w:rFonts w:eastAsia="Times New Roman" w:cs="Times New Roman"/>
          <w:szCs w:val="20"/>
          <w:lang w:val="es-ES"/>
        </w:rPr>
        <w:t xml:space="preserve"> </w:t>
      </w:r>
      <w:r w:rsidRPr="002C2A0B">
        <w:rPr>
          <w:rFonts w:eastAsia="Times New Roman" w:cs="Times New Roman"/>
          <w:szCs w:val="20"/>
          <w:lang w:val="es-ES"/>
        </w:rPr>
        <w:t>delito por el cual se le acusa puede traer como consecuencia la deportación, la exclusión de</w:t>
      </w:r>
      <w:r>
        <w:rPr>
          <w:rFonts w:eastAsia="Times New Roman" w:cs="Times New Roman"/>
          <w:szCs w:val="20"/>
          <w:lang w:val="es-ES"/>
        </w:rPr>
        <w:t xml:space="preserve"> </w:t>
      </w:r>
      <w:r w:rsidRPr="002C2A0B">
        <w:rPr>
          <w:rFonts w:eastAsia="Times New Roman" w:cs="Times New Roman"/>
          <w:szCs w:val="20"/>
          <w:lang w:val="es-ES"/>
        </w:rPr>
        <w:t>admisión a los Estados Unidos o la denegación de naturalización conforme a las leyes de los</w:t>
      </w:r>
      <w:r>
        <w:rPr>
          <w:rFonts w:eastAsia="Times New Roman" w:cs="Times New Roman"/>
          <w:szCs w:val="20"/>
          <w:lang w:val="es-ES"/>
        </w:rPr>
        <w:t xml:space="preserve"> </w:t>
      </w:r>
      <w:r w:rsidRPr="002C2A0B">
        <w:rPr>
          <w:rFonts w:eastAsia="Times New Roman" w:cs="Times New Roman"/>
          <w:szCs w:val="20"/>
          <w:lang w:val="es-ES"/>
        </w:rPr>
        <w:t>Estados Unidos.”</w:t>
      </w:r>
    </w:p>
    <w:p w14:paraId="597E2C9F" w14:textId="6597FA6D"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De ser solicitado, el tribunal concederá al imputado un tiempo adicional para considerar si la</w:t>
      </w:r>
      <w:r>
        <w:rPr>
          <w:rFonts w:eastAsia="Times New Roman" w:cs="Times New Roman"/>
          <w:szCs w:val="20"/>
          <w:lang w:val="es-ES"/>
        </w:rPr>
        <w:t xml:space="preserve"> </w:t>
      </w:r>
      <w:r w:rsidRPr="002C2A0B">
        <w:rPr>
          <w:rFonts w:eastAsia="Times New Roman" w:cs="Times New Roman"/>
          <w:szCs w:val="20"/>
          <w:lang w:val="es-ES"/>
        </w:rPr>
        <w:t xml:space="preserve">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es la acción adecuada a la luz de la advertencia descrita en esta regla.</w:t>
      </w:r>
    </w:p>
    <w:p w14:paraId="23148126" w14:textId="70C91A62" w:rsidR="002C2A0B" w:rsidRP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Toda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en una causa en la que se impute la venta, posesión, transporte,</w:t>
      </w:r>
      <w:r>
        <w:rPr>
          <w:rFonts w:eastAsia="Times New Roman" w:cs="Times New Roman"/>
          <w:szCs w:val="20"/>
          <w:lang w:val="es-ES"/>
        </w:rPr>
        <w:t xml:space="preserve"> </w:t>
      </w:r>
      <w:r w:rsidRPr="002C2A0B">
        <w:rPr>
          <w:rFonts w:eastAsia="Times New Roman" w:cs="Times New Roman"/>
          <w:szCs w:val="20"/>
          <w:lang w:val="es-ES"/>
        </w:rPr>
        <w:t>portación o uso ilegal de un arma de fuego, según establecido en los Artículos 6.05 o 6.14 de la</w:t>
      </w:r>
      <w:r>
        <w:rPr>
          <w:rFonts w:eastAsia="Times New Roman" w:cs="Times New Roman"/>
          <w:szCs w:val="20"/>
          <w:lang w:val="es-ES"/>
        </w:rPr>
        <w:t xml:space="preserve"> </w:t>
      </w:r>
      <w:r w:rsidRPr="002C2A0B">
        <w:rPr>
          <w:rFonts w:eastAsia="Times New Roman" w:cs="Times New Roman"/>
          <w:szCs w:val="20"/>
          <w:lang w:val="es-ES"/>
        </w:rPr>
        <w:t>Ley 168-2019, según enmendada, conocida como la “Ley de Armas de Puerto Rico”, o sus</w:t>
      </w:r>
      <w:r>
        <w:rPr>
          <w:rFonts w:eastAsia="Times New Roman" w:cs="Times New Roman"/>
          <w:szCs w:val="20"/>
          <w:lang w:val="es-ES"/>
        </w:rPr>
        <w:t xml:space="preserve"> </w:t>
      </w:r>
      <w:r w:rsidRPr="002C2A0B">
        <w:rPr>
          <w:rFonts w:eastAsia="Times New Roman" w:cs="Times New Roman"/>
          <w:szCs w:val="20"/>
          <w:lang w:val="es-ES"/>
        </w:rPr>
        <w:t>versiones subsiguientes, deberá conllevar para el imputado o acusado una pena de reclusión de al</w:t>
      </w:r>
      <w:r>
        <w:rPr>
          <w:rFonts w:eastAsia="Times New Roman" w:cs="Times New Roman"/>
          <w:szCs w:val="20"/>
          <w:lang w:val="es-ES"/>
        </w:rPr>
        <w:t xml:space="preserve"> </w:t>
      </w:r>
      <w:r w:rsidRPr="002C2A0B">
        <w:rPr>
          <w:rFonts w:eastAsia="Times New Roman" w:cs="Times New Roman"/>
          <w:szCs w:val="20"/>
          <w:lang w:val="es-ES"/>
        </w:rPr>
        <w:t xml:space="preserve">menos dos (2) años, cuando la pena de reclusión estatuida </w:t>
      </w:r>
      <w:r w:rsidRPr="002C2A0B">
        <w:rPr>
          <w:rFonts w:eastAsia="Times New Roman" w:cs="Times New Roman"/>
          <w:szCs w:val="20"/>
          <w:lang w:val="es-ES"/>
        </w:rPr>
        <w:lastRenderedPageBreak/>
        <w:t>para la conducta imputada bajo dichos</w:t>
      </w:r>
      <w:r>
        <w:rPr>
          <w:rFonts w:eastAsia="Times New Roman" w:cs="Times New Roman"/>
          <w:szCs w:val="20"/>
          <w:lang w:val="es-ES"/>
        </w:rPr>
        <w:t xml:space="preserve"> </w:t>
      </w:r>
      <w:r w:rsidRPr="002C2A0B">
        <w:rPr>
          <w:rFonts w:eastAsia="Times New Roman" w:cs="Times New Roman"/>
          <w:szCs w:val="20"/>
          <w:lang w:val="es-ES"/>
        </w:rPr>
        <w:t>Artículos sea mayor de dos (2) años. Cuando circunstancias extraordinarias relacionadas con el</w:t>
      </w:r>
      <w:r>
        <w:rPr>
          <w:rFonts w:eastAsia="Times New Roman" w:cs="Times New Roman"/>
          <w:szCs w:val="20"/>
          <w:lang w:val="es-ES"/>
        </w:rPr>
        <w:t xml:space="preserve"> </w:t>
      </w:r>
      <w:r w:rsidRPr="002C2A0B">
        <w:rPr>
          <w:rFonts w:eastAsia="Times New Roman" w:cs="Times New Roman"/>
          <w:szCs w:val="20"/>
          <w:lang w:val="es-ES"/>
        </w:rPr>
        <w:t xml:space="preserve">proceso judicial así lo requieran, el </w:t>
      </w:r>
      <w:proofErr w:type="gramStart"/>
      <w:r w:rsidRPr="002C2A0B">
        <w:rPr>
          <w:rFonts w:eastAsia="Times New Roman" w:cs="Times New Roman"/>
          <w:szCs w:val="20"/>
          <w:lang w:val="es-ES"/>
        </w:rPr>
        <w:t>Secretario</w:t>
      </w:r>
      <w:proofErr w:type="gramEnd"/>
      <w:r w:rsidRPr="002C2A0B">
        <w:rPr>
          <w:rFonts w:eastAsia="Times New Roman" w:cs="Times New Roman"/>
          <w:szCs w:val="20"/>
          <w:lang w:val="es-ES"/>
        </w:rPr>
        <w:t xml:space="preserve"> de Justicia tendrá la facultad para autorizar por</w:t>
      </w:r>
      <w:r>
        <w:rPr>
          <w:rFonts w:eastAsia="Times New Roman" w:cs="Times New Roman"/>
          <w:szCs w:val="20"/>
          <w:lang w:val="es-ES"/>
        </w:rPr>
        <w:t xml:space="preserve"> </w:t>
      </w:r>
      <w:r w:rsidRPr="002C2A0B">
        <w:rPr>
          <w:rFonts w:eastAsia="Times New Roman" w:cs="Times New Roman"/>
          <w:szCs w:val="20"/>
          <w:lang w:val="es-ES"/>
        </w:rPr>
        <w:t xml:space="preserve">escrito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que incluya una pena de reclusión menor de dos (2) años. El</w:t>
      </w:r>
      <w:r>
        <w:rPr>
          <w:rFonts w:eastAsia="Times New Roman" w:cs="Times New Roman"/>
          <w:szCs w:val="20"/>
          <w:lang w:val="es-ES"/>
        </w:rPr>
        <w:t xml:space="preserve"> </w:t>
      </w:r>
      <w:proofErr w:type="gramStart"/>
      <w:r w:rsidRPr="002C2A0B">
        <w:rPr>
          <w:rFonts w:eastAsia="Times New Roman" w:cs="Times New Roman"/>
          <w:szCs w:val="20"/>
          <w:lang w:val="es-ES"/>
        </w:rPr>
        <w:t>Secretario</w:t>
      </w:r>
      <w:proofErr w:type="gramEnd"/>
      <w:r w:rsidRPr="002C2A0B">
        <w:rPr>
          <w:rFonts w:eastAsia="Times New Roman" w:cs="Times New Roman"/>
          <w:szCs w:val="20"/>
          <w:lang w:val="es-ES"/>
        </w:rPr>
        <w:t xml:space="preserve"> de Justicia podrá delegar esta facultad en el Subsecretario de Justicia o en el </w:t>
      </w:r>
      <w:proofErr w:type="gramStart"/>
      <w:r w:rsidRPr="002C2A0B">
        <w:rPr>
          <w:rFonts w:eastAsia="Times New Roman" w:cs="Times New Roman"/>
          <w:szCs w:val="20"/>
          <w:lang w:val="es-ES"/>
        </w:rPr>
        <w:t>Jefe</w:t>
      </w:r>
      <w:proofErr w:type="gramEnd"/>
      <w:r w:rsidRPr="002C2A0B">
        <w:rPr>
          <w:rFonts w:eastAsia="Times New Roman" w:cs="Times New Roman"/>
          <w:szCs w:val="20"/>
          <w:lang w:val="es-ES"/>
        </w:rPr>
        <w:t xml:space="preserve"> de los</w:t>
      </w:r>
      <w:r>
        <w:rPr>
          <w:rFonts w:eastAsia="Times New Roman" w:cs="Times New Roman"/>
          <w:szCs w:val="20"/>
          <w:lang w:val="es-ES"/>
        </w:rPr>
        <w:t xml:space="preserve"> </w:t>
      </w:r>
      <w:r w:rsidRPr="002C2A0B">
        <w:rPr>
          <w:rFonts w:eastAsia="Times New Roman" w:cs="Times New Roman"/>
          <w:szCs w:val="20"/>
          <w:lang w:val="es-ES"/>
        </w:rPr>
        <w:t>Fiscales.</w:t>
      </w:r>
    </w:p>
    <w:p w14:paraId="6B0D1A6C" w14:textId="7C3C526A" w:rsidR="002C2A0B" w:rsidRDefault="002C2A0B" w:rsidP="002C2A0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No podrá acogerse al sistema de alegaciones </w:t>
      </w:r>
      <w:proofErr w:type="spellStart"/>
      <w:r w:rsidRPr="002C2A0B">
        <w:rPr>
          <w:rFonts w:eastAsia="Times New Roman" w:cs="Times New Roman"/>
          <w:szCs w:val="20"/>
          <w:lang w:val="es-ES"/>
        </w:rPr>
        <w:t>preacordadas</w:t>
      </w:r>
      <w:proofErr w:type="spellEnd"/>
      <w:r w:rsidRPr="002C2A0B">
        <w:rPr>
          <w:rFonts w:eastAsia="Times New Roman" w:cs="Times New Roman"/>
          <w:szCs w:val="20"/>
          <w:lang w:val="es-ES"/>
        </w:rPr>
        <w:t xml:space="preserve"> ninguna persona a quien se le</w:t>
      </w:r>
      <w:r>
        <w:rPr>
          <w:rFonts w:eastAsia="Times New Roman" w:cs="Times New Roman"/>
          <w:szCs w:val="20"/>
          <w:lang w:val="es-ES"/>
        </w:rPr>
        <w:t xml:space="preserve"> </w:t>
      </w:r>
      <w:r w:rsidRPr="002C2A0B">
        <w:rPr>
          <w:rFonts w:eastAsia="Times New Roman" w:cs="Times New Roman"/>
          <w:szCs w:val="20"/>
          <w:lang w:val="es-ES"/>
        </w:rPr>
        <w:t xml:space="preserve">impute la violación a los incisos (a) y (b) del Artículo 405 </w:t>
      </w:r>
      <w:proofErr w:type="spellStart"/>
      <w:r w:rsidRPr="002C2A0B">
        <w:rPr>
          <w:rFonts w:eastAsia="Times New Roman" w:cs="Times New Roman"/>
          <w:szCs w:val="20"/>
          <w:lang w:val="es-ES"/>
        </w:rPr>
        <w:t>ó</w:t>
      </w:r>
      <w:proofErr w:type="spellEnd"/>
      <w:r w:rsidRPr="002C2A0B">
        <w:rPr>
          <w:rFonts w:eastAsia="Times New Roman" w:cs="Times New Roman"/>
          <w:szCs w:val="20"/>
          <w:lang w:val="es-ES"/>
        </w:rPr>
        <w:t xml:space="preserve"> del Artículo 411A de la Ley Núm. 4</w:t>
      </w:r>
      <w:r>
        <w:rPr>
          <w:rFonts w:eastAsia="Times New Roman" w:cs="Times New Roman"/>
          <w:szCs w:val="20"/>
          <w:lang w:val="es-ES"/>
        </w:rPr>
        <w:t xml:space="preserve"> </w:t>
      </w:r>
      <w:r w:rsidRPr="002C2A0B">
        <w:rPr>
          <w:rFonts w:eastAsia="Times New Roman" w:cs="Times New Roman"/>
          <w:szCs w:val="20"/>
          <w:lang w:val="es-ES"/>
        </w:rPr>
        <w:t>de 23 de junio de 1971, según enmendada, conocida como la Ley de Sustancias Controladas de</w:t>
      </w:r>
      <w:r>
        <w:rPr>
          <w:rFonts w:eastAsia="Times New Roman" w:cs="Times New Roman"/>
          <w:szCs w:val="20"/>
          <w:lang w:val="es-ES"/>
        </w:rPr>
        <w:t xml:space="preserve"> </w:t>
      </w:r>
      <w:r w:rsidRPr="002C2A0B">
        <w:rPr>
          <w:rFonts w:eastAsia="Times New Roman" w:cs="Times New Roman"/>
          <w:szCs w:val="20"/>
          <w:lang w:val="es-ES"/>
        </w:rPr>
        <w:t>Puerto Rico.</w:t>
      </w:r>
    </w:p>
    <w:p w14:paraId="204870F0" w14:textId="74AE72C1" w:rsidR="00885C65" w:rsidRPr="00FA7B75" w:rsidRDefault="00FA7B75" w:rsidP="00FA7B75">
      <w:pPr>
        <w:spacing w:line="480" w:lineRule="auto"/>
        <w:ind w:firstLine="720"/>
        <w:jc w:val="both"/>
        <w:rPr>
          <w:rFonts w:eastAsia="Times New Roman" w:cs="Times New Roman"/>
          <w:szCs w:val="20"/>
          <w:lang w:val="es-ES_tradnl"/>
        </w:rPr>
      </w:pPr>
      <w:r w:rsidRPr="00FA7B75">
        <w:rPr>
          <w:rFonts w:eastAsia="Times New Roman" w:cs="Times New Roman"/>
          <w:szCs w:val="20"/>
          <w:lang w:val="es-ES"/>
        </w:rPr>
        <w:t>Artículo 4.-</w:t>
      </w:r>
      <w:r w:rsidRPr="00FA7B75">
        <w:rPr>
          <w:rFonts w:eastAsia="Times New Roman" w:cs="Times New Roman"/>
          <w:szCs w:val="20"/>
          <w:lang w:val="es-ES_tradnl"/>
        </w:rPr>
        <w:t>Esta Ley comenzará a regir inmediatamente después de su aprobación.</w:t>
      </w:r>
    </w:p>
    <w:sectPr w:rsidR="00885C65" w:rsidRPr="00FA7B75" w:rsidSect="00FA7B75">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0D79C" w14:textId="77777777" w:rsidR="00DF2273" w:rsidRPr="00120574" w:rsidRDefault="00DF2273">
      <w:r w:rsidRPr="00120574">
        <w:separator/>
      </w:r>
    </w:p>
  </w:endnote>
  <w:endnote w:type="continuationSeparator" w:id="0">
    <w:p w14:paraId="4F1ED1CA" w14:textId="77777777" w:rsidR="00DF2273" w:rsidRPr="00120574" w:rsidRDefault="00DF2273">
      <w:r w:rsidRPr="001205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1)">
    <w:altName w:val="Times New Roman"/>
    <w:charset w:val="00"/>
    <w:family w:val="roman"/>
    <w:pitch w:val="default"/>
    <w:sig w:usb0="00000000"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4F4F1" w14:textId="77777777" w:rsidR="00DF2273" w:rsidRPr="00120574" w:rsidRDefault="00DF2273">
      <w:r w:rsidRPr="00120574">
        <w:separator/>
      </w:r>
    </w:p>
  </w:footnote>
  <w:footnote w:type="continuationSeparator" w:id="0">
    <w:p w14:paraId="672550D7" w14:textId="77777777" w:rsidR="00DF2273" w:rsidRPr="00120574" w:rsidRDefault="00DF2273">
      <w:r w:rsidRPr="001205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AA94C" w14:textId="3CCB804E" w:rsidR="00E82AB3" w:rsidRPr="00120574" w:rsidRDefault="00F16E9B">
    <w:pPr>
      <w:pStyle w:val="Header"/>
      <w:jc w:val="center"/>
    </w:pPr>
    <w:r w:rsidRPr="00120574">
      <w:rPr>
        <w:rStyle w:val="PageNumber"/>
      </w:rPr>
      <w:fldChar w:fldCharType="begin"/>
    </w:r>
    <w:r w:rsidRPr="00120574">
      <w:rPr>
        <w:rStyle w:val="PageNumber"/>
      </w:rPr>
      <w:instrText xml:space="preserve"> PAGE </w:instrText>
    </w:r>
    <w:r w:rsidRPr="00120574">
      <w:rPr>
        <w:rStyle w:val="PageNumber"/>
      </w:rPr>
      <w:fldChar w:fldCharType="separate"/>
    </w:r>
    <w:r w:rsidR="00311039" w:rsidRPr="00120574">
      <w:rPr>
        <w:rStyle w:val="PageNumber"/>
      </w:rPr>
      <w:t>10</w:t>
    </w:r>
    <w:r w:rsidRPr="00120574">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EC5"/>
    <w:multiLevelType w:val="hybridMultilevel"/>
    <w:tmpl w:val="C4625E24"/>
    <w:lvl w:ilvl="0" w:tplc="09EE4C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A58AC"/>
    <w:multiLevelType w:val="hybridMultilevel"/>
    <w:tmpl w:val="28E419C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89D771D"/>
    <w:multiLevelType w:val="hybridMultilevel"/>
    <w:tmpl w:val="74FA0F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D6A31DC"/>
    <w:multiLevelType w:val="hybridMultilevel"/>
    <w:tmpl w:val="08CA7BBC"/>
    <w:lvl w:ilvl="0" w:tplc="38ACA086">
      <w:start w:val="19"/>
      <w:numFmt w:val="decimal"/>
      <w:lvlText w:val="%1"/>
      <w:lvlJc w:val="left"/>
      <w:pPr>
        <w:ind w:left="686" w:hanging="533"/>
      </w:pPr>
      <w:rPr>
        <w:rFonts w:hint="default"/>
        <w:w w:val="68"/>
        <w:lang w:val="es-ES" w:eastAsia="en-US" w:bidi="ar-SA"/>
      </w:rPr>
    </w:lvl>
    <w:lvl w:ilvl="1" w:tplc="A09048A8">
      <w:numFmt w:val="bullet"/>
      <w:lvlText w:val="•"/>
      <w:lvlJc w:val="left"/>
      <w:pPr>
        <w:ind w:left="1600" w:hanging="533"/>
      </w:pPr>
      <w:rPr>
        <w:rFonts w:hint="default"/>
        <w:lang w:val="es-ES" w:eastAsia="en-US" w:bidi="ar-SA"/>
      </w:rPr>
    </w:lvl>
    <w:lvl w:ilvl="2" w:tplc="CD90C4D2">
      <w:numFmt w:val="bullet"/>
      <w:lvlText w:val="•"/>
      <w:lvlJc w:val="left"/>
      <w:pPr>
        <w:ind w:left="2520" w:hanging="533"/>
      </w:pPr>
      <w:rPr>
        <w:rFonts w:hint="default"/>
        <w:lang w:val="es-ES" w:eastAsia="en-US" w:bidi="ar-SA"/>
      </w:rPr>
    </w:lvl>
    <w:lvl w:ilvl="3" w:tplc="50C044EA">
      <w:numFmt w:val="bullet"/>
      <w:lvlText w:val="•"/>
      <w:lvlJc w:val="left"/>
      <w:pPr>
        <w:ind w:left="3440" w:hanging="533"/>
      </w:pPr>
      <w:rPr>
        <w:rFonts w:hint="default"/>
        <w:lang w:val="es-ES" w:eastAsia="en-US" w:bidi="ar-SA"/>
      </w:rPr>
    </w:lvl>
    <w:lvl w:ilvl="4" w:tplc="24DEC890">
      <w:numFmt w:val="bullet"/>
      <w:lvlText w:val="•"/>
      <w:lvlJc w:val="left"/>
      <w:pPr>
        <w:ind w:left="4360" w:hanging="533"/>
      </w:pPr>
      <w:rPr>
        <w:rFonts w:hint="default"/>
        <w:lang w:val="es-ES" w:eastAsia="en-US" w:bidi="ar-SA"/>
      </w:rPr>
    </w:lvl>
    <w:lvl w:ilvl="5" w:tplc="D1B6E43E">
      <w:numFmt w:val="bullet"/>
      <w:lvlText w:val="•"/>
      <w:lvlJc w:val="left"/>
      <w:pPr>
        <w:ind w:left="5280" w:hanging="533"/>
      </w:pPr>
      <w:rPr>
        <w:rFonts w:hint="default"/>
        <w:lang w:val="es-ES" w:eastAsia="en-US" w:bidi="ar-SA"/>
      </w:rPr>
    </w:lvl>
    <w:lvl w:ilvl="6" w:tplc="B6C66BF0">
      <w:numFmt w:val="bullet"/>
      <w:lvlText w:val="•"/>
      <w:lvlJc w:val="left"/>
      <w:pPr>
        <w:ind w:left="6200" w:hanging="533"/>
      </w:pPr>
      <w:rPr>
        <w:rFonts w:hint="default"/>
        <w:lang w:val="es-ES" w:eastAsia="en-US" w:bidi="ar-SA"/>
      </w:rPr>
    </w:lvl>
    <w:lvl w:ilvl="7" w:tplc="7640E754">
      <w:numFmt w:val="bullet"/>
      <w:lvlText w:val="•"/>
      <w:lvlJc w:val="left"/>
      <w:pPr>
        <w:ind w:left="7120" w:hanging="533"/>
      </w:pPr>
      <w:rPr>
        <w:rFonts w:hint="default"/>
        <w:lang w:val="es-ES" w:eastAsia="en-US" w:bidi="ar-SA"/>
      </w:rPr>
    </w:lvl>
    <w:lvl w:ilvl="8" w:tplc="14C2CA10">
      <w:numFmt w:val="bullet"/>
      <w:lvlText w:val="•"/>
      <w:lvlJc w:val="left"/>
      <w:pPr>
        <w:ind w:left="8040" w:hanging="533"/>
      </w:pPr>
      <w:rPr>
        <w:rFonts w:hint="default"/>
        <w:lang w:val="es-ES" w:eastAsia="en-US" w:bidi="ar-SA"/>
      </w:rPr>
    </w:lvl>
  </w:abstractNum>
  <w:abstractNum w:abstractNumId="4" w15:restartNumberingAfterBreak="0">
    <w:nsid w:val="2DA97203"/>
    <w:multiLevelType w:val="hybridMultilevel"/>
    <w:tmpl w:val="F2DC7430"/>
    <w:lvl w:ilvl="0" w:tplc="EC02B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934DDE"/>
    <w:multiLevelType w:val="hybridMultilevel"/>
    <w:tmpl w:val="46D825B6"/>
    <w:lvl w:ilvl="0" w:tplc="294811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83E2A"/>
    <w:multiLevelType w:val="hybridMultilevel"/>
    <w:tmpl w:val="281E797C"/>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3C1E19C3"/>
    <w:multiLevelType w:val="hybridMultilevel"/>
    <w:tmpl w:val="23A6ED92"/>
    <w:lvl w:ilvl="0" w:tplc="8168EB02">
      <w:start w:val="4"/>
      <w:numFmt w:val="decimal"/>
      <w:lvlText w:val="%1"/>
      <w:lvlJc w:val="left"/>
      <w:pPr>
        <w:ind w:left="684" w:hanging="458"/>
      </w:pPr>
      <w:rPr>
        <w:rFonts w:hint="default"/>
        <w:b/>
        <w:bCs/>
        <w:w w:val="78"/>
        <w:lang w:val="es-ES" w:eastAsia="en-US" w:bidi="ar-SA"/>
      </w:rPr>
    </w:lvl>
    <w:lvl w:ilvl="1" w:tplc="2A86BEE2">
      <w:start w:val="1"/>
      <w:numFmt w:val="lowerLetter"/>
      <w:lvlText w:val="(%2)"/>
      <w:lvlJc w:val="left"/>
      <w:pPr>
        <w:ind w:left="1398" w:hanging="354"/>
      </w:pPr>
      <w:rPr>
        <w:rFonts w:ascii="Times New Roman" w:eastAsia="Times New Roman" w:hAnsi="Times New Roman" w:cs="Times New Roman" w:hint="default"/>
        <w:spacing w:val="-1"/>
        <w:w w:val="93"/>
        <w:sz w:val="25"/>
        <w:szCs w:val="25"/>
        <w:lang w:val="es-ES" w:eastAsia="en-US" w:bidi="ar-SA"/>
      </w:rPr>
    </w:lvl>
    <w:lvl w:ilvl="2" w:tplc="782C9B18">
      <w:numFmt w:val="bullet"/>
      <w:lvlText w:val="•"/>
      <w:lvlJc w:val="left"/>
      <w:pPr>
        <w:ind w:left="2342" w:hanging="354"/>
      </w:pPr>
      <w:rPr>
        <w:rFonts w:hint="default"/>
        <w:lang w:val="es-ES" w:eastAsia="en-US" w:bidi="ar-SA"/>
      </w:rPr>
    </w:lvl>
    <w:lvl w:ilvl="3" w:tplc="592C7B44">
      <w:numFmt w:val="bullet"/>
      <w:lvlText w:val="•"/>
      <w:lvlJc w:val="left"/>
      <w:pPr>
        <w:ind w:left="3284" w:hanging="354"/>
      </w:pPr>
      <w:rPr>
        <w:rFonts w:hint="default"/>
        <w:lang w:val="es-ES" w:eastAsia="en-US" w:bidi="ar-SA"/>
      </w:rPr>
    </w:lvl>
    <w:lvl w:ilvl="4" w:tplc="4532FDD8">
      <w:numFmt w:val="bullet"/>
      <w:lvlText w:val="•"/>
      <w:lvlJc w:val="left"/>
      <w:pPr>
        <w:ind w:left="4226" w:hanging="354"/>
      </w:pPr>
      <w:rPr>
        <w:rFonts w:hint="default"/>
        <w:lang w:val="es-ES" w:eastAsia="en-US" w:bidi="ar-SA"/>
      </w:rPr>
    </w:lvl>
    <w:lvl w:ilvl="5" w:tplc="F694339A">
      <w:numFmt w:val="bullet"/>
      <w:lvlText w:val="•"/>
      <w:lvlJc w:val="left"/>
      <w:pPr>
        <w:ind w:left="5168" w:hanging="354"/>
      </w:pPr>
      <w:rPr>
        <w:rFonts w:hint="default"/>
        <w:lang w:val="es-ES" w:eastAsia="en-US" w:bidi="ar-SA"/>
      </w:rPr>
    </w:lvl>
    <w:lvl w:ilvl="6" w:tplc="1CD469C0">
      <w:numFmt w:val="bullet"/>
      <w:lvlText w:val="•"/>
      <w:lvlJc w:val="left"/>
      <w:pPr>
        <w:ind w:left="6111" w:hanging="354"/>
      </w:pPr>
      <w:rPr>
        <w:rFonts w:hint="default"/>
        <w:lang w:val="es-ES" w:eastAsia="en-US" w:bidi="ar-SA"/>
      </w:rPr>
    </w:lvl>
    <w:lvl w:ilvl="7" w:tplc="44167D86">
      <w:numFmt w:val="bullet"/>
      <w:lvlText w:val="•"/>
      <w:lvlJc w:val="left"/>
      <w:pPr>
        <w:ind w:left="7053" w:hanging="354"/>
      </w:pPr>
      <w:rPr>
        <w:rFonts w:hint="default"/>
        <w:lang w:val="es-ES" w:eastAsia="en-US" w:bidi="ar-SA"/>
      </w:rPr>
    </w:lvl>
    <w:lvl w:ilvl="8" w:tplc="01CEBB62">
      <w:numFmt w:val="bullet"/>
      <w:lvlText w:val="•"/>
      <w:lvlJc w:val="left"/>
      <w:pPr>
        <w:ind w:left="7995" w:hanging="354"/>
      </w:pPr>
      <w:rPr>
        <w:rFonts w:hint="default"/>
        <w:lang w:val="es-ES" w:eastAsia="en-US" w:bidi="ar-SA"/>
      </w:rPr>
    </w:lvl>
  </w:abstractNum>
  <w:abstractNum w:abstractNumId="8" w15:restartNumberingAfterBreak="0">
    <w:nsid w:val="3C4E3A73"/>
    <w:multiLevelType w:val="hybridMultilevel"/>
    <w:tmpl w:val="D49631E8"/>
    <w:lvl w:ilvl="0" w:tplc="5B342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302435"/>
    <w:multiLevelType w:val="hybridMultilevel"/>
    <w:tmpl w:val="CB08A902"/>
    <w:lvl w:ilvl="0" w:tplc="11542F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31F31E2"/>
    <w:multiLevelType w:val="hybridMultilevel"/>
    <w:tmpl w:val="323811E2"/>
    <w:lvl w:ilvl="0" w:tplc="4726EF64">
      <w:start w:val="1"/>
      <w:numFmt w:val="lowerLetter"/>
      <w:lvlText w:val="%1."/>
      <w:lvlJc w:val="left"/>
      <w:pPr>
        <w:ind w:left="1080" w:hanging="360"/>
      </w:pPr>
      <w:rPr>
        <w:rFonts w:ascii="Book Antiqua" w:eastAsiaTheme="minorHAnsi" w:hAnsi="Book Antiqua" w:cstheme="minorBidi"/>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4AF90573"/>
    <w:multiLevelType w:val="hybridMultilevel"/>
    <w:tmpl w:val="C7000586"/>
    <w:lvl w:ilvl="0" w:tplc="09682BF6">
      <w:start w:val="1"/>
      <w:numFmt w:val="lowerLetter"/>
      <w:lvlText w:val="(%1)"/>
      <w:lvlJc w:val="left"/>
      <w:pPr>
        <w:ind w:left="1530" w:hanging="45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3B5200F"/>
    <w:multiLevelType w:val="hybridMultilevel"/>
    <w:tmpl w:val="1F5ED9D8"/>
    <w:lvl w:ilvl="0" w:tplc="04090019">
      <w:start w:val="1"/>
      <w:numFmt w:val="lowerLetter"/>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15:restartNumberingAfterBreak="0">
    <w:nsid w:val="579B1B9A"/>
    <w:multiLevelType w:val="hybridMultilevel"/>
    <w:tmpl w:val="2D9C08D6"/>
    <w:lvl w:ilvl="0" w:tplc="2B6882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C27650A"/>
    <w:multiLevelType w:val="multilevel"/>
    <w:tmpl w:val="0A6042DE"/>
    <w:lvl w:ilvl="0">
      <w:start w:val="1"/>
      <w:numFmt w:val="decimal"/>
      <w:lvlText w:val="%1."/>
      <w:lvlJc w:val="left"/>
      <w:pPr>
        <w:tabs>
          <w:tab w:val="num" w:pos="720"/>
        </w:tabs>
        <w:ind w:left="720" w:hanging="360"/>
      </w:pPr>
      <w:rPr>
        <w:rFonts w:ascii="Book Antiqua" w:eastAsiaTheme="minorHAnsi" w:hAnsi="Book Antiqua"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E5660B"/>
    <w:multiLevelType w:val="hybridMultilevel"/>
    <w:tmpl w:val="C5BE91B4"/>
    <w:lvl w:ilvl="0" w:tplc="0CECFF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2544B96"/>
    <w:multiLevelType w:val="hybridMultilevel"/>
    <w:tmpl w:val="26E8D7C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BC91141"/>
    <w:multiLevelType w:val="hybridMultilevel"/>
    <w:tmpl w:val="4E64D54E"/>
    <w:lvl w:ilvl="0" w:tplc="4C10733C">
      <w:start w:val="1"/>
      <w:numFmt w:val="lowerLetter"/>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num w:numId="1" w16cid:durableId="502937610">
    <w:abstractNumId w:val="12"/>
  </w:num>
  <w:num w:numId="2" w16cid:durableId="1213542167">
    <w:abstractNumId w:val="17"/>
  </w:num>
  <w:num w:numId="3" w16cid:durableId="1289703495">
    <w:abstractNumId w:val="2"/>
  </w:num>
  <w:num w:numId="4" w16cid:durableId="1588536224">
    <w:abstractNumId w:val="1"/>
  </w:num>
  <w:num w:numId="5" w16cid:durableId="1813061066">
    <w:abstractNumId w:val="6"/>
  </w:num>
  <w:num w:numId="6" w16cid:durableId="749738844">
    <w:abstractNumId w:val="16"/>
  </w:num>
  <w:num w:numId="7" w16cid:durableId="1994134863">
    <w:abstractNumId w:val="10"/>
  </w:num>
  <w:num w:numId="8" w16cid:durableId="349994820">
    <w:abstractNumId w:val="9"/>
  </w:num>
  <w:num w:numId="9" w16cid:durableId="1210874520">
    <w:abstractNumId w:val="5"/>
  </w:num>
  <w:num w:numId="10" w16cid:durableId="1741632942">
    <w:abstractNumId w:val="15"/>
  </w:num>
  <w:num w:numId="11" w16cid:durableId="1723405871">
    <w:abstractNumId w:val="7"/>
  </w:num>
  <w:num w:numId="12" w16cid:durableId="1337146391">
    <w:abstractNumId w:val="3"/>
  </w:num>
  <w:num w:numId="13" w16cid:durableId="2032338964">
    <w:abstractNumId w:val="0"/>
  </w:num>
  <w:num w:numId="14" w16cid:durableId="1454324914">
    <w:abstractNumId w:val="13"/>
  </w:num>
  <w:num w:numId="15" w16cid:durableId="2081706373">
    <w:abstractNumId w:val="11"/>
  </w:num>
  <w:num w:numId="16" w16cid:durableId="1949776812">
    <w:abstractNumId w:val="4"/>
  </w:num>
  <w:num w:numId="17" w16cid:durableId="777875876">
    <w:abstractNumId w:val="14"/>
  </w:num>
  <w:num w:numId="18" w16cid:durableId="5722827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6A"/>
    <w:rsid w:val="000013AC"/>
    <w:rsid w:val="00002AEC"/>
    <w:rsid w:val="000047AA"/>
    <w:rsid w:val="00013068"/>
    <w:rsid w:val="000143BB"/>
    <w:rsid w:val="000219BD"/>
    <w:rsid w:val="000307F8"/>
    <w:rsid w:val="00031029"/>
    <w:rsid w:val="00032196"/>
    <w:rsid w:val="0003661A"/>
    <w:rsid w:val="000416F5"/>
    <w:rsid w:val="0004279F"/>
    <w:rsid w:val="00042E11"/>
    <w:rsid w:val="000455B4"/>
    <w:rsid w:val="00046F7D"/>
    <w:rsid w:val="000534FD"/>
    <w:rsid w:val="0005387B"/>
    <w:rsid w:val="000545B2"/>
    <w:rsid w:val="00055B49"/>
    <w:rsid w:val="00060911"/>
    <w:rsid w:val="000617E1"/>
    <w:rsid w:val="00061F45"/>
    <w:rsid w:val="000621E4"/>
    <w:rsid w:val="0006264E"/>
    <w:rsid w:val="00063733"/>
    <w:rsid w:val="00063D28"/>
    <w:rsid w:val="000646F7"/>
    <w:rsid w:val="00064A83"/>
    <w:rsid w:val="00065B21"/>
    <w:rsid w:val="0007145F"/>
    <w:rsid w:val="0007424F"/>
    <w:rsid w:val="00076BB3"/>
    <w:rsid w:val="000845BB"/>
    <w:rsid w:val="00087FA0"/>
    <w:rsid w:val="00095880"/>
    <w:rsid w:val="000A2DEC"/>
    <w:rsid w:val="000A54D6"/>
    <w:rsid w:val="000A7531"/>
    <w:rsid w:val="000B57BA"/>
    <w:rsid w:val="000B5D2C"/>
    <w:rsid w:val="000B6CF9"/>
    <w:rsid w:val="000C17C8"/>
    <w:rsid w:val="000C1AF1"/>
    <w:rsid w:val="000C521D"/>
    <w:rsid w:val="000D1A3F"/>
    <w:rsid w:val="000D1B32"/>
    <w:rsid w:val="000D4983"/>
    <w:rsid w:val="000D67D5"/>
    <w:rsid w:val="000E5FBC"/>
    <w:rsid w:val="000F21B3"/>
    <w:rsid w:val="000F3438"/>
    <w:rsid w:val="000F3D10"/>
    <w:rsid w:val="000F4C55"/>
    <w:rsid w:val="000F4E3E"/>
    <w:rsid w:val="000F563A"/>
    <w:rsid w:val="000F6F36"/>
    <w:rsid w:val="000F74A6"/>
    <w:rsid w:val="000F7D26"/>
    <w:rsid w:val="000F7D48"/>
    <w:rsid w:val="000F7EAA"/>
    <w:rsid w:val="0010299F"/>
    <w:rsid w:val="00103ED9"/>
    <w:rsid w:val="0010443C"/>
    <w:rsid w:val="001054A9"/>
    <w:rsid w:val="001055A4"/>
    <w:rsid w:val="00110B5B"/>
    <w:rsid w:val="00111F6B"/>
    <w:rsid w:val="001141E0"/>
    <w:rsid w:val="001173DF"/>
    <w:rsid w:val="00120574"/>
    <w:rsid w:val="00121B22"/>
    <w:rsid w:val="001229D2"/>
    <w:rsid w:val="00124440"/>
    <w:rsid w:val="00125DDF"/>
    <w:rsid w:val="00133BEE"/>
    <w:rsid w:val="001361B8"/>
    <w:rsid w:val="00142502"/>
    <w:rsid w:val="001439C7"/>
    <w:rsid w:val="00144DB5"/>
    <w:rsid w:val="0014525F"/>
    <w:rsid w:val="00151360"/>
    <w:rsid w:val="001532A7"/>
    <w:rsid w:val="00153BF0"/>
    <w:rsid w:val="001544D8"/>
    <w:rsid w:val="00157B72"/>
    <w:rsid w:val="00160C28"/>
    <w:rsid w:val="001651C6"/>
    <w:rsid w:val="00170DBA"/>
    <w:rsid w:val="00175052"/>
    <w:rsid w:val="0017545E"/>
    <w:rsid w:val="00176675"/>
    <w:rsid w:val="0018138B"/>
    <w:rsid w:val="00181869"/>
    <w:rsid w:val="001826F4"/>
    <w:rsid w:val="00183E47"/>
    <w:rsid w:val="001849D6"/>
    <w:rsid w:val="0018511A"/>
    <w:rsid w:val="00186B75"/>
    <w:rsid w:val="001870E8"/>
    <w:rsid w:val="00195F38"/>
    <w:rsid w:val="001A2601"/>
    <w:rsid w:val="001A4179"/>
    <w:rsid w:val="001A5B0F"/>
    <w:rsid w:val="001A6231"/>
    <w:rsid w:val="001B13D6"/>
    <w:rsid w:val="001B1D98"/>
    <w:rsid w:val="001B4370"/>
    <w:rsid w:val="001C14C0"/>
    <w:rsid w:val="001C318B"/>
    <w:rsid w:val="001C3551"/>
    <w:rsid w:val="001C5DAE"/>
    <w:rsid w:val="001D0209"/>
    <w:rsid w:val="001D1FE5"/>
    <w:rsid w:val="001D61CF"/>
    <w:rsid w:val="001D6706"/>
    <w:rsid w:val="001D7C95"/>
    <w:rsid w:val="001E49B6"/>
    <w:rsid w:val="001F0995"/>
    <w:rsid w:val="001F13B3"/>
    <w:rsid w:val="001F2BB8"/>
    <w:rsid w:val="001F6143"/>
    <w:rsid w:val="002037C5"/>
    <w:rsid w:val="0020396C"/>
    <w:rsid w:val="002050E5"/>
    <w:rsid w:val="002061F7"/>
    <w:rsid w:val="0020752E"/>
    <w:rsid w:val="00211A5F"/>
    <w:rsid w:val="002152DF"/>
    <w:rsid w:val="00215931"/>
    <w:rsid w:val="00216A9F"/>
    <w:rsid w:val="00220F95"/>
    <w:rsid w:val="00221A15"/>
    <w:rsid w:val="00222563"/>
    <w:rsid w:val="00223040"/>
    <w:rsid w:val="00224132"/>
    <w:rsid w:val="00224D85"/>
    <w:rsid w:val="00227CB7"/>
    <w:rsid w:val="0023012E"/>
    <w:rsid w:val="002302A8"/>
    <w:rsid w:val="00232993"/>
    <w:rsid w:val="002349DC"/>
    <w:rsid w:val="00237C52"/>
    <w:rsid w:val="0024053E"/>
    <w:rsid w:val="002418CE"/>
    <w:rsid w:val="002505DD"/>
    <w:rsid w:val="00252CD5"/>
    <w:rsid w:val="00260B1F"/>
    <w:rsid w:val="00266844"/>
    <w:rsid w:val="002675D3"/>
    <w:rsid w:val="00270222"/>
    <w:rsid w:val="00273C38"/>
    <w:rsid w:val="002749AA"/>
    <w:rsid w:val="00287AB6"/>
    <w:rsid w:val="00287E9C"/>
    <w:rsid w:val="0029348C"/>
    <w:rsid w:val="002957A3"/>
    <w:rsid w:val="00295BDC"/>
    <w:rsid w:val="002A0C32"/>
    <w:rsid w:val="002A4990"/>
    <w:rsid w:val="002A756E"/>
    <w:rsid w:val="002A7659"/>
    <w:rsid w:val="002A7C32"/>
    <w:rsid w:val="002B13FE"/>
    <w:rsid w:val="002B3564"/>
    <w:rsid w:val="002B77F3"/>
    <w:rsid w:val="002C2A0B"/>
    <w:rsid w:val="002C557F"/>
    <w:rsid w:val="002D21CB"/>
    <w:rsid w:val="002D2E98"/>
    <w:rsid w:val="002D2F25"/>
    <w:rsid w:val="002D32D7"/>
    <w:rsid w:val="002D503F"/>
    <w:rsid w:val="002D5D09"/>
    <w:rsid w:val="002D61F7"/>
    <w:rsid w:val="002E1DD2"/>
    <w:rsid w:val="002E1E5F"/>
    <w:rsid w:val="002E3BA3"/>
    <w:rsid w:val="002E5A3F"/>
    <w:rsid w:val="002E5ED7"/>
    <w:rsid w:val="002F0101"/>
    <w:rsid w:val="002F27EA"/>
    <w:rsid w:val="002F2802"/>
    <w:rsid w:val="00300E48"/>
    <w:rsid w:val="00301965"/>
    <w:rsid w:val="00302D3F"/>
    <w:rsid w:val="003037DB"/>
    <w:rsid w:val="00303FC8"/>
    <w:rsid w:val="00305632"/>
    <w:rsid w:val="00305819"/>
    <w:rsid w:val="00305B4C"/>
    <w:rsid w:val="0031004E"/>
    <w:rsid w:val="00311039"/>
    <w:rsid w:val="0031551C"/>
    <w:rsid w:val="00315C39"/>
    <w:rsid w:val="003172AA"/>
    <w:rsid w:val="00324732"/>
    <w:rsid w:val="00324C88"/>
    <w:rsid w:val="00325579"/>
    <w:rsid w:val="00326E66"/>
    <w:rsid w:val="00326F68"/>
    <w:rsid w:val="003270D6"/>
    <w:rsid w:val="00341730"/>
    <w:rsid w:val="0034263C"/>
    <w:rsid w:val="00344178"/>
    <w:rsid w:val="0034420E"/>
    <w:rsid w:val="00346597"/>
    <w:rsid w:val="00351B69"/>
    <w:rsid w:val="00355289"/>
    <w:rsid w:val="003639C8"/>
    <w:rsid w:val="00363F03"/>
    <w:rsid w:val="00366311"/>
    <w:rsid w:val="00367237"/>
    <w:rsid w:val="00373E1F"/>
    <w:rsid w:val="00376674"/>
    <w:rsid w:val="00377352"/>
    <w:rsid w:val="003803DA"/>
    <w:rsid w:val="00381625"/>
    <w:rsid w:val="00383209"/>
    <w:rsid w:val="00386779"/>
    <w:rsid w:val="00387C8C"/>
    <w:rsid w:val="00393E46"/>
    <w:rsid w:val="003A2F1D"/>
    <w:rsid w:val="003A5FA7"/>
    <w:rsid w:val="003A6772"/>
    <w:rsid w:val="003B20E4"/>
    <w:rsid w:val="003B4293"/>
    <w:rsid w:val="003C175A"/>
    <w:rsid w:val="003C19D6"/>
    <w:rsid w:val="003C1F43"/>
    <w:rsid w:val="003C35C9"/>
    <w:rsid w:val="003C3686"/>
    <w:rsid w:val="003C4B5B"/>
    <w:rsid w:val="003C4EE3"/>
    <w:rsid w:val="003C73C3"/>
    <w:rsid w:val="003E02FE"/>
    <w:rsid w:val="003E0DA5"/>
    <w:rsid w:val="003E37A6"/>
    <w:rsid w:val="003E4808"/>
    <w:rsid w:val="003E4D4E"/>
    <w:rsid w:val="003F7BB5"/>
    <w:rsid w:val="004006CC"/>
    <w:rsid w:val="00400AC1"/>
    <w:rsid w:val="004018FA"/>
    <w:rsid w:val="00401BB9"/>
    <w:rsid w:val="0040574A"/>
    <w:rsid w:val="00410208"/>
    <w:rsid w:val="0041258E"/>
    <w:rsid w:val="00412F0C"/>
    <w:rsid w:val="004131EB"/>
    <w:rsid w:val="0041356B"/>
    <w:rsid w:val="00414611"/>
    <w:rsid w:val="00415926"/>
    <w:rsid w:val="00420585"/>
    <w:rsid w:val="004221ED"/>
    <w:rsid w:val="0042262E"/>
    <w:rsid w:val="00430EDB"/>
    <w:rsid w:val="00431D24"/>
    <w:rsid w:val="0043268D"/>
    <w:rsid w:val="0043316D"/>
    <w:rsid w:val="00434B83"/>
    <w:rsid w:val="0044259B"/>
    <w:rsid w:val="004472EC"/>
    <w:rsid w:val="004473F4"/>
    <w:rsid w:val="004521CA"/>
    <w:rsid w:val="004534FA"/>
    <w:rsid w:val="00454965"/>
    <w:rsid w:val="00454A25"/>
    <w:rsid w:val="00454B50"/>
    <w:rsid w:val="00460735"/>
    <w:rsid w:val="00461815"/>
    <w:rsid w:val="00462D3B"/>
    <w:rsid w:val="00472B83"/>
    <w:rsid w:val="00472FDA"/>
    <w:rsid w:val="00474BC5"/>
    <w:rsid w:val="00475B1A"/>
    <w:rsid w:val="004764F3"/>
    <w:rsid w:val="00480756"/>
    <w:rsid w:val="004844EF"/>
    <w:rsid w:val="0049096F"/>
    <w:rsid w:val="00494B70"/>
    <w:rsid w:val="0049601D"/>
    <w:rsid w:val="00497405"/>
    <w:rsid w:val="004A288E"/>
    <w:rsid w:val="004A2C7F"/>
    <w:rsid w:val="004A5987"/>
    <w:rsid w:val="004B0847"/>
    <w:rsid w:val="004B3002"/>
    <w:rsid w:val="004B3AD0"/>
    <w:rsid w:val="004B4ECF"/>
    <w:rsid w:val="004C0FA8"/>
    <w:rsid w:val="004C3481"/>
    <w:rsid w:val="004C39FE"/>
    <w:rsid w:val="004C5A3E"/>
    <w:rsid w:val="004C6147"/>
    <w:rsid w:val="004C6F5F"/>
    <w:rsid w:val="004C7C80"/>
    <w:rsid w:val="004D0EA3"/>
    <w:rsid w:val="004D21E3"/>
    <w:rsid w:val="004D31FE"/>
    <w:rsid w:val="004D53C2"/>
    <w:rsid w:val="004E1AAE"/>
    <w:rsid w:val="004E2903"/>
    <w:rsid w:val="004E33AF"/>
    <w:rsid w:val="004F10DA"/>
    <w:rsid w:val="004F2BCE"/>
    <w:rsid w:val="004F47F0"/>
    <w:rsid w:val="004F5E4F"/>
    <w:rsid w:val="004F6C8A"/>
    <w:rsid w:val="00501E69"/>
    <w:rsid w:val="0050319E"/>
    <w:rsid w:val="00511B13"/>
    <w:rsid w:val="005150B2"/>
    <w:rsid w:val="005231AC"/>
    <w:rsid w:val="005243B1"/>
    <w:rsid w:val="00526094"/>
    <w:rsid w:val="005262C7"/>
    <w:rsid w:val="005300F8"/>
    <w:rsid w:val="0054068B"/>
    <w:rsid w:val="0054195A"/>
    <w:rsid w:val="005423AF"/>
    <w:rsid w:val="00545211"/>
    <w:rsid w:val="00546616"/>
    <w:rsid w:val="00546F3D"/>
    <w:rsid w:val="00550155"/>
    <w:rsid w:val="00551D61"/>
    <w:rsid w:val="00554DE4"/>
    <w:rsid w:val="00556A63"/>
    <w:rsid w:val="005602D7"/>
    <w:rsid w:val="005613AF"/>
    <w:rsid w:val="005613CA"/>
    <w:rsid w:val="0056437A"/>
    <w:rsid w:val="00565375"/>
    <w:rsid w:val="0056672F"/>
    <w:rsid w:val="005712AB"/>
    <w:rsid w:val="00576E28"/>
    <w:rsid w:val="00577FB8"/>
    <w:rsid w:val="00580DE3"/>
    <w:rsid w:val="005932D7"/>
    <w:rsid w:val="00593525"/>
    <w:rsid w:val="00595090"/>
    <w:rsid w:val="00597A98"/>
    <w:rsid w:val="005A1FB8"/>
    <w:rsid w:val="005A239A"/>
    <w:rsid w:val="005A30A7"/>
    <w:rsid w:val="005A3145"/>
    <w:rsid w:val="005A3306"/>
    <w:rsid w:val="005A48D3"/>
    <w:rsid w:val="005B451B"/>
    <w:rsid w:val="005B5797"/>
    <w:rsid w:val="005C3F32"/>
    <w:rsid w:val="005C71A9"/>
    <w:rsid w:val="005D161C"/>
    <w:rsid w:val="005D3966"/>
    <w:rsid w:val="005D57B5"/>
    <w:rsid w:val="005D73A5"/>
    <w:rsid w:val="005E0669"/>
    <w:rsid w:val="005E09AD"/>
    <w:rsid w:val="005E3433"/>
    <w:rsid w:val="005E416B"/>
    <w:rsid w:val="005E6BFA"/>
    <w:rsid w:val="005F0247"/>
    <w:rsid w:val="005F0870"/>
    <w:rsid w:val="005F30AD"/>
    <w:rsid w:val="005F3484"/>
    <w:rsid w:val="005F6096"/>
    <w:rsid w:val="005F61D3"/>
    <w:rsid w:val="00600A7E"/>
    <w:rsid w:val="00600DA2"/>
    <w:rsid w:val="00602545"/>
    <w:rsid w:val="00603589"/>
    <w:rsid w:val="00604417"/>
    <w:rsid w:val="006124D5"/>
    <w:rsid w:val="00613274"/>
    <w:rsid w:val="0061708B"/>
    <w:rsid w:val="00617E5F"/>
    <w:rsid w:val="00621399"/>
    <w:rsid w:val="006213AD"/>
    <w:rsid w:val="006224E9"/>
    <w:rsid w:val="006229DB"/>
    <w:rsid w:val="006238D8"/>
    <w:rsid w:val="0062399B"/>
    <w:rsid w:val="00625047"/>
    <w:rsid w:val="006256C3"/>
    <w:rsid w:val="0062596B"/>
    <w:rsid w:val="00633B35"/>
    <w:rsid w:val="00637EC3"/>
    <w:rsid w:val="00641F32"/>
    <w:rsid w:val="00643632"/>
    <w:rsid w:val="006438EC"/>
    <w:rsid w:val="006462CC"/>
    <w:rsid w:val="0065127A"/>
    <w:rsid w:val="00651AD3"/>
    <w:rsid w:val="006538F9"/>
    <w:rsid w:val="0065461C"/>
    <w:rsid w:val="00654870"/>
    <w:rsid w:val="00654BC1"/>
    <w:rsid w:val="00655A89"/>
    <w:rsid w:val="00655EBB"/>
    <w:rsid w:val="00656512"/>
    <w:rsid w:val="00662739"/>
    <w:rsid w:val="00664000"/>
    <w:rsid w:val="0066414D"/>
    <w:rsid w:val="006656C9"/>
    <w:rsid w:val="00666476"/>
    <w:rsid w:val="00670B7C"/>
    <w:rsid w:val="00672BAD"/>
    <w:rsid w:val="006730FD"/>
    <w:rsid w:val="00676855"/>
    <w:rsid w:val="0067765E"/>
    <w:rsid w:val="00677A80"/>
    <w:rsid w:val="006847B1"/>
    <w:rsid w:val="00685F56"/>
    <w:rsid w:val="00686BE8"/>
    <w:rsid w:val="006878A9"/>
    <w:rsid w:val="006903AF"/>
    <w:rsid w:val="00694717"/>
    <w:rsid w:val="006957DC"/>
    <w:rsid w:val="006A0DB0"/>
    <w:rsid w:val="006A33D6"/>
    <w:rsid w:val="006A4C58"/>
    <w:rsid w:val="006A56DB"/>
    <w:rsid w:val="006A6786"/>
    <w:rsid w:val="006A7906"/>
    <w:rsid w:val="006A7C08"/>
    <w:rsid w:val="006B2607"/>
    <w:rsid w:val="006B3545"/>
    <w:rsid w:val="006B7443"/>
    <w:rsid w:val="006B79FF"/>
    <w:rsid w:val="006B7EE5"/>
    <w:rsid w:val="006C21C3"/>
    <w:rsid w:val="006C2D51"/>
    <w:rsid w:val="006C6D17"/>
    <w:rsid w:val="006D09A1"/>
    <w:rsid w:val="006D4C02"/>
    <w:rsid w:val="006D5B5C"/>
    <w:rsid w:val="006D612D"/>
    <w:rsid w:val="006E0888"/>
    <w:rsid w:val="006E31AC"/>
    <w:rsid w:val="006E4572"/>
    <w:rsid w:val="006E45B0"/>
    <w:rsid w:val="006F7444"/>
    <w:rsid w:val="00702E99"/>
    <w:rsid w:val="007030F2"/>
    <w:rsid w:val="00703E39"/>
    <w:rsid w:val="00705E30"/>
    <w:rsid w:val="00711BD4"/>
    <w:rsid w:val="007125A4"/>
    <w:rsid w:val="007129CF"/>
    <w:rsid w:val="00716FC2"/>
    <w:rsid w:val="00717A9B"/>
    <w:rsid w:val="00723AE8"/>
    <w:rsid w:val="00723F54"/>
    <w:rsid w:val="0072401D"/>
    <w:rsid w:val="00725258"/>
    <w:rsid w:val="007262DF"/>
    <w:rsid w:val="00730B58"/>
    <w:rsid w:val="007314ED"/>
    <w:rsid w:val="00731ABB"/>
    <w:rsid w:val="00731F65"/>
    <w:rsid w:val="007320E0"/>
    <w:rsid w:val="00733B87"/>
    <w:rsid w:val="00735A18"/>
    <w:rsid w:val="00737603"/>
    <w:rsid w:val="00741C6B"/>
    <w:rsid w:val="00742D22"/>
    <w:rsid w:val="007430E5"/>
    <w:rsid w:val="0074338B"/>
    <w:rsid w:val="00743E02"/>
    <w:rsid w:val="00743F56"/>
    <w:rsid w:val="00744AEB"/>
    <w:rsid w:val="00745B79"/>
    <w:rsid w:val="0074699A"/>
    <w:rsid w:val="007473DD"/>
    <w:rsid w:val="00754ECF"/>
    <w:rsid w:val="00755EAE"/>
    <w:rsid w:val="00756D2E"/>
    <w:rsid w:val="0076088B"/>
    <w:rsid w:val="007637EE"/>
    <w:rsid w:val="00764C3D"/>
    <w:rsid w:val="00775D48"/>
    <w:rsid w:val="0077685A"/>
    <w:rsid w:val="007771DF"/>
    <w:rsid w:val="007818C9"/>
    <w:rsid w:val="007819A9"/>
    <w:rsid w:val="00783241"/>
    <w:rsid w:val="0078428E"/>
    <w:rsid w:val="00786584"/>
    <w:rsid w:val="00787746"/>
    <w:rsid w:val="00787B6D"/>
    <w:rsid w:val="00787BA8"/>
    <w:rsid w:val="007936F5"/>
    <w:rsid w:val="007944BF"/>
    <w:rsid w:val="00795627"/>
    <w:rsid w:val="007A157A"/>
    <w:rsid w:val="007A1E3D"/>
    <w:rsid w:val="007A20C5"/>
    <w:rsid w:val="007A2A45"/>
    <w:rsid w:val="007A2B79"/>
    <w:rsid w:val="007A5BA5"/>
    <w:rsid w:val="007B28E5"/>
    <w:rsid w:val="007B3890"/>
    <w:rsid w:val="007B5AB0"/>
    <w:rsid w:val="007B7788"/>
    <w:rsid w:val="007C3984"/>
    <w:rsid w:val="007C691F"/>
    <w:rsid w:val="007D07B3"/>
    <w:rsid w:val="007D482B"/>
    <w:rsid w:val="007E18BF"/>
    <w:rsid w:val="007E289A"/>
    <w:rsid w:val="007E37C4"/>
    <w:rsid w:val="007E39B5"/>
    <w:rsid w:val="007F097E"/>
    <w:rsid w:val="007F54D1"/>
    <w:rsid w:val="007F6069"/>
    <w:rsid w:val="00802048"/>
    <w:rsid w:val="00803D26"/>
    <w:rsid w:val="00810737"/>
    <w:rsid w:val="00811416"/>
    <w:rsid w:val="008176A6"/>
    <w:rsid w:val="00817CF1"/>
    <w:rsid w:val="00821054"/>
    <w:rsid w:val="00822C38"/>
    <w:rsid w:val="00826407"/>
    <w:rsid w:val="00830749"/>
    <w:rsid w:val="0083191E"/>
    <w:rsid w:val="00840DF9"/>
    <w:rsid w:val="00841573"/>
    <w:rsid w:val="00841881"/>
    <w:rsid w:val="00841C40"/>
    <w:rsid w:val="008434BF"/>
    <w:rsid w:val="00851DD7"/>
    <w:rsid w:val="00852EE0"/>
    <w:rsid w:val="00853F3A"/>
    <w:rsid w:val="0085670F"/>
    <w:rsid w:val="00857D49"/>
    <w:rsid w:val="00860094"/>
    <w:rsid w:val="0086021C"/>
    <w:rsid w:val="00861252"/>
    <w:rsid w:val="00861F82"/>
    <w:rsid w:val="00864947"/>
    <w:rsid w:val="00864E0B"/>
    <w:rsid w:val="00866CC7"/>
    <w:rsid w:val="008719DE"/>
    <w:rsid w:val="008724D2"/>
    <w:rsid w:val="00872E55"/>
    <w:rsid w:val="008773AD"/>
    <w:rsid w:val="0088024B"/>
    <w:rsid w:val="008805F1"/>
    <w:rsid w:val="00880AA8"/>
    <w:rsid w:val="00880F87"/>
    <w:rsid w:val="0088373D"/>
    <w:rsid w:val="00885C65"/>
    <w:rsid w:val="00887E09"/>
    <w:rsid w:val="00890A46"/>
    <w:rsid w:val="00891A28"/>
    <w:rsid w:val="0089377B"/>
    <w:rsid w:val="008942B7"/>
    <w:rsid w:val="00896896"/>
    <w:rsid w:val="008A15EA"/>
    <w:rsid w:val="008A1DDE"/>
    <w:rsid w:val="008A7A08"/>
    <w:rsid w:val="008B1659"/>
    <w:rsid w:val="008B1ACA"/>
    <w:rsid w:val="008B1FB3"/>
    <w:rsid w:val="008B246E"/>
    <w:rsid w:val="008B2D9D"/>
    <w:rsid w:val="008B3314"/>
    <w:rsid w:val="008B34E2"/>
    <w:rsid w:val="008B5AC8"/>
    <w:rsid w:val="008B5DFE"/>
    <w:rsid w:val="008B6558"/>
    <w:rsid w:val="008B7A88"/>
    <w:rsid w:val="008C20F5"/>
    <w:rsid w:val="008C413E"/>
    <w:rsid w:val="008C54CD"/>
    <w:rsid w:val="008C5CF4"/>
    <w:rsid w:val="008C62EF"/>
    <w:rsid w:val="008D051B"/>
    <w:rsid w:val="008D0F52"/>
    <w:rsid w:val="008D10BA"/>
    <w:rsid w:val="008D593F"/>
    <w:rsid w:val="008E0DA3"/>
    <w:rsid w:val="008E2346"/>
    <w:rsid w:val="008E30CB"/>
    <w:rsid w:val="008E3F32"/>
    <w:rsid w:val="008E57CA"/>
    <w:rsid w:val="008F14D1"/>
    <w:rsid w:val="008F3584"/>
    <w:rsid w:val="008F35FC"/>
    <w:rsid w:val="008F4144"/>
    <w:rsid w:val="008F4C72"/>
    <w:rsid w:val="008F5225"/>
    <w:rsid w:val="008F74CC"/>
    <w:rsid w:val="00900249"/>
    <w:rsid w:val="0090131B"/>
    <w:rsid w:val="00901D90"/>
    <w:rsid w:val="00905E13"/>
    <w:rsid w:val="00906B6E"/>
    <w:rsid w:val="00911AC3"/>
    <w:rsid w:val="00920BC1"/>
    <w:rsid w:val="009216AD"/>
    <w:rsid w:val="00923DA8"/>
    <w:rsid w:val="00926018"/>
    <w:rsid w:val="00927C46"/>
    <w:rsid w:val="009307A0"/>
    <w:rsid w:val="009375FB"/>
    <w:rsid w:val="00940C3B"/>
    <w:rsid w:val="009430AB"/>
    <w:rsid w:val="009457D2"/>
    <w:rsid w:val="00950CCB"/>
    <w:rsid w:val="00951F24"/>
    <w:rsid w:val="00954AC3"/>
    <w:rsid w:val="009622DF"/>
    <w:rsid w:val="009637D4"/>
    <w:rsid w:val="0096584D"/>
    <w:rsid w:val="0096674D"/>
    <w:rsid w:val="00967497"/>
    <w:rsid w:val="009767CE"/>
    <w:rsid w:val="00976D38"/>
    <w:rsid w:val="00977FF6"/>
    <w:rsid w:val="00982527"/>
    <w:rsid w:val="009835DD"/>
    <w:rsid w:val="0098406F"/>
    <w:rsid w:val="009848AE"/>
    <w:rsid w:val="00985A8F"/>
    <w:rsid w:val="00985C77"/>
    <w:rsid w:val="00987718"/>
    <w:rsid w:val="00992A8E"/>
    <w:rsid w:val="00992FDF"/>
    <w:rsid w:val="00995D61"/>
    <w:rsid w:val="009A2B22"/>
    <w:rsid w:val="009A48A2"/>
    <w:rsid w:val="009B0F5B"/>
    <w:rsid w:val="009B3105"/>
    <w:rsid w:val="009B6886"/>
    <w:rsid w:val="009B7116"/>
    <w:rsid w:val="009C10D2"/>
    <w:rsid w:val="009C386A"/>
    <w:rsid w:val="009C52BB"/>
    <w:rsid w:val="009C5A85"/>
    <w:rsid w:val="009C5E52"/>
    <w:rsid w:val="009C74FD"/>
    <w:rsid w:val="009D0589"/>
    <w:rsid w:val="009D0B3B"/>
    <w:rsid w:val="009E02CD"/>
    <w:rsid w:val="009E4B59"/>
    <w:rsid w:val="009E50A0"/>
    <w:rsid w:val="009E5217"/>
    <w:rsid w:val="009E7723"/>
    <w:rsid w:val="009E7B23"/>
    <w:rsid w:val="009F07E4"/>
    <w:rsid w:val="009F0EFC"/>
    <w:rsid w:val="009F149F"/>
    <w:rsid w:val="009F3633"/>
    <w:rsid w:val="009F5BDE"/>
    <w:rsid w:val="009F6F72"/>
    <w:rsid w:val="00A02051"/>
    <w:rsid w:val="00A020F5"/>
    <w:rsid w:val="00A036CD"/>
    <w:rsid w:val="00A03826"/>
    <w:rsid w:val="00A040F5"/>
    <w:rsid w:val="00A05B0D"/>
    <w:rsid w:val="00A07462"/>
    <w:rsid w:val="00A131C2"/>
    <w:rsid w:val="00A16831"/>
    <w:rsid w:val="00A21776"/>
    <w:rsid w:val="00A22D50"/>
    <w:rsid w:val="00A231E3"/>
    <w:rsid w:val="00A2351C"/>
    <w:rsid w:val="00A24030"/>
    <w:rsid w:val="00A275A9"/>
    <w:rsid w:val="00A339B5"/>
    <w:rsid w:val="00A35611"/>
    <w:rsid w:val="00A37C37"/>
    <w:rsid w:val="00A40E82"/>
    <w:rsid w:val="00A43782"/>
    <w:rsid w:val="00A44C28"/>
    <w:rsid w:val="00A45799"/>
    <w:rsid w:val="00A464CE"/>
    <w:rsid w:val="00A466AB"/>
    <w:rsid w:val="00A5135C"/>
    <w:rsid w:val="00A5396B"/>
    <w:rsid w:val="00A565D5"/>
    <w:rsid w:val="00A60197"/>
    <w:rsid w:val="00A628CA"/>
    <w:rsid w:val="00A62D2A"/>
    <w:rsid w:val="00A65FD2"/>
    <w:rsid w:val="00A66531"/>
    <w:rsid w:val="00A6744C"/>
    <w:rsid w:val="00A67605"/>
    <w:rsid w:val="00A7003D"/>
    <w:rsid w:val="00A70F1A"/>
    <w:rsid w:val="00A71A50"/>
    <w:rsid w:val="00A75522"/>
    <w:rsid w:val="00A7669B"/>
    <w:rsid w:val="00A76B1F"/>
    <w:rsid w:val="00A77460"/>
    <w:rsid w:val="00A80ADC"/>
    <w:rsid w:val="00A82C13"/>
    <w:rsid w:val="00A841EE"/>
    <w:rsid w:val="00A85971"/>
    <w:rsid w:val="00A917A6"/>
    <w:rsid w:val="00A91D4D"/>
    <w:rsid w:val="00A941EF"/>
    <w:rsid w:val="00A95D4C"/>
    <w:rsid w:val="00A96511"/>
    <w:rsid w:val="00A97C69"/>
    <w:rsid w:val="00AA06E8"/>
    <w:rsid w:val="00AA4990"/>
    <w:rsid w:val="00AC538D"/>
    <w:rsid w:val="00AC6284"/>
    <w:rsid w:val="00AC6C18"/>
    <w:rsid w:val="00AD17BE"/>
    <w:rsid w:val="00AD1B27"/>
    <w:rsid w:val="00AD25DC"/>
    <w:rsid w:val="00AD349E"/>
    <w:rsid w:val="00AD45E9"/>
    <w:rsid w:val="00AD5D99"/>
    <w:rsid w:val="00AE2803"/>
    <w:rsid w:val="00AE3577"/>
    <w:rsid w:val="00AE496A"/>
    <w:rsid w:val="00AE4E1B"/>
    <w:rsid w:val="00AE5FD3"/>
    <w:rsid w:val="00AF05D2"/>
    <w:rsid w:val="00AF143E"/>
    <w:rsid w:val="00AF2BE5"/>
    <w:rsid w:val="00AF45A2"/>
    <w:rsid w:val="00AF5F6B"/>
    <w:rsid w:val="00AF6BE6"/>
    <w:rsid w:val="00AF7722"/>
    <w:rsid w:val="00B04151"/>
    <w:rsid w:val="00B06433"/>
    <w:rsid w:val="00B102A3"/>
    <w:rsid w:val="00B11149"/>
    <w:rsid w:val="00B11A69"/>
    <w:rsid w:val="00B11F6A"/>
    <w:rsid w:val="00B12821"/>
    <w:rsid w:val="00B13D2B"/>
    <w:rsid w:val="00B1434A"/>
    <w:rsid w:val="00B16F4D"/>
    <w:rsid w:val="00B21CD9"/>
    <w:rsid w:val="00B24F63"/>
    <w:rsid w:val="00B26718"/>
    <w:rsid w:val="00B30D10"/>
    <w:rsid w:val="00B31A69"/>
    <w:rsid w:val="00B3306B"/>
    <w:rsid w:val="00B350BC"/>
    <w:rsid w:val="00B366DA"/>
    <w:rsid w:val="00B373AA"/>
    <w:rsid w:val="00B45B54"/>
    <w:rsid w:val="00B514AA"/>
    <w:rsid w:val="00B52687"/>
    <w:rsid w:val="00B567E2"/>
    <w:rsid w:val="00B60623"/>
    <w:rsid w:val="00B6281F"/>
    <w:rsid w:val="00B6666E"/>
    <w:rsid w:val="00B66D4A"/>
    <w:rsid w:val="00B67A7F"/>
    <w:rsid w:val="00B70349"/>
    <w:rsid w:val="00B71BA2"/>
    <w:rsid w:val="00B71FB0"/>
    <w:rsid w:val="00B73E5B"/>
    <w:rsid w:val="00B7550A"/>
    <w:rsid w:val="00B7605D"/>
    <w:rsid w:val="00B76289"/>
    <w:rsid w:val="00B771BA"/>
    <w:rsid w:val="00B82AEA"/>
    <w:rsid w:val="00B86F1C"/>
    <w:rsid w:val="00B87B6D"/>
    <w:rsid w:val="00B9031E"/>
    <w:rsid w:val="00B904BB"/>
    <w:rsid w:val="00B923D7"/>
    <w:rsid w:val="00B93BF3"/>
    <w:rsid w:val="00B949DB"/>
    <w:rsid w:val="00BA6E2B"/>
    <w:rsid w:val="00BA7A70"/>
    <w:rsid w:val="00BB1114"/>
    <w:rsid w:val="00BB3FCA"/>
    <w:rsid w:val="00BB4FF6"/>
    <w:rsid w:val="00BB581B"/>
    <w:rsid w:val="00BC42DD"/>
    <w:rsid w:val="00BC49EB"/>
    <w:rsid w:val="00BC4FBC"/>
    <w:rsid w:val="00BC79B1"/>
    <w:rsid w:val="00BC7EF1"/>
    <w:rsid w:val="00BD0219"/>
    <w:rsid w:val="00BD0339"/>
    <w:rsid w:val="00BD1D37"/>
    <w:rsid w:val="00BD4488"/>
    <w:rsid w:val="00BD7370"/>
    <w:rsid w:val="00BE22AF"/>
    <w:rsid w:val="00BE2FE8"/>
    <w:rsid w:val="00BE5B00"/>
    <w:rsid w:val="00BE5BC4"/>
    <w:rsid w:val="00BE711B"/>
    <w:rsid w:val="00BE7C2C"/>
    <w:rsid w:val="00BF0467"/>
    <w:rsid w:val="00BF4D5F"/>
    <w:rsid w:val="00BF638B"/>
    <w:rsid w:val="00C019EC"/>
    <w:rsid w:val="00C04707"/>
    <w:rsid w:val="00C06CB6"/>
    <w:rsid w:val="00C077DF"/>
    <w:rsid w:val="00C10E9C"/>
    <w:rsid w:val="00C122D2"/>
    <w:rsid w:val="00C16628"/>
    <w:rsid w:val="00C17141"/>
    <w:rsid w:val="00C22C4A"/>
    <w:rsid w:val="00C23E6D"/>
    <w:rsid w:val="00C24013"/>
    <w:rsid w:val="00C24204"/>
    <w:rsid w:val="00C25282"/>
    <w:rsid w:val="00C25411"/>
    <w:rsid w:val="00C340C8"/>
    <w:rsid w:val="00C35CF7"/>
    <w:rsid w:val="00C36629"/>
    <w:rsid w:val="00C37E0D"/>
    <w:rsid w:val="00C408AE"/>
    <w:rsid w:val="00C44FEE"/>
    <w:rsid w:val="00C454C9"/>
    <w:rsid w:val="00C46B02"/>
    <w:rsid w:val="00C46BA8"/>
    <w:rsid w:val="00C477E9"/>
    <w:rsid w:val="00C609EE"/>
    <w:rsid w:val="00C63AF0"/>
    <w:rsid w:val="00C64C4E"/>
    <w:rsid w:val="00C65DF9"/>
    <w:rsid w:val="00C70D9C"/>
    <w:rsid w:val="00C85D70"/>
    <w:rsid w:val="00C863D7"/>
    <w:rsid w:val="00C9379B"/>
    <w:rsid w:val="00C949B7"/>
    <w:rsid w:val="00C95BB3"/>
    <w:rsid w:val="00CA2CD7"/>
    <w:rsid w:val="00CA63AE"/>
    <w:rsid w:val="00CA68EA"/>
    <w:rsid w:val="00CA7960"/>
    <w:rsid w:val="00CA7AB9"/>
    <w:rsid w:val="00CB2212"/>
    <w:rsid w:val="00CB2D22"/>
    <w:rsid w:val="00CB3876"/>
    <w:rsid w:val="00CB4771"/>
    <w:rsid w:val="00CB49A5"/>
    <w:rsid w:val="00CB5EC3"/>
    <w:rsid w:val="00CC5EA1"/>
    <w:rsid w:val="00CD0541"/>
    <w:rsid w:val="00CD06B6"/>
    <w:rsid w:val="00CD0A74"/>
    <w:rsid w:val="00CD12D6"/>
    <w:rsid w:val="00CD26D2"/>
    <w:rsid w:val="00CD4A86"/>
    <w:rsid w:val="00CD5E7A"/>
    <w:rsid w:val="00CE0F66"/>
    <w:rsid w:val="00CE2E18"/>
    <w:rsid w:val="00CE48F1"/>
    <w:rsid w:val="00CF200B"/>
    <w:rsid w:val="00CF6BAE"/>
    <w:rsid w:val="00D01500"/>
    <w:rsid w:val="00D04B31"/>
    <w:rsid w:val="00D06796"/>
    <w:rsid w:val="00D0775E"/>
    <w:rsid w:val="00D0776E"/>
    <w:rsid w:val="00D07EBE"/>
    <w:rsid w:val="00D109A4"/>
    <w:rsid w:val="00D12CC1"/>
    <w:rsid w:val="00D174D5"/>
    <w:rsid w:val="00D1756E"/>
    <w:rsid w:val="00D17B34"/>
    <w:rsid w:val="00D208CC"/>
    <w:rsid w:val="00D21690"/>
    <w:rsid w:val="00D220D0"/>
    <w:rsid w:val="00D318BE"/>
    <w:rsid w:val="00D329C8"/>
    <w:rsid w:val="00D34661"/>
    <w:rsid w:val="00D3475F"/>
    <w:rsid w:val="00D34B84"/>
    <w:rsid w:val="00D37C43"/>
    <w:rsid w:val="00D461E2"/>
    <w:rsid w:val="00D5013E"/>
    <w:rsid w:val="00D5255E"/>
    <w:rsid w:val="00D525E2"/>
    <w:rsid w:val="00D5279B"/>
    <w:rsid w:val="00D52A9D"/>
    <w:rsid w:val="00D52B33"/>
    <w:rsid w:val="00D54D88"/>
    <w:rsid w:val="00D5504E"/>
    <w:rsid w:val="00D60FDC"/>
    <w:rsid w:val="00D61DAB"/>
    <w:rsid w:val="00D63EA4"/>
    <w:rsid w:val="00D6782A"/>
    <w:rsid w:val="00D7105E"/>
    <w:rsid w:val="00D711B4"/>
    <w:rsid w:val="00D736F1"/>
    <w:rsid w:val="00D77BAA"/>
    <w:rsid w:val="00D77C86"/>
    <w:rsid w:val="00D8177D"/>
    <w:rsid w:val="00D81B1C"/>
    <w:rsid w:val="00D83DD2"/>
    <w:rsid w:val="00D85D89"/>
    <w:rsid w:val="00D866A7"/>
    <w:rsid w:val="00D87290"/>
    <w:rsid w:val="00D97790"/>
    <w:rsid w:val="00DA07C7"/>
    <w:rsid w:val="00DA4B92"/>
    <w:rsid w:val="00DA4DF0"/>
    <w:rsid w:val="00DA61F8"/>
    <w:rsid w:val="00DA75C0"/>
    <w:rsid w:val="00DB09F3"/>
    <w:rsid w:val="00DB1069"/>
    <w:rsid w:val="00DB14D4"/>
    <w:rsid w:val="00DB14D8"/>
    <w:rsid w:val="00DB2A55"/>
    <w:rsid w:val="00DB533E"/>
    <w:rsid w:val="00DB5D3B"/>
    <w:rsid w:val="00DB6A2D"/>
    <w:rsid w:val="00DC0594"/>
    <w:rsid w:val="00DC0EE0"/>
    <w:rsid w:val="00DC23C3"/>
    <w:rsid w:val="00DC2FE1"/>
    <w:rsid w:val="00DC5CE6"/>
    <w:rsid w:val="00DC731B"/>
    <w:rsid w:val="00DD1D67"/>
    <w:rsid w:val="00DD2335"/>
    <w:rsid w:val="00DD38CD"/>
    <w:rsid w:val="00DE2C38"/>
    <w:rsid w:val="00DE5EAF"/>
    <w:rsid w:val="00DE69FF"/>
    <w:rsid w:val="00DF2273"/>
    <w:rsid w:val="00DF2FD5"/>
    <w:rsid w:val="00DF602C"/>
    <w:rsid w:val="00DF6842"/>
    <w:rsid w:val="00E00D76"/>
    <w:rsid w:val="00E05EB5"/>
    <w:rsid w:val="00E07B7E"/>
    <w:rsid w:val="00E10AA1"/>
    <w:rsid w:val="00E10D33"/>
    <w:rsid w:val="00E12485"/>
    <w:rsid w:val="00E14208"/>
    <w:rsid w:val="00E14277"/>
    <w:rsid w:val="00E15D14"/>
    <w:rsid w:val="00E210B3"/>
    <w:rsid w:val="00E2124D"/>
    <w:rsid w:val="00E21ACE"/>
    <w:rsid w:val="00E246D7"/>
    <w:rsid w:val="00E2481C"/>
    <w:rsid w:val="00E33B1D"/>
    <w:rsid w:val="00E415F2"/>
    <w:rsid w:val="00E440D0"/>
    <w:rsid w:val="00E44FF8"/>
    <w:rsid w:val="00E45354"/>
    <w:rsid w:val="00E50953"/>
    <w:rsid w:val="00E54A0D"/>
    <w:rsid w:val="00E56074"/>
    <w:rsid w:val="00E56F8F"/>
    <w:rsid w:val="00E57139"/>
    <w:rsid w:val="00E60F81"/>
    <w:rsid w:val="00E63007"/>
    <w:rsid w:val="00E66C8A"/>
    <w:rsid w:val="00E7302F"/>
    <w:rsid w:val="00E73641"/>
    <w:rsid w:val="00E751E7"/>
    <w:rsid w:val="00E764C9"/>
    <w:rsid w:val="00E82AB3"/>
    <w:rsid w:val="00E83754"/>
    <w:rsid w:val="00E83BE1"/>
    <w:rsid w:val="00E84D5B"/>
    <w:rsid w:val="00E85324"/>
    <w:rsid w:val="00E8679C"/>
    <w:rsid w:val="00E917CC"/>
    <w:rsid w:val="00E925FE"/>
    <w:rsid w:val="00E96DE6"/>
    <w:rsid w:val="00EA1A18"/>
    <w:rsid w:val="00EA2BA3"/>
    <w:rsid w:val="00EA2EF8"/>
    <w:rsid w:val="00EA54E0"/>
    <w:rsid w:val="00EB0C28"/>
    <w:rsid w:val="00EB121E"/>
    <w:rsid w:val="00EB2A65"/>
    <w:rsid w:val="00EB382C"/>
    <w:rsid w:val="00EB60C0"/>
    <w:rsid w:val="00EB7194"/>
    <w:rsid w:val="00EC1FB1"/>
    <w:rsid w:val="00EC3DE8"/>
    <w:rsid w:val="00EC7456"/>
    <w:rsid w:val="00ED5FD3"/>
    <w:rsid w:val="00ED6752"/>
    <w:rsid w:val="00ED69DC"/>
    <w:rsid w:val="00ED7BD3"/>
    <w:rsid w:val="00EE0EFF"/>
    <w:rsid w:val="00EE30A1"/>
    <w:rsid w:val="00EE441F"/>
    <w:rsid w:val="00EE66E8"/>
    <w:rsid w:val="00EF7301"/>
    <w:rsid w:val="00F03E34"/>
    <w:rsid w:val="00F10201"/>
    <w:rsid w:val="00F11341"/>
    <w:rsid w:val="00F12172"/>
    <w:rsid w:val="00F144C1"/>
    <w:rsid w:val="00F16E9B"/>
    <w:rsid w:val="00F16EAA"/>
    <w:rsid w:val="00F22BC8"/>
    <w:rsid w:val="00F25085"/>
    <w:rsid w:val="00F312E3"/>
    <w:rsid w:val="00F31B3E"/>
    <w:rsid w:val="00F4025C"/>
    <w:rsid w:val="00F40516"/>
    <w:rsid w:val="00F40984"/>
    <w:rsid w:val="00F41165"/>
    <w:rsid w:val="00F41DC3"/>
    <w:rsid w:val="00F42B65"/>
    <w:rsid w:val="00F44812"/>
    <w:rsid w:val="00F47843"/>
    <w:rsid w:val="00F47F51"/>
    <w:rsid w:val="00F50666"/>
    <w:rsid w:val="00F55AEE"/>
    <w:rsid w:val="00F570AF"/>
    <w:rsid w:val="00F57CB4"/>
    <w:rsid w:val="00F616B6"/>
    <w:rsid w:val="00F65158"/>
    <w:rsid w:val="00F65DCA"/>
    <w:rsid w:val="00F666A8"/>
    <w:rsid w:val="00F671F4"/>
    <w:rsid w:val="00F67379"/>
    <w:rsid w:val="00F71357"/>
    <w:rsid w:val="00F714C0"/>
    <w:rsid w:val="00F723EA"/>
    <w:rsid w:val="00F73CE6"/>
    <w:rsid w:val="00F74ACA"/>
    <w:rsid w:val="00F74F41"/>
    <w:rsid w:val="00F750C5"/>
    <w:rsid w:val="00F75F3B"/>
    <w:rsid w:val="00F76886"/>
    <w:rsid w:val="00F774FD"/>
    <w:rsid w:val="00F8409F"/>
    <w:rsid w:val="00F87765"/>
    <w:rsid w:val="00F91576"/>
    <w:rsid w:val="00F937C8"/>
    <w:rsid w:val="00F945B7"/>
    <w:rsid w:val="00F954BF"/>
    <w:rsid w:val="00F9648A"/>
    <w:rsid w:val="00F97214"/>
    <w:rsid w:val="00F97504"/>
    <w:rsid w:val="00F978C9"/>
    <w:rsid w:val="00FA1148"/>
    <w:rsid w:val="00FA114F"/>
    <w:rsid w:val="00FA1D23"/>
    <w:rsid w:val="00FA361B"/>
    <w:rsid w:val="00FA58C4"/>
    <w:rsid w:val="00FA7B75"/>
    <w:rsid w:val="00FB049B"/>
    <w:rsid w:val="00FB16AA"/>
    <w:rsid w:val="00FB2808"/>
    <w:rsid w:val="00FB2AE7"/>
    <w:rsid w:val="00FB3762"/>
    <w:rsid w:val="00FB454E"/>
    <w:rsid w:val="00FB6077"/>
    <w:rsid w:val="00FB737F"/>
    <w:rsid w:val="00FC62EE"/>
    <w:rsid w:val="00FC68BD"/>
    <w:rsid w:val="00FC7F7F"/>
    <w:rsid w:val="00FD05FF"/>
    <w:rsid w:val="00FD2DD4"/>
    <w:rsid w:val="00FD3064"/>
    <w:rsid w:val="00FD3D37"/>
    <w:rsid w:val="00FD6197"/>
    <w:rsid w:val="00FD728E"/>
    <w:rsid w:val="00FE0543"/>
    <w:rsid w:val="00FE099A"/>
    <w:rsid w:val="00FE0F93"/>
    <w:rsid w:val="00FE47E6"/>
    <w:rsid w:val="00FE4DA7"/>
    <w:rsid w:val="00FE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E9F29"/>
  <w15:chartTrackingRefBased/>
  <w15:docId w15:val="{B61D3D85-28A2-466B-BBAB-171FFB1F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86A"/>
    <w:pPr>
      <w:spacing w:line="240" w:lineRule="auto"/>
      <w:jc w:val="left"/>
    </w:pPr>
    <w:rPr>
      <w:rFonts w:ascii="Book Antiqua" w:hAnsi="Book Antiqua"/>
      <w:sz w:val="24"/>
      <w:lang w:val="es-PR"/>
    </w:rPr>
  </w:style>
  <w:style w:type="paragraph" w:styleId="Heading1">
    <w:name w:val="heading 1"/>
    <w:basedOn w:val="Normal"/>
    <w:link w:val="Heading1Char"/>
    <w:uiPriority w:val="9"/>
    <w:qFormat/>
    <w:rsid w:val="009835DD"/>
    <w:pPr>
      <w:widowControl w:val="0"/>
      <w:autoSpaceDE w:val="0"/>
      <w:autoSpaceDN w:val="0"/>
      <w:spacing w:before="84"/>
      <w:ind w:left="596"/>
      <w:jc w:val="center"/>
      <w:outlineLvl w:val="0"/>
    </w:pPr>
    <w:rPr>
      <w:rFonts w:eastAsia="Book Antiqua" w:cs="Book Antiqua"/>
      <w:sz w:val="28"/>
      <w:szCs w:val="28"/>
      <w:lang w:val="es-ES"/>
    </w:rPr>
  </w:style>
  <w:style w:type="paragraph" w:styleId="Heading2">
    <w:name w:val="heading 2"/>
    <w:basedOn w:val="Normal"/>
    <w:next w:val="Normal"/>
    <w:link w:val="Heading2Char"/>
    <w:uiPriority w:val="9"/>
    <w:semiHidden/>
    <w:unhideWhenUsed/>
    <w:qFormat/>
    <w:rsid w:val="003465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86A"/>
    <w:pPr>
      <w:tabs>
        <w:tab w:val="center" w:pos="4680"/>
        <w:tab w:val="right" w:pos="9360"/>
      </w:tabs>
    </w:pPr>
  </w:style>
  <w:style w:type="character" w:customStyle="1" w:styleId="HeaderChar">
    <w:name w:val="Header Char"/>
    <w:basedOn w:val="DefaultParagraphFont"/>
    <w:link w:val="Header"/>
    <w:uiPriority w:val="99"/>
    <w:rsid w:val="009C386A"/>
    <w:rPr>
      <w:rFonts w:ascii="Book Antiqua" w:hAnsi="Book Antiqua"/>
      <w:sz w:val="24"/>
      <w:lang w:val="es-PR"/>
    </w:rPr>
  </w:style>
  <w:style w:type="character" w:styleId="PageNumber">
    <w:name w:val="page number"/>
    <w:basedOn w:val="DefaultParagraphFont"/>
    <w:rsid w:val="009C386A"/>
  </w:style>
  <w:style w:type="character" w:styleId="LineNumber">
    <w:name w:val="line number"/>
    <w:basedOn w:val="DefaultParagraphFont"/>
    <w:uiPriority w:val="99"/>
    <w:semiHidden/>
    <w:unhideWhenUsed/>
    <w:rsid w:val="009C386A"/>
  </w:style>
  <w:style w:type="paragraph" w:styleId="ListParagraph">
    <w:name w:val="List Paragraph"/>
    <w:basedOn w:val="Normal"/>
    <w:uiPriority w:val="1"/>
    <w:qFormat/>
    <w:rsid w:val="00C17141"/>
    <w:pPr>
      <w:ind w:left="720"/>
      <w:contextualSpacing/>
    </w:pPr>
  </w:style>
  <w:style w:type="paragraph" w:styleId="BalloonText">
    <w:name w:val="Balloon Text"/>
    <w:basedOn w:val="Normal"/>
    <w:link w:val="BalloonTextChar"/>
    <w:uiPriority w:val="99"/>
    <w:semiHidden/>
    <w:unhideWhenUsed/>
    <w:rsid w:val="001D0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209"/>
    <w:rPr>
      <w:rFonts w:ascii="Segoe UI" w:hAnsi="Segoe UI" w:cs="Segoe UI"/>
      <w:sz w:val="18"/>
      <w:szCs w:val="18"/>
      <w:lang w:val="es-PR"/>
    </w:rPr>
  </w:style>
  <w:style w:type="paragraph" w:styleId="Footer">
    <w:name w:val="footer"/>
    <w:basedOn w:val="Normal"/>
    <w:link w:val="FooterChar"/>
    <w:uiPriority w:val="99"/>
    <w:unhideWhenUsed/>
    <w:rsid w:val="002349DC"/>
    <w:pPr>
      <w:tabs>
        <w:tab w:val="center" w:pos="4680"/>
        <w:tab w:val="right" w:pos="9360"/>
      </w:tabs>
    </w:pPr>
  </w:style>
  <w:style w:type="character" w:customStyle="1" w:styleId="FooterChar">
    <w:name w:val="Footer Char"/>
    <w:basedOn w:val="DefaultParagraphFont"/>
    <w:link w:val="Footer"/>
    <w:uiPriority w:val="99"/>
    <w:rsid w:val="002349DC"/>
    <w:rPr>
      <w:rFonts w:ascii="Book Antiqua" w:hAnsi="Book Antiqua"/>
      <w:sz w:val="24"/>
      <w:lang w:val="es-PR"/>
    </w:rPr>
  </w:style>
  <w:style w:type="character" w:styleId="HTMLTypewriter">
    <w:name w:val="HTML Typewriter"/>
    <w:basedOn w:val="DefaultParagraphFont"/>
    <w:uiPriority w:val="99"/>
    <w:semiHidden/>
    <w:unhideWhenUsed/>
    <w:rsid w:val="004131EB"/>
    <w:rPr>
      <w:rFonts w:ascii="Courier New" w:eastAsiaTheme="minorHAnsi" w:hAnsi="Courier New" w:cs="Courier New" w:hint="default"/>
      <w:sz w:val="20"/>
      <w:szCs w:val="20"/>
    </w:rPr>
  </w:style>
  <w:style w:type="character" w:styleId="Hyperlink">
    <w:name w:val="Hyperlink"/>
    <w:basedOn w:val="DefaultParagraphFont"/>
    <w:uiPriority w:val="99"/>
    <w:unhideWhenUsed/>
    <w:rsid w:val="00744AEB"/>
    <w:rPr>
      <w:color w:val="0563C1" w:themeColor="hyperlink"/>
      <w:u w:val="single"/>
    </w:rPr>
  </w:style>
  <w:style w:type="character" w:customStyle="1" w:styleId="UnresolvedMention1">
    <w:name w:val="Unresolved Mention1"/>
    <w:basedOn w:val="DefaultParagraphFont"/>
    <w:uiPriority w:val="99"/>
    <w:semiHidden/>
    <w:unhideWhenUsed/>
    <w:rsid w:val="00744AEB"/>
    <w:rPr>
      <w:color w:val="605E5C"/>
      <w:shd w:val="clear" w:color="auto" w:fill="E1DFDD"/>
    </w:rPr>
  </w:style>
  <w:style w:type="character" w:styleId="FollowedHyperlink">
    <w:name w:val="FollowedHyperlink"/>
    <w:basedOn w:val="DefaultParagraphFont"/>
    <w:uiPriority w:val="99"/>
    <w:semiHidden/>
    <w:unhideWhenUsed/>
    <w:rsid w:val="00BB1114"/>
    <w:rPr>
      <w:color w:val="954F72" w:themeColor="followedHyperlink"/>
      <w:u w:val="single"/>
    </w:rPr>
  </w:style>
  <w:style w:type="character" w:styleId="UnresolvedMention">
    <w:name w:val="Unresolved Mention"/>
    <w:basedOn w:val="DefaultParagraphFont"/>
    <w:uiPriority w:val="99"/>
    <w:semiHidden/>
    <w:unhideWhenUsed/>
    <w:rsid w:val="002D21CB"/>
    <w:rPr>
      <w:color w:val="605E5C"/>
      <w:shd w:val="clear" w:color="auto" w:fill="E1DFDD"/>
    </w:rPr>
  </w:style>
  <w:style w:type="paragraph" w:styleId="Revision">
    <w:name w:val="Revision"/>
    <w:hidden/>
    <w:uiPriority w:val="99"/>
    <w:semiHidden/>
    <w:rsid w:val="006D09A1"/>
    <w:pPr>
      <w:spacing w:line="240" w:lineRule="auto"/>
      <w:jc w:val="left"/>
    </w:pPr>
    <w:rPr>
      <w:rFonts w:ascii="Book Antiqua" w:hAnsi="Book Antiqua"/>
      <w:sz w:val="24"/>
      <w:lang w:val="es-PR"/>
    </w:rPr>
  </w:style>
  <w:style w:type="paragraph" w:styleId="BodyText">
    <w:name w:val="Body Text"/>
    <w:basedOn w:val="Normal"/>
    <w:link w:val="BodyTextChar"/>
    <w:uiPriority w:val="1"/>
    <w:qFormat/>
    <w:rsid w:val="00420585"/>
    <w:pPr>
      <w:widowControl w:val="0"/>
      <w:autoSpaceDE w:val="0"/>
      <w:autoSpaceDN w:val="0"/>
    </w:pPr>
    <w:rPr>
      <w:rFonts w:eastAsia="Book Antiqua" w:cs="Book Antiqua"/>
      <w:sz w:val="25"/>
      <w:szCs w:val="25"/>
      <w:lang w:val="es-ES"/>
    </w:rPr>
  </w:style>
  <w:style w:type="character" w:customStyle="1" w:styleId="BodyTextChar">
    <w:name w:val="Body Text Char"/>
    <w:basedOn w:val="DefaultParagraphFont"/>
    <w:link w:val="BodyText"/>
    <w:uiPriority w:val="1"/>
    <w:rsid w:val="00420585"/>
    <w:rPr>
      <w:rFonts w:ascii="Book Antiqua" w:eastAsia="Book Antiqua" w:hAnsi="Book Antiqua" w:cs="Book Antiqua"/>
      <w:sz w:val="25"/>
      <w:szCs w:val="25"/>
      <w:lang w:val="es-ES"/>
    </w:rPr>
  </w:style>
  <w:style w:type="character" w:customStyle="1" w:styleId="Heading1Char">
    <w:name w:val="Heading 1 Char"/>
    <w:basedOn w:val="DefaultParagraphFont"/>
    <w:link w:val="Heading1"/>
    <w:uiPriority w:val="9"/>
    <w:rsid w:val="009835DD"/>
    <w:rPr>
      <w:rFonts w:ascii="Book Antiqua" w:eastAsia="Book Antiqua" w:hAnsi="Book Antiqua" w:cs="Book Antiqua"/>
      <w:sz w:val="28"/>
      <w:szCs w:val="28"/>
      <w:lang w:val="es-ES"/>
    </w:rPr>
  </w:style>
  <w:style w:type="character" w:customStyle="1" w:styleId="Heading2Char">
    <w:name w:val="Heading 2 Char"/>
    <w:basedOn w:val="DefaultParagraphFont"/>
    <w:link w:val="Heading2"/>
    <w:uiPriority w:val="9"/>
    <w:semiHidden/>
    <w:rsid w:val="00346597"/>
    <w:rPr>
      <w:rFonts w:asciiTheme="majorHAnsi" w:eastAsiaTheme="majorEastAsia" w:hAnsiTheme="majorHAnsi" w:cstheme="majorBidi"/>
      <w:color w:val="2F5496" w:themeColor="accent1" w:themeShade="BF"/>
      <w:sz w:val="26"/>
      <w:szCs w:val="26"/>
      <w:lang w:val="es-PR"/>
    </w:rPr>
  </w:style>
  <w:style w:type="paragraph" w:styleId="FootnoteText">
    <w:name w:val="footnote text"/>
    <w:basedOn w:val="Normal"/>
    <w:link w:val="FootnoteTextChar"/>
    <w:uiPriority w:val="99"/>
    <w:semiHidden/>
    <w:unhideWhenUsed/>
    <w:rsid w:val="00A21776"/>
    <w:rPr>
      <w:sz w:val="20"/>
      <w:szCs w:val="20"/>
    </w:rPr>
  </w:style>
  <w:style w:type="character" w:customStyle="1" w:styleId="FootnoteTextChar">
    <w:name w:val="Footnote Text Char"/>
    <w:basedOn w:val="DefaultParagraphFont"/>
    <w:link w:val="FootnoteText"/>
    <w:uiPriority w:val="99"/>
    <w:semiHidden/>
    <w:rsid w:val="00A21776"/>
    <w:rPr>
      <w:rFonts w:ascii="Book Antiqua" w:hAnsi="Book Antiqua"/>
      <w:sz w:val="20"/>
      <w:szCs w:val="20"/>
      <w:lang w:val="es-PR"/>
    </w:rPr>
  </w:style>
  <w:style w:type="character" w:styleId="FootnoteReference">
    <w:name w:val="footnote reference"/>
    <w:basedOn w:val="DefaultParagraphFont"/>
    <w:uiPriority w:val="99"/>
    <w:semiHidden/>
    <w:unhideWhenUsed/>
    <w:rsid w:val="00A217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16319">
      <w:bodyDiv w:val="1"/>
      <w:marLeft w:val="0"/>
      <w:marRight w:val="0"/>
      <w:marTop w:val="0"/>
      <w:marBottom w:val="0"/>
      <w:divBdr>
        <w:top w:val="none" w:sz="0" w:space="0" w:color="auto"/>
        <w:left w:val="none" w:sz="0" w:space="0" w:color="auto"/>
        <w:bottom w:val="none" w:sz="0" w:space="0" w:color="auto"/>
        <w:right w:val="none" w:sz="0" w:space="0" w:color="auto"/>
      </w:divBdr>
    </w:div>
    <w:div w:id="1176924903">
      <w:bodyDiv w:val="1"/>
      <w:marLeft w:val="0"/>
      <w:marRight w:val="0"/>
      <w:marTop w:val="0"/>
      <w:marBottom w:val="0"/>
      <w:divBdr>
        <w:top w:val="none" w:sz="0" w:space="0" w:color="auto"/>
        <w:left w:val="none" w:sz="0" w:space="0" w:color="auto"/>
        <w:bottom w:val="none" w:sz="0" w:space="0" w:color="auto"/>
        <w:right w:val="none" w:sz="0" w:space="0" w:color="auto"/>
      </w:divBdr>
    </w:div>
    <w:div w:id="1596743891">
      <w:bodyDiv w:val="1"/>
      <w:marLeft w:val="0"/>
      <w:marRight w:val="0"/>
      <w:marTop w:val="0"/>
      <w:marBottom w:val="0"/>
      <w:divBdr>
        <w:top w:val="none" w:sz="0" w:space="0" w:color="auto"/>
        <w:left w:val="none" w:sz="0" w:space="0" w:color="auto"/>
        <w:bottom w:val="none" w:sz="0" w:space="0" w:color="auto"/>
        <w:right w:val="none" w:sz="0" w:space="0" w:color="auto"/>
      </w:divBdr>
    </w:div>
    <w:div w:id="1716467986">
      <w:bodyDiv w:val="1"/>
      <w:marLeft w:val="0"/>
      <w:marRight w:val="0"/>
      <w:marTop w:val="0"/>
      <w:marBottom w:val="0"/>
      <w:divBdr>
        <w:top w:val="none" w:sz="0" w:space="0" w:color="auto"/>
        <w:left w:val="none" w:sz="0" w:space="0" w:color="auto"/>
        <w:bottom w:val="none" w:sz="0" w:space="0" w:color="auto"/>
        <w:right w:val="none" w:sz="0" w:space="0" w:color="auto"/>
      </w:divBdr>
    </w:div>
    <w:div w:id="1919317469">
      <w:bodyDiv w:val="1"/>
      <w:marLeft w:val="0"/>
      <w:marRight w:val="0"/>
      <w:marTop w:val="0"/>
      <w:marBottom w:val="0"/>
      <w:divBdr>
        <w:top w:val="none" w:sz="0" w:space="0" w:color="auto"/>
        <w:left w:val="none" w:sz="0" w:space="0" w:color="auto"/>
        <w:bottom w:val="none" w:sz="0" w:space="0" w:color="auto"/>
        <w:right w:val="none" w:sz="0" w:space="0" w:color="auto"/>
      </w:divBdr>
    </w:div>
    <w:div w:id="212121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F7E4D-6435-4AD0-87C6-30F2E6864D8B}">
  <ds:schemaRefs>
    <ds:schemaRef ds:uri="http://schemas.microsoft.com/sharepoint/v3/contenttype/forms"/>
  </ds:schemaRefs>
</ds:datastoreItem>
</file>

<file path=customXml/itemProps2.xml><?xml version="1.0" encoding="utf-8"?>
<ds:datastoreItem xmlns:ds="http://schemas.openxmlformats.org/officeDocument/2006/customXml" ds:itemID="{AFD61B14-BABD-4447-879D-EBF4340528D9}">
  <ds:schemaRefs>
    <ds:schemaRef ds:uri="http://schemas.openxmlformats.org/officeDocument/2006/bibliography"/>
  </ds:schemaRefs>
</ds:datastoreItem>
</file>

<file path=customXml/itemProps3.xml><?xml version="1.0" encoding="utf-8"?>
<ds:datastoreItem xmlns:ds="http://schemas.openxmlformats.org/officeDocument/2006/customXml" ds:itemID="{6BA74233-5472-4EA5-BB1C-E407625AB914}">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D359F47C-E0DD-4D41-A51C-74B1B53B5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2168</Words>
  <Characters>12359</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D. Quintero Gonzalez</dc:creator>
  <cp:keywords/>
  <dc:description/>
  <cp:lastModifiedBy>Camyl Moreno Pantojas</cp:lastModifiedBy>
  <cp:revision>2</cp:revision>
  <cp:lastPrinted>2025-05-27T20:15:00Z</cp:lastPrinted>
  <dcterms:created xsi:type="dcterms:W3CDTF">2025-08-22T14:11:00Z</dcterms:created>
  <dcterms:modified xsi:type="dcterms:W3CDTF">2025-08-22T14:11:00Z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36200</vt:r8>
  </property>
  <property fmtid="{D5CDD505-2E9C-101B-9397-08002B2CF9AE}" pid="3" name="ContentTypeId">
    <vt:lpwstr>0x010100831C0761637D684EABBCE64BDDA1E45F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