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3FBB" w14:textId="26C885AD" w:rsidR="009C386A" w:rsidRPr="00120574" w:rsidRDefault="000F21B3" w:rsidP="009C386A">
      <w:pPr>
        <w:jc w:val="center"/>
        <w:rPr>
          <w:rFonts w:eastAsia="Times New Roman" w:cs="Times New Roman"/>
          <w:sz w:val="28"/>
          <w:szCs w:val="36"/>
        </w:rPr>
      </w:pPr>
      <w:r w:rsidRPr="00120574">
        <w:rPr>
          <w:rFonts w:eastAsia="Times New Roman" w:cs="Times New Roman"/>
          <w:sz w:val="28"/>
          <w:szCs w:val="36"/>
        </w:rPr>
        <w:t>GOBIERNO</w:t>
      </w:r>
      <w:r w:rsidR="007030F2" w:rsidRPr="00120574">
        <w:rPr>
          <w:rFonts w:eastAsia="Times New Roman" w:cs="Times New Roman"/>
          <w:sz w:val="28"/>
          <w:szCs w:val="36"/>
        </w:rPr>
        <w:t xml:space="preserve"> </w:t>
      </w:r>
      <w:r w:rsidR="009C386A" w:rsidRPr="00120574">
        <w:rPr>
          <w:rFonts w:eastAsia="Times New Roman" w:cs="Times New Roman"/>
          <w:sz w:val="28"/>
          <w:szCs w:val="36"/>
        </w:rPr>
        <w:t>DE PUERTO RICO</w:t>
      </w:r>
    </w:p>
    <w:p w14:paraId="5F1FB416" w14:textId="77777777" w:rsidR="009C386A" w:rsidRPr="00120574" w:rsidRDefault="009C386A" w:rsidP="009C386A">
      <w:pPr>
        <w:jc w:val="center"/>
        <w:rPr>
          <w:rFonts w:eastAsia="Times New Roman" w:cs="Times New Roman"/>
          <w:szCs w:val="20"/>
        </w:rPr>
      </w:pPr>
    </w:p>
    <w:p w14:paraId="5E4C90F3" w14:textId="5B607DC9" w:rsidR="009C386A" w:rsidRPr="001A6231" w:rsidRDefault="001A6231" w:rsidP="001A6231">
      <w:pPr>
        <w:rPr>
          <w:rFonts w:eastAsia="Times New Roman" w:cs="Times New Roman"/>
          <w:szCs w:val="20"/>
          <w:lang w:val="it-IT"/>
        </w:rPr>
      </w:pPr>
      <w:r w:rsidRPr="001A6231">
        <w:rPr>
          <w:rFonts w:eastAsia="Times New Roman" w:cs="Times New Roman"/>
          <w:szCs w:val="20"/>
          <w:lang w:val="it-IT"/>
        </w:rPr>
        <w:t>20ma.</w:t>
      </w:r>
      <w:r w:rsidR="009C386A" w:rsidRPr="001A6231">
        <w:rPr>
          <w:rFonts w:eastAsia="Times New Roman" w:cs="Times New Roman"/>
          <w:szCs w:val="20"/>
          <w:lang w:val="it-IT"/>
        </w:rPr>
        <w:t xml:space="preserve"> Asamblea</w:t>
      </w:r>
      <w:r w:rsidR="009C386A"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Pr>
          <w:rFonts w:eastAsia="Times New Roman" w:cs="Times New Roman"/>
          <w:szCs w:val="20"/>
          <w:lang w:val="it-IT"/>
        </w:rPr>
        <w:t xml:space="preserve">                       </w:t>
      </w:r>
      <w:r w:rsidRPr="001A6231">
        <w:rPr>
          <w:rFonts w:eastAsia="Times New Roman" w:cs="Times New Roman"/>
          <w:szCs w:val="20"/>
          <w:lang w:val="it-IT"/>
        </w:rPr>
        <w:t>1ra.</w:t>
      </w:r>
      <w:r w:rsidR="009C386A" w:rsidRPr="001A6231">
        <w:rPr>
          <w:rFonts w:eastAsia="Times New Roman" w:cs="Times New Roman"/>
          <w:szCs w:val="20"/>
          <w:lang w:val="it-IT"/>
        </w:rPr>
        <w:t xml:space="preserve"> Sesión</w:t>
      </w:r>
    </w:p>
    <w:p w14:paraId="3A6195C4" w14:textId="4879C92C" w:rsidR="009C386A" w:rsidRPr="001A6231" w:rsidRDefault="009C386A" w:rsidP="001A6231">
      <w:pPr>
        <w:rPr>
          <w:rFonts w:eastAsia="Times New Roman" w:cs="Times New Roman"/>
          <w:szCs w:val="20"/>
          <w:lang w:val="it-IT"/>
        </w:rPr>
      </w:pPr>
      <w:r w:rsidRPr="001A6231">
        <w:rPr>
          <w:rFonts w:eastAsia="Times New Roman" w:cs="Times New Roman"/>
          <w:szCs w:val="20"/>
          <w:lang w:val="it-IT"/>
        </w:rPr>
        <w:tab/>
        <w:t>Legislativa</w:t>
      </w:r>
      <w:r w:rsidRPr="001A6231">
        <w:rPr>
          <w:rFonts w:eastAsia="Times New Roman" w:cs="Times New Roman"/>
          <w:szCs w:val="20"/>
          <w:lang w:val="it-IT"/>
        </w:rPr>
        <w:tab/>
      </w:r>
      <w:r w:rsidRPr="001A6231">
        <w:rPr>
          <w:rFonts w:eastAsia="Times New Roman" w:cs="Times New Roman"/>
          <w:szCs w:val="20"/>
          <w:lang w:val="it-IT"/>
        </w:rPr>
        <w:tab/>
        <w:t xml:space="preserve">      </w:t>
      </w:r>
      <w:r w:rsidR="007030F2" w:rsidRPr="001A6231">
        <w:rPr>
          <w:rFonts w:eastAsia="Times New Roman" w:cs="Times New Roman"/>
          <w:szCs w:val="20"/>
          <w:lang w:val="it-IT"/>
        </w:rPr>
        <w:t xml:space="preserve">     </w:t>
      </w:r>
      <w:r w:rsidR="00D97790" w:rsidRPr="001A6231">
        <w:rPr>
          <w:rFonts w:eastAsia="Times New Roman" w:cs="Times New Roman"/>
          <w:szCs w:val="20"/>
          <w:lang w:val="it-IT"/>
        </w:rPr>
        <w:t xml:space="preserve">       </w:t>
      </w:r>
      <w:r w:rsidR="001A6231" w:rsidRPr="001A6231">
        <w:rPr>
          <w:rFonts w:eastAsia="Times New Roman" w:cs="Times New Roman"/>
          <w:szCs w:val="20"/>
          <w:lang w:val="it-IT"/>
        </w:rPr>
        <w:t xml:space="preserve">                                                             </w:t>
      </w:r>
      <w:r w:rsidR="001A6231">
        <w:rPr>
          <w:rFonts w:eastAsia="Times New Roman" w:cs="Times New Roman"/>
          <w:szCs w:val="20"/>
          <w:lang w:val="it-IT"/>
        </w:rPr>
        <w:t xml:space="preserve">           </w:t>
      </w:r>
      <w:r w:rsidR="007030F2" w:rsidRPr="001A6231">
        <w:rPr>
          <w:rFonts w:eastAsia="Times New Roman" w:cs="Times New Roman"/>
          <w:szCs w:val="20"/>
          <w:lang w:val="it-IT"/>
        </w:rPr>
        <w:t>O</w:t>
      </w:r>
      <w:r w:rsidRPr="001A6231">
        <w:rPr>
          <w:rFonts w:eastAsia="Times New Roman" w:cs="Times New Roman"/>
          <w:szCs w:val="20"/>
          <w:lang w:val="it-IT"/>
        </w:rPr>
        <w:t>rdinaria</w:t>
      </w:r>
    </w:p>
    <w:p w14:paraId="4CBB51BA" w14:textId="77777777" w:rsidR="009C386A" w:rsidRPr="001A6231" w:rsidRDefault="009C386A" w:rsidP="009C386A">
      <w:pPr>
        <w:rPr>
          <w:rFonts w:eastAsia="Times New Roman" w:cs="Times New Roman"/>
          <w:szCs w:val="20"/>
          <w:lang w:val="it-IT"/>
        </w:rPr>
      </w:pPr>
    </w:p>
    <w:p w14:paraId="493B1806" w14:textId="69A834EB" w:rsidR="009C386A" w:rsidRPr="00120574" w:rsidRDefault="00617E5F" w:rsidP="009C386A">
      <w:pPr>
        <w:widowControl w:val="0"/>
        <w:suppressLineNumbers/>
        <w:jc w:val="center"/>
        <w:rPr>
          <w:rFonts w:eastAsia="Book Antiqua" w:cs="Times New Roman"/>
          <w:b/>
          <w:sz w:val="36"/>
          <w:szCs w:val="24"/>
        </w:rPr>
      </w:pPr>
      <w:r w:rsidRPr="00120574">
        <w:rPr>
          <w:rFonts w:eastAsia="Times New Roman" w:cs="Times New Roman"/>
          <w:b/>
          <w:sz w:val="36"/>
          <w:szCs w:val="24"/>
        </w:rPr>
        <w:t>CÁMARA DE REPRESENTANTES</w:t>
      </w:r>
    </w:p>
    <w:p w14:paraId="7B1574A5" w14:textId="77777777" w:rsidR="009C386A" w:rsidRPr="00120574" w:rsidRDefault="009C386A" w:rsidP="009C386A">
      <w:pPr>
        <w:widowControl w:val="0"/>
        <w:suppressLineNumbers/>
        <w:jc w:val="center"/>
        <w:rPr>
          <w:rFonts w:eastAsia="Book Antiqua" w:cs="Book Antiqua"/>
          <w:szCs w:val="24"/>
        </w:rPr>
      </w:pPr>
    </w:p>
    <w:p w14:paraId="0128CF50" w14:textId="50154DBF" w:rsidR="009C386A" w:rsidRPr="00120574" w:rsidRDefault="009C386A" w:rsidP="009C386A">
      <w:pPr>
        <w:widowControl w:val="0"/>
        <w:suppressLineNumbers/>
        <w:jc w:val="center"/>
        <w:rPr>
          <w:rFonts w:eastAsia="Book Antiqua" w:cs="Times New Roman"/>
          <w:b/>
          <w:sz w:val="52"/>
          <w:szCs w:val="24"/>
        </w:rPr>
      </w:pPr>
      <w:r w:rsidRPr="00120574">
        <w:rPr>
          <w:rFonts w:eastAsia="Times New Roman" w:cs="Times New Roman"/>
          <w:b/>
          <w:sz w:val="52"/>
          <w:szCs w:val="24"/>
        </w:rPr>
        <w:t>P. de</w:t>
      </w:r>
      <w:r w:rsidR="00617E5F" w:rsidRPr="00120574">
        <w:rPr>
          <w:rFonts w:eastAsia="Times New Roman" w:cs="Times New Roman"/>
          <w:b/>
          <w:sz w:val="52"/>
          <w:szCs w:val="24"/>
        </w:rPr>
        <w:t xml:space="preserve"> la C</w:t>
      </w:r>
      <w:r w:rsidRPr="00120574">
        <w:rPr>
          <w:rFonts w:eastAsia="Times New Roman" w:cs="Times New Roman"/>
          <w:b/>
          <w:sz w:val="52"/>
          <w:szCs w:val="24"/>
        </w:rPr>
        <w:t>.</w:t>
      </w:r>
      <w:r w:rsidR="005F3484" w:rsidRPr="00120574">
        <w:rPr>
          <w:rFonts w:eastAsia="Times New Roman" w:cs="Times New Roman"/>
          <w:b/>
          <w:sz w:val="52"/>
          <w:szCs w:val="24"/>
        </w:rPr>
        <w:t xml:space="preserve"> </w:t>
      </w:r>
      <w:r w:rsidR="00103ED9">
        <w:rPr>
          <w:rFonts w:eastAsia="Times New Roman" w:cs="Times New Roman"/>
          <w:b/>
          <w:sz w:val="52"/>
          <w:szCs w:val="24"/>
        </w:rPr>
        <w:t>698</w:t>
      </w:r>
    </w:p>
    <w:p w14:paraId="15A5DCCC" w14:textId="77777777" w:rsidR="009C386A" w:rsidRPr="00120574" w:rsidRDefault="009C386A" w:rsidP="009C386A">
      <w:pPr>
        <w:widowControl w:val="0"/>
        <w:suppressLineNumbers/>
        <w:jc w:val="center"/>
        <w:rPr>
          <w:rFonts w:eastAsia="Book Antiqua" w:cs="Book Antiqua"/>
          <w:szCs w:val="24"/>
        </w:rPr>
      </w:pPr>
    </w:p>
    <w:p w14:paraId="17144273" w14:textId="55E963F9" w:rsidR="009C386A" w:rsidRPr="00120574" w:rsidRDefault="00F8409F" w:rsidP="009C386A">
      <w:pPr>
        <w:widowControl w:val="0"/>
        <w:suppressLineNumbers/>
        <w:tabs>
          <w:tab w:val="left" w:pos="8186"/>
        </w:tabs>
        <w:jc w:val="center"/>
        <w:rPr>
          <w:rFonts w:eastAsia="Book Antiqua" w:cs="Book Antiqua"/>
          <w:szCs w:val="24"/>
        </w:rPr>
      </w:pPr>
      <w:r w:rsidRPr="00120574">
        <w:rPr>
          <w:rFonts w:eastAsia="Times New Roman" w:cs="Times New Roman"/>
          <w:szCs w:val="24"/>
        </w:rPr>
        <w:t xml:space="preserve"> </w:t>
      </w:r>
      <w:r w:rsidR="00B86F1C">
        <w:rPr>
          <w:rFonts w:eastAsia="Times New Roman" w:cs="Times New Roman"/>
          <w:szCs w:val="24"/>
        </w:rPr>
        <w:t xml:space="preserve">27 DE </w:t>
      </w:r>
      <w:r w:rsidR="00FD6197" w:rsidRPr="00120574">
        <w:rPr>
          <w:rFonts w:eastAsia="Times New Roman" w:cs="Times New Roman"/>
          <w:szCs w:val="24"/>
        </w:rPr>
        <w:t>MAYO</w:t>
      </w:r>
      <w:r w:rsidR="003E4D4E" w:rsidRPr="00120574">
        <w:rPr>
          <w:rFonts w:eastAsia="Times New Roman" w:cs="Times New Roman"/>
          <w:szCs w:val="24"/>
        </w:rPr>
        <w:t xml:space="preserve"> DE 202</w:t>
      </w:r>
      <w:r w:rsidR="00A339B5" w:rsidRPr="00120574">
        <w:rPr>
          <w:rFonts w:eastAsia="Times New Roman" w:cs="Times New Roman"/>
          <w:szCs w:val="24"/>
        </w:rPr>
        <w:t>5</w:t>
      </w:r>
    </w:p>
    <w:p w14:paraId="7F45E790" w14:textId="77777777" w:rsidR="009C386A" w:rsidRPr="00120574" w:rsidRDefault="009C386A" w:rsidP="009C386A">
      <w:pPr>
        <w:widowControl w:val="0"/>
        <w:suppressLineNumbers/>
        <w:jc w:val="center"/>
        <w:rPr>
          <w:rFonts w:eastAsia="Book Antiqua" w:cs="Book Antiqua"/>
          <w:i/>
          <w:iCs/>
          <w:szCs w:val="24"/>
        </w:rPr>
      </w:pPr>
    </w:p>
    <w:p w14:paraId="3F968BD9" w14:textId="12D9A5F9" w:rsidR="00E82AB3" w:rsidRPr="00120574" w:rsidRDefault="002E5A3F" w:rsidP="00E82AB3">
      <w:pPr>
        <w:suppressLineNumbers/>
        <w:ind w:left="720" w:hanging="720"/>
        <w:jc w:val="center"/>
        <w:rPr>
          <w:i/>
          <w:iCs/>
          <w:color w:val="1D2228"/>
          <w:szCs w:val="24"/>
          <w:shd w:val="clear" w:color="auto" w:fill="FFFFFF"/>
        </w:rPr>
      </w:pPr>
      <w:r w:rsidRPr="00120574">
        <w:rPr>
          <w:color w:val="1D2228"/>
          <w:szCs w:val="24"/>
          <w:shd w:val="clear" w:color="auto" w:fill="FFFFFF"/>
        </w:rPr>
        <w:t>Presentado por</w:t>
      </w:r>
      <w:r w:rsidR="00E82AB3" w:rsidRPr="00120574">
        <w:rPr>
          <w:color w:val="1D2228"/>
          <w:szCs w:val="24"/>
          <w:shd w:val="clear" w:color="auto" w:fill="FFFFFF"/>
        </w:rPr>
        <w:t xml:space="preserve"> el representante </w:t>
      </w:r>
      <w:r w:rsidR="00FD6197" w:rsidRPr="00120574">
        <w:rPr>
          <w:i/>
          <w:iCs/>
          <w:color w:val="1D2228"/>
          <w:szCs w:val="24"/>
          <w:shd w:val="clear" w:color="auto" w:fill="FFFFFF"/>
        </w:rPr>
        <w:t>Peña Ramírez</w:t>
      </w:r>
    </w:p>
    <w:p w14:paraId="75D1135C" w14:textId="77777777" w:rsidR="00FD05FF" w:rsidRPr="00120574" w:rsidRDefault="00FD05FF" w:rsidP="008B246E">
      <w:pPr>
        <w:suppressLineNumbers/>
        <w:ind w:left="720" w:hanging="720"/>
        <w:jc w:val="center"/>
        <w:rPr>
          <w:rFonts w:eastAsia="Times New Roman" w:cs="Times New Roman"/>
          <w:szCs w:val="20"/>
        </w:rPr>
      </w:pPr>
    </w:p>
    <w:p w14:paraId="2BE12B0F" w14:textId="4F352EF7" w:rsidR="009C386A" w:rsidRPr="00120574" w:rsidRDefault="00B93BF3" w:rsidP="002E5A3F">
      <w:pPr>
        <w:suppressLineNumbers/>
        <w:ind w:left="720" w:hanging="720"/>
        <w:jc w:val="center"/>
        <w:rPr>
          <w:rFonts w:eastAsia="Times New Roman" w:cs="Times New Roman"/>
          <w:szCs w:val="20"/>
        </w:rPr>
      </w:pPr>
      <w:r w:rsidRPr="00120574">
        <w:rPr>
          <w:rFonts w:eastAsia="Times New Roman" w:cs="Times New Roman"/>
          <w:szCs w:val="20"/>
        </w:rPr>
        <w:t xml:space="preserve">Referido a </w:t>
      </w:r>
      <w:r w:rsidR="00AE3577" w:rsidRPr="00120574">
        <w:rPr>
          <w:rFonts w:cs="CG Times (W1)"/>
          <w:szCs w:val="24"/>
        </w:rPr>
        <w:t>la Comisión de</w:t>
      </w:r>
      <w:r w:rsidR="00FD6197" w:rsidRPr="00120574">
        <w:rPr>
          <w:rFonts w:cs="CG Times (W1)"/>
          <w:szCs w:val="24"/>
        </w:rPr>
        <w:t xml:space="preserve"> </w:t>
      </w:r>
      <w:r w:rsidR="00C24204">
        <w:rPr>
          <w:rFonts w:cs="CG Times (W1)"/>
          <w:szCs w:val="24"/>
        </w:rPr>
        <w:t>lo Jurídico</w:t>
      </w:r>
    </w:p>
    <w:p w14:paraId="4D33DEB4" w14:textId="59F38E35" w:rsidR="00ED5FD3" w:rsidRPr="00120574" w:rsidRDefault="00ED5FD3" w:rsidP="009C386A">
      <w:pPr>
        <w:jc w:val="center"/>
        <w:rPr>
          <w:rFonts w:eastAsia="Times New Roman" w:cs="Times New Roman"/>
          <w:b/>
          <w:sz w:val="28"/>
          <w:szCs w:val="20"/>
        </w:rPr>
      </w:pPr>
    </w:p>
    <w:p w14:paraId="783DA8A0" w14:textId="0A828BA5" w:rsidR="009C386A" w:rsidRPr="00120574" w:rsidRDefault="009C386A" w:rsidP="009C386A">
      <w:pPr>
        <w:jc w:val="center"/>
        <w:rPr>
          <w:rFonts w:eastAsia="Times New Roman" w:cs="Times New Roman"/>
          <w:b/>
          <w:sz w:val="28"/>
          <w:szCs w:val="20"/>
        </w:rPr>
      </w:pPr>
      <w:r w:rsidRPr="00120574">
        <w:rPr>
          <w:rFonts w:eastAsia="Times New Roman" w:cs="Times New Roman"/>
          <w:b/>
          <w:sz w:val="28"/>
          <w:szCs w:val="20"/>
        </w:rPr>
        <w:t>LEY</w:t>
      </w:r>
    </w:p>
    <w:p w14:paraId="707AFB95" w14:textId="77777777" w:rsidR="009C386A" w:rsidRPr="00120574" w:rsidRDefault="009C386A" w:rsidP="009C386A">
      <w:pPr>
        <w:jc w:val="both"/>
        <w:rPr>
          <w:rFonts w:eastAsia="Times New Roman" w:cs="Times New Roman"/>
          <w:szCs w:val="20"/>
        </w:rPr>
      </w:pPr>
    </w:p>
    <w:p w14:paraId="768A15FC" w14:textId="567A3B3B" w:rsidR="00CD0541" w:rsidRPr="00120574" w:rsidRDefault="00CD0541" w:rsidP="00CD0541">
      <w:pPr>
        <w:ind w:left="720" w:hanging="720"/>
        <w:jc w:val="both"/>
        <w:rPr>
          <w:rFonts w:ascii="Mongolian Baiti" w:hAnsi="Mongolian Baiti" w:cs="Mongolian Baiti"/>
        </w:rPr>
      </w:pPr>
      <w:r w:rsidRPr="00120574">
        <w:rPr>
          <w:szCs w:val="24"/>
        </w:rPr>
        <w:t xml:space="preserve">Para enmendar la Regla </w:t>
      </w:r>
      <w:r w:rsidR="00D37C43" w:rsidRPr="00120574">
        <w:rPr>
          <w:szCs w:val="24"/>
        </w:rPr>
        <w:t>247(b)</w:t>
      </w:r>
      <w:r w:rsidRPr="00120574">
        <w:rPr>
          <w:szCs w:val="24"/>
        </w:rPr>
        <w:t xml:space="preserve"> de las Reglas de Procedimiento Criminal de 1963, según enmendadas,</w:t>
      </w:r>
      <w:r w:rsidR="00D37C43" w:rsidRPr="00120574">
        <w:t xml:space="preserve"> </w:t>
      </w:r>
      <w:r w:rsidR="00D37C43" w:rsidRPr="00120574">
        <w:rPr>
          <w:szCs w:val="24"/>
        </w:rPr>
        <w:t xml:space="preserve">a los fines de establecer los criterios específicos que deberán considerarse por los Tribunales antes de decretar el sobreseimiento </w:t>
      </w:r>
      <w:proofErr w:type="gramStart"/>
      <w:r w:rsidR="00D37C43" w:rsidRPr="00120574">
        <w:rPr>
          <w:szCs w:val="24"/>
        </w:rPr>
        <w:t>motu propio</w:t>
      </w:r>
      <w:proofErr w:type="gramEnd"/>
      <w:r w:rsidR="00D37C43" w:rsidRPr="00120574">
        <w:rPr>
          <w:szCs w:val="24"/>
        </w:rPr>
        <w:t xml:space="preserve"> de una denuncia o acusación</w:t>
      </w:r>
      <w:r w:rsidRPr="00120574">
        <w:rPr>
          <w:szCs w:val="24"/>
        </w:rPr>
        <w:t xml:space="preserve">; y para otros fines relacionados. </w:t>
      </w:r>
    </w:p>
    <w:p w14:paraId="32A5472E" w14:textId="77777777" w:rsidR="00420585" w:rsidRPr="00120574" w:rsidRDefault="00420585" w:rsidP="00A44C28">
      <w:pPr>
        <w:ind w:left="720" w:hanging="720"/>
        <w:jc w:val="both"/>
        <w:rPr>
          <w:rFonts w:eastAsia="Book Antiqua" w:cs="Book Antiqua"/>
          <w:color w:val="000000" w:themeColor="text1"/>
          <w:szCs w:val="24"/>
        </w:rPr>
      </w:pPr>
    </w:p>
    <w:p w14:paraId="54472BD0" w14:textId="43D9DB15" w:rsidR="009B6886" w:rsidRPr="00120574" w:rsidRDefault="009C386A" w:rsidP="00EE0EFF">
      <w:pPr>
        <w:ind w:firstLine="360"/>
        <w:jc w:val="center"/>
        <w:rPr>
          <w:rFonts w:eastAsia="Times New Roman" w:cs="Times New Roman"/>
          <w:szCs w:val="20"/>
        </w:rPr>
      </w:pPr>
      <w:r w:rsidRPr="00120574">
        <w:rPr>
          <w:rFonts w:eastAsia="Times New Roman" w:cs="Times New Roman"/>
          <w:szCs w:val="20"/>
        </w:rPr>
        <w:t>EXPOSICIÓN DE MOTIVOS</w:t>
      </w:r>
    </w:p>
    <w:p w14:paraId="4E6C559B" w14:textId="77777777" w:rsidR="009B6886" w:rsidRPr="00120574" w:rsidRDefault="009B6886" w:rsidP="00A020F5">
      <w:pPr>
        <w:jc w:val="both"/>
        <w:rPr>
          <w:rFonts w:eastAsia="Times New Roman" w:cs="Times New Roman"/>
          <w:szCs w:val="20"/>
        </w:rPr>
      </w:pPr>
    </w:p>
    <w:p w14:paraId="58900649" w14:textId="1D7CC40F" w:rsidR="0043316D" w:rsidRDefault="0043316D" w:rsidP="001A6231">
      <w:pPr>
        <w:ind w:firstLine="720"/>
        <w:jc w:val="both"/>
      </w:pPr>
      <w:r w:rsidRPr="0043316D">
        <w:t>Es política pública del Gobierno de Puerto Rico, repudiar enérgicamente la violencia doméstica por ser contraria a los valores de paz, dignidad y respeto que este pueblo quiere mantener para los individuos, las familias y la comunidad en general. A través de esta política pública se propicia el desarrollo, establecimiento y fortalecimiento de remedios eficaces para ofrecer protección y ayuda a las víctimas, alternativas para la rehabilitación de lo</w:t>
      </w:r>
      <w:r w:rsidR="009D0589">
        <w:t>s</w:t>
      </w:r>
      <w:r w:rsidRPr="0043316D">
        <w:t xml:space="preserve"> ofensores y estrategias para la prevención de la violencia doméstica.</w:t>
      </w:r>
    </w:p>
    <w:p w14:paraId="0C3B581E" w14:textId="77777777" w:rsidR="001A6231" w:rsidRDefault="001A6231" w:rsidP="001A6231">
      <w:pPr>
        <w:ind w:firstLine="720"/>
        <w:jc w:val="both"/>
      </w:pPr>
    </w:p>
    <w:p w14:paraId="244FB6BE" w14:textId="77777777" w:rsidR="0043316D" w:rsidRDefault="0043316D" w:rsidP="001A6231">
      <w:pPr>
        <w:ind w:firstLine="720"/>
        <w:jc w:val="both"/>
      </w:pPr>
      <w:r w:rsidRPr="0043316D">
        <w:t>En los últimos años Puerto Rico ha experimentado un ascenso sostenido y alarmante en la violencia doméstica y de género, a pesar de que desde enero de 2021 rige un estado de emergencia declarado por el Ejecutivo para atender esta crisis.</w:t>
      </w:r>
      <w:r>
        <w:t xml:space="preserve"> Según datos de la Policía de Puerto Rico, ha habido un crecimiento del 62 % entre 2022 y 2024 coincide con un fuerte repunte de los feminicidios. El Observatorio de Equidad de Género (OEG) documentó 81 feminicidios durante 2024, la cifra anual más alta desde que se recopilan estadísticas sistemáticas.</w:t>
      </w:r>
    </w:p>
    <w:p w14:paraId="1395312D" w14:textId="77777777" w:rsidR="001A6231" w:rsidRDefault="001A6231" w:rsidP="001A6231">
      <w:pPr>
        <w:ind w:firstLine="720"/>
        <w:jc w:val="both"/>
      </w:pPr>
    </w:p>
    <w:p w14:paraId="40E4CE93" w14:textId="58DCA917" w:rsidR="0043316D" w:rsidRDefault="0043316D" w:rsidP="001A6231">
      <w:pPr>
        <w:ind w:firstLine="720"/>
        <w:jc w:val="both"/>
      </w:pPr>
      <w:r>
        <w:lastRenderedPageBreak/>
        <w:t>En apenas los primeros tres meses de 2025 el mismo organismo ya reporta 12 feminicidios, 45 intentos y 18 desapariciones de mujeres y niñas, con 15 menores huérfanos.</w:t>
      </w:r>
    </w:p>
    <w:p w14:paraId="67FF9A13" w14:textId="77777777" w:rsidR="001A6231" w:rsidRDefault="001A6231" w:rsidP="001A6231">
      <w:pPr>
        <w:ind w:firstLine="720"/>
        <w:jc w:val="both"/>
      </w:pPr>
    </w:p>
    <w:p w14:paraId="4A57481A" w14:textId="77777777" w:rsidR="0043316D" w:rsidRDefault="0043316D" w:rsidP="001A6231">
      <w:pPr>
        <w:ind w:firstLine="720"/>
        <w:jc w:val="both"/>
      </w:pPr>
      <w:r w:rsidRPr="0043316D">
        <w:t>Estos indicadores evidencian que, a pesar de la declaración de emergencia y la creación del Comité P.A.R.E., las herramientas procesales actuales no bastan para detener la escalada de violencia ni para garantizar a las víctimas una participación efectiva en las decisiones que afectan su seguridad y su derecho a justicia.</w:t>
      </w:r>
    </w:p>
    <w:p w14:paraId="074337D8" w14:textId="77777777" w:rsidR="001A6231" w:rsidRDefault="001A6231" w:rsidP="001A6231">
      <w:pPr>
        <w:ind w:firstLine="720"/>
        <w:jc w:val="both"/>
      </w:pPr>
    </w:p>
    <w:p w14:paraId="69D127B3" w14:textId="6ABAE3B8" w:rsidR="0043316D" w:rsidRDefault="0043316D" w:rsidP="001A6231">
      <w:pPr>
        <w:ind w:firstLine="720"/>
        <w:jc w:val="both"/>
      </w:pPr>
      <w:r w:rsidRPr="0043316D">
        <w:t xml:space="preserve">Resulta, por tanto, indispensable </w:t>
      </w:r>
      <w:r w:rsidRPr="0043316D">
        <w:rPr>
          <w:b/>
          <w:bCs/>
        </w:rPr>
        <w:t>reforzar las Reglas de Procedimiento Criminal</w:t>
      </w:r>
      <w:r w:rsidRPr="0043316D">
        <w:t xml:space="preserve"> </w:t>
      </w:r>
      <w:r>
        <w:t xml:space="preserve">de Puerto Rico </w:t>
      </w:r>
      <w:r w:rsidRPr="0043316D">
        <w:t>para:</w:t>
      </w:r>
    </w:p>
    <w:p w14:paraId="2EB38962" w14:textId="77777777" w:rsidR="0043316D" w:rsidRDefault="0043316D" w:rsidP="001A6231">
      <w:pPr>
        <w:ind w:firstLine="720"/>
        <w:jc w:val="both"/>
      </w:pPr>
    </w:p>
    <w:p w14:paraId="78EB6CE2" w14:textId="4BED3908" w:rsidR="0043316D" w:rsidRPr="0043316D" w:rsidRDefault="0043316D" w:rsidP="001A6231">
      <w:pPr>
        <w:pStyle w:val="ListParagraph"/>
        <w:numPr>
          <w:ilvl w:val="0"/>
          <w:numId w:val="17"/>
        </w:numPr>
        <w:ind w:left="0" w:firstLine="720"/>
        <w:jc w:val="both"/>
      </w:pPr>
      <w:r>
        <w:t>U</w:t>
      </w:r>
      <w:r w:rsidRPr="0043316D">
        <w:t>niform</w:t>
      </w:r>
      <w:r>
        <w:t>ar los criterios</w:t>
      </w:r>
      <w:r w:rsidRPr="0043316D">
        <w:t xml:space="preserve"> de evaluación judicial antes de archivar </w:t>
      </w:r>
      <w:r>
        <w:t xml:space="preserve">la denuncia o acusaciones; </w:t>
      </w:r>
      <w:r w:rsidRPr="0043316D">
        <w:t>o avalar acuerdos de culpabilidad.</w:t>
      </w:r>
    </w:p>
    <w:p w14:paraId="52A7F411" w14:textId="04F198FF" w:rsidR="0043316D" w:rsidRDefault="0043316D" w:rsidP="001A6231">
      <w:pPr>
        <w:numPr>
          <w:ilvl w:val="0"/>
          <w:numId w:val="17"/>
        </w:numPr>
        <w:ind w:left="0" w:firstLine="720"/>
        <w:jc w:val="both"/>
      </w:pPr>
      <w:r w:rsidRPr="0043316D">
        <w:t>Elevar a rango de ley el derecho de la víctima a ser oída en sobreseimientos y “</w:t>
      </w:r>
      <w:proofErr w:type="spellStart"/>
      <w:r w:rsidRPr="0043316D">
        <w:t>plea</w:t>
      </w:r>
      <w:proofErr w:type="spellEnd"/>
      <w:r w:rsidRPr="0043316D">
        <w:t xml:space="preserve"> </w:t>
      </w:r>
      <w:proofErr w:type="spellStart"/>
      <w:r w:rsidRPr="0043316D">
        <w:t>bargains</w:t>
      </w:r>
      <w:proofErr w:type="spellEnd"/>
      <w:r w:rsidRPr="0043316D">
        <w:t>”.</w:t>
      </w:r>
    </w:p>
    <w:p w14:paraId="33D27196" w14:textId="77777777" w:rsidR="00B86F1C" w:rsidRDefault="00B86F1C" w:rsidP="001A6231">
      <w:pPr>
        <w:ind w:firstLine="720"/>
        <w:jc w:val="both"/>
      </w:pPr>
    </w:p>
    <w:p w14:paraId="5217F8B5" w14:textId="77777777" w:rsidR="00DF2FD5" w:rsidRDefault="0043316D" w:rsidP="001A6231">
      <w:pPr>
        <w:ind w:firstLine="720"/>
        <w:jc w:val="both"/>
      </w:pPr>
      <w:r>
        <w:t xml:space="preserve">Esta Ley es </w:t>
      </w:r>
      <w:r w:rsidR="00DF2FD5">
        <w:t>cónsona</w:t>
      </w:r>
      <w:r>
        <w:t xml:space="preserve"> con lo resuelto por el Tribunal de Supremo de Puerto Rico en el caso </w:t>
      </w:r>
      <w:r w:rsidR="00DF2FD5" w:rsidRPr="00DF2FD5">
        <w:rPr>
          <w:i/>
          <w:iCs/>
        </w:rPr>
        <w:t>Pueblo v. Castellón Calderón</w:t>
      </w:r>
      <w:r w:rsidR="00DF2FD5">
        <w:t xml:space="preserve">, 151 D.P.R. 15, 23-29 (2000), opinión mediante la cual se estableció que la discreción del juez de sobreseer una denuncia o acusación no es ilimitada y debe ejercerse tras una vista en la que participe el Ministerio Público y se consideren factores objetivos (naturaleza del delito, solidez probatoria, riesgos a la víctima, interés público, entre otros). </w:t>
      </w:r>
    </w:p>
    <w:p w14:paraId="5E7263B9" w14:textId="77777777" w:rsidR="001A6231" w:rsidRDefault="001A6231" w:rsidP="001A6231">
      <w:pPr>
        <w:ind w:firstLine="720"/>
        <w:jc w:val="both"/>
      </w:pPr>
    </w:p>
    <w:p w14:paraId="1C6A7A9C" w14:textId="7CAD27C5" w:rsidR="00DF2FD5" w:rsidRDefault="00DF2FD5" w:rsidP="001A6231">
      <w:pPr>
        <w:ind w:firstLine="720"/>
        <w:jc w:val="both"/>
      </w:pPr>
      <w:r>
        <w:t>Sin embargo, estos criterios nunca se han codificado expresamente en la Regla 247 de Procedimiento Criminal, lo que ocasiona prácticas dispares en nuestros tribunales.</w:t>
      </w:r>
    </w:p>
    <w:p w14:paraId="30B0203D" w14:textId="77777777" w:rsidR="001A6231" w:rsidRDefault="001A6231" w:rsidP="001A6231">
      <w:pPr>
        <w:ind w:firstLine="720"/>
        <w:jc w:val="both"/>
      </w:pPr>
    </w:p>
    <w:p w14:paraId="43925452" w14:textId="1E8A3ECB" w:rsidR="00DF2FD5" w:rsidRDefault="00DF2FD5" w:rsidP="001A6231">
      <w:pPr>
        <w:ind w:firstLine="720"/>
        <w:jc w:val="both"/>
      </w:pPr>
      <w:r>
        <w:t xml:space="preserve">Por otro lado, la participación de la víctima en las negociaciones al amparo de la Regla 72 se reduce hoy a un mero </w:t>
      </w:r>
      <w:r w:rsidRPr="00DF2FD5">
        <w:t>derecho a ser notificada</w:t>
      </w:r>
      <w:r>
        <w:t xml:space="preserve">, sin mecanismos claros para que sus posiciones consten en récord antes de que el tribunal convalide un acuerdo. </w:t>
      </w:r>
    </w:p>
    <w:p w14:paraId="55964F78" w14:textId="77777777" w:rsidR="001A6231" w:rsidRDefault="001A6231" w:rsidP="001A6231">
      <w:pPr>
        <w:ind w:firstLine="720"/>
        <w:jc w:val="both"/>
      </w:pPr>
    </w:p>
    <w:p w14:paraId="76842037" w14:textId="239F0AE5" w:rsidR="00DF2FD5" w:rsidRDefault="00DF2FD5" w:rsidP="001A6231">
      <w:pPr>
        <w:ind w:firstLine="720"/>
        <w:jc w:val="both"/>
      </w:pPr>
      <w:r>
        <w:t xml:space="preserve">Por tal razón, </w:t>
      </w:r>
      <w:r w:rsidR="00643632">
        <w:t>a</w:t>
      </w:r>
      <w:r>
        <w:t xml:space="preserve"> fin de armonizar la política pública contra la violencia doméstica, el derecho constitucional al debido proceso y el interés del Estado en hacer cumplir las leyes, esta Asamblea Legislativa entiende necesario enmendar las Reglas 247 y 72 para:</w:t>
      </w:r>
    </w:p>
    <w:p w14:paraId="23E16C09" w14:textId="77777777" w:rsidR="001A6231" w:rsidRDefault="001A6231" w:rsidP="001A6231">
      <w:pPr>
        <w:ind w:firstLine="720"/>
        <w:jc w:val="both"/>
      </w:pPr>
    </w:p>
    <w:p w14:paraId="57D7C2F0" w14:textId="207A7C4B" w:rsidR="00DF2FD5" w:rsidRDefault="00DF2FD5" w:rsidP="001A6231">
      <w:pPr>
        <w:pStyle w:val="ListParagraph"/>
        <w:numPr>
          <w:ilvl w:val="0"/>
          <w:numId w:val="18"/>
        </w:numPr>
        <w:ind w:left="0" w:firstLine="720"/>
        <w:jc w:val="both"/>
      </w:pPr>
      <w:r>
        <w:t xml:space="preserve">Codificar los factores que el tribunal debe ponderar antes de archivar una causa </w:t>
      </w:r>
      <w:proofErr w:type="gramStart"/>
      <w:r>
        <w:t>motu propio</w:t>
      </w:r>
      <w:proofErr w:type="gramEnd"/>
      <w:r>
        <w:t>.</w:t>
      </w:r>
    </w:p>
    <w:p w14:paraId="3B9D2FA0" w14:textId="1C8F0A4E" w:rsidR="00DF2FD5" w:rsidRDefault="00DF2FD5" w:rsidP="001A6231">
      <w:pPr>
        <w:pStyle w:val="ListParagraph"/>
        <w:numPr>
          <w:ilvl w:val="0"/>
          <w:numId w:val="18"/>
        </w:numPr>
        <w:ind w:left="0" w:firstLine="720"/>
        <w:jc w:val="both"/>
      </w:pPr>
      <w:r>
        <w:t>Garantizar una “vista” en la que el tribunal escuche, bajo juramento, al Ministerio Público y a la víctima (o su representante) antes de resolver.</w:t>
      </w:r>
    </w:p>
    <w:p w14:paraId="482A475F" w14:textId="7327B13A" w:rsidR="00DF2FD5" w:rsidRDefault="00DF2FD5" w:rsidP="001A6231">
      <w:pPr>
        <w:pStyle w:val="ListParagraph"/>
        <w:numPr>
          <w:ilvl w:val="0"/>
          <w:numId w:val="18"/>
        </w:numPr>
        <w:ind w:left="0" w:firstLine="720"/>
        <w:jc w:val="both"/>
      </w:pPr>
      <w:r>
        <w:t>Requerir determinaciones escritas a los jueces sobre los fundamentos en los que baso su determinación judicial.</w:t>
      </w:r>
    </w:p>
    <w:p w14:paraId="102B061D" w14:textId="766DC61F" w:rsidR="00DF2FD5" w:rsidRDefault="00DF2FD5" w:rsidP="001A6231">
      <w:pPr>
        <w:pStyle w:val="ListParagraph"/>
        <w:numPr>
          <w:ilvl w:val="0"/>
          <w:numId w:val="18"/>
        </w:numPr>
        <w:ind w:left="0" w:firstLine="720"/>
        <w:jc w:val="both"/>
      </w:pPr>
      <w:r>
        <w:lastRenderedPageBreak/>
        <w:t xml:space="preserve">Reconocer a la víctima un derecho a expresarse durante la audiencia de alegación </w:t>
      </w:r>
      <w:proofErr w:type="spellStart"/>
      <w:r>
        <w:t>preacordada</w:t>
      </w:r>
      <w:proofErr w:type="spellEnd"/>
      <w:r>
        <w:t>, sin que ello constituya un veto, y obligar al tribunal a exponer en récord c</w:t>
      </w:r>
      <w:r w:rsidR="009D0589">
        <w:t>o</w:t>
      </w:r>
      <w:r>
        <w:t>mo ponderó dichas expresiones.</w:t>
      </w:r>
    </w:p>
    <w:p w14:paraId="4564DE52" w14:textId="77777777" w:rsidR="001A6231" w:rsidRDefault="001A6231" w:rsidP="001A6231">
      <w:pPr>
        <w:pStyle w:val="ListParagraph"/>
        <w:jc w:val="both"/>
      </w:pPr>
    </w:p>
    <w:p w14:paraId="67AC527C" w14:textId="3208949A" w:rsidR="009835DD" w:rsidRDefault="00DF2FD5" w:rsidP="001A6231">
      <w:pPr>
        <w:ind w:firstLine="720"/>
        <w:jc w:val="both"/>
      </w:pPr>
      <w:r>
        <w:t>Con estas enmiendas se promueve la transparencia judicial, la protección de las víctimas y la uniformidad procesal, sin menoscabar la discreción fiscal ni la autoridad constitucional del tribunal.</w:t>
      </w:r>
      <w:r w:rsidR="00FA7B75">
        <w:t xml:space="preserve"> </w:t>
      </w:r>
    </w:p>
    <w:p w14:paraId="5B5E8F39" w14:textId="77777777" w:rsidR="00FA7B75" w:rsidRPr="00120574" w:rsidRDefault="00FA7B75" w:rsidP="00FA7B75">
      <w:pPr>
        <w:ind w:left="360" w:firstLine="360"/>
        <w:jc w:val="both"/>
        <w:rPr>
          <w:rFonts w:eastAsia="Times New Roman" w:cs="Times New Roman"/>
          <w:bCs/>
          <w:i/>
          <w:szCs w:val="20"/>
        </w:rPr>
      </w:pPr>
    </w:p>
    <w:p w14:paraId="7853079F" w14:textId="7A657090" w:rsidR="009C386A" w:rsidRPr="00120574" w:rsidRDefault="00F73CE6" w:rsidP="007129CF">
      <w:pPr>
        <w:spacing w:line="480" w:lineRule="auto"/>
        <w:rPr>
          <w:rFonts w:eastAsia="Times New Roman" w:cs="Times New Roman"/>
          <w:bCs/>
          <w:i/>
          <w:szCs w:val="20"/>
        </w:rPr>
        <w:sectPr w:rsidR="009C386A" w:rsidRPr="00120574" w:rsidSect="00310ACE">
          <w:headerReference w:type="default" r:id="rId10"/>
          <w:pgSz w:w="12240" w:h="15840" w:code="1"/>
          <w:pgMar w:top="1440" w:right="1440" w:bottom="1440" w:left="1440" w:header="720" w:footer="720" w:gutter="0"/>
          <w:cols w:space="720"/>
          <w:titlePg/>
        </w:sectPr>
      </w:pPr>
      <w:r w:rsidRPr="00120574">
        <w:rPr>
          <w:rFonts w:eastAsia="Times New Roman" w:cs="Times New Roman"/>
          <w:bCs/>
          <w:i/>
          <w:szCs w:val="20"/>
        </w:rPr>
        <w:t>DECR</w:t>
      </w:r>
      <w:r w:rsidR="00985A8F" w:rsidRPr="00120574">
        <w:rPr>
          <w:rFonts w:eastAsia="Times New Roman" w:cs="Times New Roman"/>
          <w:bCs/>
          <w:i/>
          <w:szCs w:val="20"/>
        </w:rPr>
        <w:t>É</w:t>
      </w:r>
      <w:r w:rsidRPr="00120574">
        <w:rPr>
          <w:rFonts w:eastAsia="Times New Roman" w:cs="Times New Roman"/>
          <w:bCs/>
          <w:i/>
          <w:szCs w:val="20"/>
        </w:rPr>
        <w:t>TASE</w:t>
      </w:r>
      <w:r w:rsidR="009C386A" w:rsidRPr="00120574">
        <w:rPr>
          <w:rFonts w:eastAsia="Times New Roman" w:cs="Times New Roman"/>
          <w:bCs/>
          <w:i/>
          <w:szCs w:val="20"/>
        </w:rPr>
        <w:t xml:space="preserve"> POR LA ASAMBLEA LEGISLATIVA DE PUERTO RICO:</w:t>
      </w:r>
    </w:p>
    <w:p w14:paraId="30567916" w14:textId="4CE39955" w:rsidR="00FA7B75" w:rsidRP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_tradnl"/>
        </w:rPr>
        <w:t xml:space="preserve">Artículo 1.- </w:t>
      </w:r>
      <w:r w:rsidRPr="00FA7B75">
        <w:rPr>
          <w:rFonts w:eastAsia="Times New Roman" w:cs="Times New Roman"/>
          <w:szCs w:val="20"/>
          <w:lang w:val="es-ES"/>
        </w:rPr>
        <w:t xml:space="preserve">Se enmienda la Regla </w:t>
      </w:r>
      <w:r>
        <w:rPr>
          <w:rFonts w:eastAsia="Times New Roman" w:cs="Times New Roman"/>
          <w:szCs w:val="20"/>
          <w:lang w:val="es-ES"/>
        </w:rPr>
        <w:t>247</w:t>
      </w:r>
      <w:r w:rsidRPr="00FA7B75">
        <w:rPr>
          <w:rFonts w:eastAsia="Times New Roman" w:cs="Times New Roman"/>
          <w:szCs w:val="20"/>
          <w:lang w:val="es-ES"/>
        </w:rPr>
        <w:t xml:space="preserve"> de Procedimiento Criminal de 1963, según enmendadas, para que lea como sigue: </w:t>
      </w:r>
    </w:p>
    <w:p w14:paraId="2B932E79" w14:textId="59EA86C5" w:rsidR="00F97214"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REGLA </w:t>
      </w:r>
      <w:r>
        <w:rPr>
          <w:rFonts w:eastAsia="Times New Roman" w:cs="Times New Roman"/>
          <w:szCs w:val="20"/>
          <w:lang w:val="es-ES"/>
        </w:rPr>
        <w:t>247</w:t>
      </w:r>
      <w:r w:rsidRPr="00FA7B75">
        <w:rPr>
          <w:rFonts w:eastAsia="Times New Roman" w:cs="Times New Roman"/>
          <w:szCs w:val="20"/>
          <w:lang w:val="es-ES"/>
        </w:rPr>
        <w:t xml:space="preserve">. — </w:t>
      </w:r>
      <w:r w:rsidR="00F97214" w:rsidRPr="00F97214">
        <w:rPr>
          <w:rFonts w:eastAsia="Times New Roman" w:cs="Times New Roman"/>
          <w:szCs w:val="20"/>
          <w:lang w:val="es-ES"/>
        </w:rPr>
        <w:t>SOBRESEIMIENTO</w:t>
      </w:r>
      <w:r w:rsidRPr="00FA7B75">
        <w:rPr>
          <w:rFonts w:eastAsia="Times New Roman" w:cs="Times New Roman"/>
          <w:szCs w:val="20"/>
          <w:lang w:val="es-ES"/>
        </w:rPr>
        <w:t xml:space="preserve">. </w:t>
      </w:r>
    </w:p>
    <w:p w14:paraId="7274A0AA" w14:textId="6B30CF63" w:rsidR="00F97214" w:rsidRDefault="00F97214" w:rsidP="00F97214">
      <w:pPr>
        <w:spacing w:line="480" w:lineRule="auto"/>
        <w:ind w:firstLine="720"/>
        <w:jc w:val="both"/>
        <w:rPr>
          <w:rFonts w:eastAsia="Times New Roman" w:cs="Times New Roman"/>
          <w:szCs w:val="20"/>
          <w:lang w:val="es-ES"/>
        </w:rPr>
      </w:pPr>
      <w:r>
        <w:rPr>
          <w:rFonts w:eastAsia="Times New Roman" w:cs="Times New Roman"/>
          <w:szCs w:val="20"/>
          <w:lang w:val="es-ES"/>
        </w:rPr>
        <w:t>(a) …</w:t>
      </w:r>
      <w:r w:rsidR="00FA7B75" w:rsidRPr="00FA7B75">
        <w:rPr>
          <w:rFonts w:eastAsia="Times New Roman" w:cs="Times New Roman"/>
          <w:szCs w:val="20"/>
          <w:lang w:val="es-ES"/>
        </w:rPr>
        <w:t xml:space="preserve"> </w:t>
      </w:r>
    </w:p>
    <w:p w14:paraId="64FD6B3A" w14:textId="30369B41" w:rsidR="00F97214" w:rsidRDefault="00F97214" w:rsidP="00F97214">
      <w:pPr>
        <w:spacing w:line="480" w:lineRule="auto"/>
        <w:ind w:firstLine="720"/>
        <w:jc w:val="both"/>
        <w:rPr>
          <w:rFonts w:eastAsia="Times New Roman" w:cs="Times New Roman"/>
          <w:szCs w:val="20"/>
          <w:lang w:val="es-ES"/>
        </w:rPr>
      </w:pPr>
      <w:r w:rsidRPr="00F97214">
        <w:rPr>
          <w:rFonts w:eastAsia="Times New Roman" w:cs="Times New Roman"/>
          <w:szCs w:val="20"/>
          <w:lang w:val="es-ES"/>
        </w:rPr>
        <w:t xml:space="preserve">(b) </w:t>
      </w:r>
      <w:r w:rsidRPr="00F97214">
        <w:rPr>
          <w:rFonts w:eastAsia="Times New Roman" w:cs="Times New Roman"/>
          <w:b/>
          <w:bCs/>
          <w:szCs w:val="20"/>
          <w:lang w:val="es-ES"/>
        </w:rPr>
        <w:t>[Por el tribunal; orden. Cuando ello sea conveniente para los fines de la justicia y previa celebración de vista en la cual participará el fiscal, el tribunal podrá decretar el sobreseimiento de una acusación o denuncia. Las causas de sobreseimiento deberán exponerse en la orden que al efecto se dictare, la cual se unirá al expediente del proceso.]</w:t>
      </w:r>
    </w:p>
    <w:p w14:paraId="01C4CB5F" w14:textId="21476BC2" w:rsidR="00F97214" w:rsidRDefault="00F74F41" w:rsidP="00FA7B75">
      <w:pPr>
        <w:spacing w:line="480" w:lineRule="auto"/>
        <w:ind w:firstLine="720"/>
        <w:jc w:val="both"/>
        <w:rPr>
          <w:rFonts w:eastAsia="Times New Roman" w:cs="Times New Roman"/>
          <w:i/>
          <w:iCs/>
          <w:szCs w:val="20"/>
        </w:rPr>
      </w:pPr>
      <w:r w:rsidRPr="00F74F41">
        <w:rPr>
          <w:rFonts w:eastAsia="Times New Roman" w:cs="Times New Roman"/>
          <w:i/>
          <w:iCs/>
          <w:szCs w:val="20"/>
        </w:rPr>
        <w:t xml:space="preserve">El tribunal deberá celebrar una vista </w:t>
      </w:r>
      <w:proofErr w:type="spellStart"/>
      <w:r w:rsidR="009D0589">
        <w:rPr>
          <w:rFonts w:eastAsia="Times New Roman" w:cs="Times New Roman"/>
          <w:i/>
          <w:iCs/>
          <w:szCs w:val="20"/>
        </w:rPr>
        <w:t>evidenciaria</w:t>
      </w:r>
      <w:proofErr w:type="spellEnd"/>
      <w:r w:rsidR="009D0589">
        <w:rPr>
          <w:rFonts w:eastAsia="Times New Roman" w:cs="Times New Roman"/>
          <w:i/>
          <w:iCs/>
          <w:szCs w:val="20"/>
        </w:rPr>
        <w:t xml:space="preserve"> </w:t>
      </w:r>
      <w:r w:rsidRPr="00F74F41">
        <w:rPr>
          <w:rFonts w:eastAsia="Times New Roman" w:cs="Times New Roman"/>
          <w:i/>
          <w:iCs/>
          <w:szCs w:val="20"/>
        </w:rPr>
        <w:t xml:space="preserve">dentro de un término no mayor de treinta (30) días desde que se solicite el sobreseimiento, con </w:t>
      </w:r>
      <w:r w:rsidR="009D0589" w:rsidRPr="00F74F41">
        <w:rPr>
          <w:rFonts w:eastAsia="Times New Roman" w:cs="Times New Roman"/>
          <w:i/>
          <w:iCs/>
          <w:szCs w:val="20"/>
        </w:rPr>
        <w:t>l</w:t>
      </w:r>
      <w:r w:rsidR="009D0589">
        <w:rPr>
          <w:rFonts w:eastAsia="Times New Roman" w:cs="Times New Roman"/>
          <w:i/>
          <w:iCs/>
          <w:szCs w:val="20"/>
        </w:rPr>
        <w:t>a</w:t>
      </w:r>
      <w:r w:rsidRPr="00F74F41">
        <w:rPr>
          <w:rFonts w:eastAsia="Times New Roman" w:cs="Times New Roman"/>
          <w:i/>
          <w:iCs/>
          <w:szCs w:val="20"/>
        </w:rPr>
        <w:t xml:space="preserve"> comparecencia obligatoria del Ministerio Público, del imputado y de la víctima o su representante, salvo renuncia expresa de esta última.</w:t>
      </w:r>
    </w:p>
    <w:p w14:paraId="6CE6E0C8" w14:textId="4745EDBF" w:rsidR="00F74F41" w:rsidRDefault="00F74F41" w:rsidP="00F74F41">
      <w:pPr>
        <w:spacing w:line="480" w:lineRule="auto"/>
        <w:ind w:firstLine="720"/>
        <w:jc w:val="both"/>
        <w:rPr>
          <w:rFonts w:eastAsia="Times New Roman" w:cs="Times New Roman"/>
          <w:i/>
          <w:iCs/>
          <w:szCs w:val="20"/>
          <w:lang w:val="es-ES"/>
        </w:rPr>
      </w:pPr>
      <w:r w:rsidRPr="00F74F41">
        <w:rPr>
          <w:rFonts w:eastAsia="Times New Roman" w:cs="Times New Roman"/>
          <w:i/>
          <w:iCs/>
          <w:szCs w:val="20"/>
          <w:lang w:val="es-ES"/>
        </w:rPr>
        <w:t>La víctima tendrá derecho a</w:t>
      </w:r>
      <w:r>
        <w:rPr>
          <w:rFonts w:eastAsia="Times New Roman" w:cs="Times New Roman"/>
          <w:i/>
          <w:iCs/>
          <w:szCs w:val="20"/>
          <w:lang w:val="es-ES"/>
        </w:rPr>
        <w:t xml:space="preserve"> e</w:t>
      </w:r>
      <w:r w:rsidRPr="00F74F41">
        <w:rPr>
          <w:rFonts w:eastAsia="Times New Roman" w:cs="Times New Roman"/>
          <w:i/>
          <w:iCs/>
          <w:szCs w:val="20"/>
          <w:lang w:val="es-ES"/>
        </w:rPr>
        <w:t>star presente y ser oída;</w:t>
      </w:r>
      <w:r>
        <w:rPr>
          <w:rFonts w:eastAsia="Times New Roman" w:cs="Times New Roman"/>
          <w:i/>
          <w:iCs/>
          <w:szCs w:val="20"/>
          <w:lang w:val="es-ES"/>
        </w:rPr>
        <w:t xml:space="preserve"> c</w:t>
      </w:r>
      <w:r w:rsidRPr="00F74F41">
        <w:rPr>
          <w:rFonts w:eastAsia="Times New Roman" w:cs="Times New Roman"/>
          <w:i/>
          <w:iCs/>
          <w:szCs w:val="20"/>
          <w:lang w:val="es-ES"/>
        </w:rPr>
        <w:t>omparecer asistida de un/a abogado/a o intercesora legal; y</w:t>
      </w:r>
      <w:r>
        <w:rPr>
          <w:rFonts w:eastAsia="Times New Roman" w:cs="Times New Roman"/>
          <w:i/>
          <w:iCs/>
          <w:szCs w:val="20"/>
          <w:lang w:val="es-ES"/>
        </w:rPr>
        <w:t xml:space="preserve"> p</w:t>
      </w:r>
      <w:r w:rsidRPr="00F74F41">
        <w:rPr>
          <w:rFonts w:eastAsia="Times New Roman" w:cs="Times New Roman"/>
          <w:i/>
          <w:iCs/>
          <w:szCs w:val="20"/>
          <w:lang w:val="es-ES"/>
        </w:rPr>
        <w:t>roponer medidas de protección alternas.</w:t>
      </w:r>
    </w:p>
    <w:p w14:paraId="2179D99B" w14:textId="14FB4D55" w:rsidR="00F74F41" w:rsidRDefault="00F74F41" w:rsidP="00F74F41">
      <w:pPr>
        <w:spacing w:line="480" w:lineRule="auto"/>
        <w:ind w:firstLine="720"/>
        <w:jc w:val="both"/>
        <w:rPr>
          <w:rFonts w:eastAsia="Times New Roman" w:cs="Times New Roman"/>
          <w:i/>
          <w:iCs/>
          <w:szCs w:val="20"/>
        </w:rPr>
      </w:pPr>
      <w:r w:rsidRPr="00F74F41">
        <w:rPr>
          <w:rFonts w:eastAsia="Times New Roman" w:cs="Times New Roman"/>
          <w:i/>
          <w:iCs/>
          <w:szCs w:val="20"/>
        </w:rPr>
        <w:t xml:space="preserve">Al resolver, el tribunal deberá </w:t>
      </w:r>
      <w:r>
        <w:rPr>
          <w:rFonts w:eastAsia="Times New Roman" w:cs="Times New Roman"/>
          <w:i/>
          <w:iCs/>
          <w:szCs w:val="20"/>
        </w:rPr>
        <w:t xml:space="preserve">esbozar los fundamentos tomados en consideración al tomar su determinación, la cual deberá ser escrita. </w:t>
      </w:r>
    </w:p>
    <w:p w14:paraId="22A29D1B" w14:textId="784ABE07" w:rsidR="00F74F41" w:rsidRDefault="00F74F41" w:rsidP="00F74F41">
      <w:pPr>
        <w:spacing w:line="480" w:lineRule="auto"/>
        <w:ind w:firstLine="720"/>
        <w:jc w:val="both"/>
        <w:rPr>
          <w:rFonts w:eastAsia="Times New Roman" w:cs="Times New Roman"/>
          <w:i/>
          <w:iCs/>
          <w:szCs w:val="20"/>
        </w:rPr>
      </w:pPr>
      <w:r>
        <w:rPr>
          <w:rFonts w:eastAsia="Times New Roman" w:cs="Times New Roman"/>
          <w:i/>
          <w:iCs/>
          <w:szCs w:val="20"/>
        </w:rPr>
        <w:t>(c)…</w:t>
      </w:r>
    </w:p>
    <w:p w14:paraId="022B9FD0" w14:textId="40419625" w:rsidR="00F74F41" w:rsidRDefault="00F74F41" w:rsidP="00F74F41">
      <w:pPr>
        <w:spacing w:line="480" w:lineRule="auto"/>
        <w:ind w:firstLine="720"/>
        <w:jc w:val="both"/>
        <w:rPr>
          <w:rFonts w:eastAsia="Times New Roman" w:cs="Times New Roman"/>
          <w:i/>
          <w:iCs/>
          <w:szCs w:val="20"/>
        </w:rPr>
      </w:pPr>
      <w:r>
        <w:rPr>
          <w:rFonts w:eastAsia="Times New Roman" w:cs="Times New Roman"/>
          <w:i/>
          <w:iCs/>
          <w:szCs w:val="20"/>
        </w:rPr>
        <w:lastRenderedPageBreak/>
        <w:t>(d)…</w:t>
      </w:r>
    </w:p>
    <w:p w14:paraId="204E8DC2" w14:textId="0FEDF1E3" w:rsidR="00FA7B75" w:rsidRP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Artículo 2.- Se enmienda la Regla </w:t>
      </w:r>
      <w:r w:rsidR="00F74F41">
        <w:rPr>
          <w:rFonts w:eastAsia="Times New Roman" w:cs="Times New Roman"/>
          <w:szCs w:val="20"/>
          <w:lang w:val="es-ES"/>
        </w:rPr>
        <w:t>72</w:t>
      </w:r>
      <w:r w:rsidRPr="00FA7B75">
        <w:rPr>
          <w:rFonts w:eastAsia="Times New Roman" w:cs="Times New Roman"/>
          <w:szCs w:val="20"/>
          <w:lang w:val="es-ES"/>
        </w:rPr>
        <w:t xml:space="preserve"> de Procedimiento Criminal de 1963, según enmendada, para que lea como sigue:</w:t>
      </w:r>
    </w:p>
    <w:p w14:paraId="00A10626" w14:textId="47196A43" w:rsid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REGLA </w:t>
      </w:r>
      <w:r w:rsidR="00F74F41">
        <w:rPr>
          <w:rFonts w:eastAsia="Times New Roman" w:cs="Times New Roman"/>
          <w:szCs w:val="20"/>
          <w:lang w:val="es-ES"/>
        </w:rPr>
        <w:t>72</w:t>
      </w:r>
      <w:r w:rsidRPr="00FA7B75">
        <w:rPr>
          <w:rFonts w:eastAsia="Times New Roman" w:cs="Times New Roman"/>
          <w:szCs w:val="20"/>
          <w:lang w:val="es-ES"/>
        </w:rPr>
        <w:t xml:space="preserve">. </w:t>
      </w:r>
      <w:r w:rsidR="00F74F41" w:rsidRPr="00F74F41">
        <w:rPr>
          <w:rFonts w:eastAsia="Times New Roman" w:cs="Times New Roman"/>
          <w:szCs w:val="20"/>
          <w:lang w:val="es-ES"/>
        </w:rPr>
        <w:t>ALEGACIONES PREACORDADAS</w:t>
      </w:r>
      <w:r w:rsidRPr="00FA7B75">
        <w:rPr>
          <w:rFonts w:eastAsia="Times New Roman" w:cs="Times New Roman"/>
          <w:szCs w:val="20"/>
          <w:lang w:val="es-ES"/>
        </w:rPr>
        <w:t xml:space="preserve">. </w:t>
      </w:r>
    </w:p>
    <w:p w14:paraId="2297F82D" w14:textId="00ABE4D0"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En todos aquellos casos en que mediaren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entre la defensa del</w:t>
      </w:r>
      <w:r>
        <w:rPr>
          <w:rFonts w:eastAsia="Times New Roman" w:cs="Times New Roman"/>
          <w:szCs w:val="20"/>
          <w:lang w:val="es-ES"/>
        </w:rPr>
        <w:t xml:space="preserve"> </w:t>
      </w:r>
      <w:r w:rsidRPr="002C2A0B">
        <w:rPr>
          <w:rFonts w:eastAsia="Times New Roman" w:cs="Times New Roman"/>
          <w:szCs w:val="20"/>
          <w:lang w:val="es-ES"/>
        </w:rPr>
        <w:t>imputado y el representante del Ministerio Público, se seguirá el siguiente procedimiento:</w:t>
      </w:r>
    </w:p>
    <w:p w14:paraId="73F9A11B" w14:textId="2AE1D7E1"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(1) El fiscal y el imputado, por mediación de su abogado, podrán iniciar conversaciones con</w:t>
      </w:r>
      <w:r>
        <w:rPr>
          <w:rFonts w:eastAsia="Times New Roman" w:cs="Times New Roman"/>
          <w:szCs w:val="20"/>
          <w:lang w:val="es-ES"/>
        </w:rPr>
        <w:t xml:space="preserve"> </w:t>
      </w:r>
      <w:r w:rsidRPr="002C2A0B">
        <w:rPr>
          <w:rFonts w:eastAsia="Times New Roman" w:cs="Times New Roman"/>
          <w:szCs w:val="20"/>
          <w:lang w:val="es-ES"/>
        </w:rPr>
        <w:t>miras a acordar que, a cambio de una alegación de culpabilidad por el delito alegado en la</w:t>
      </w:r>
      <w:r>
        <w:rPr>
          <w:rFonts w:eastAsia="Times New Roman" w:cs="Times New Roman"/>
          <w:szCs w:val="20"/>
          <w:lang w:val="es-ES"/>
        </w:rPr>
        <w:t xml:space="preserve"> </w:t>
      </w:r>
      <w:r w:rsidRPr="002C2A0B">
        <w:rPr>
          <w:rFonts w:eastAsia="Times New Roman" w:cs="Times New Roman"/>
          <w:szCs w:val="20"/>
          <w:lang w:val="es-ES"/>
        </w:rPr>
        <w:t>acusación o denuncia, o por uno de grado inferior o relacionado, el fiscal se obliga a uno o</w:t>
      </w:r>
      <w:r>
        <w:rPr>
          <w:rFonts w:eastAsia="Times New Roman" w:cs="Times New Roman"/>
          <w:szCs w:val="20"/>
          <w:lang w:val="es-ES"/>
        </w:rPr>
        <w:t xml:space="preserve"> </w:t>
      </w:r>
      <w:r w:rsidRPr="002C2A0B">
        <w:rPr>
          <w:rFonts w:eastAsia="Times New Roman" w:cs="Times New Roman"/>
          <w:szCs w:val="20"/>
          <w:lang w:val="es-ES"/>
        </w:rPr>
        <w:t>varios de los siguientes cursos de acción:</w:t>
      </w:r>
    </w:p>
    <w:p w14:paraId="4AA6809E"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(a) Solicitar el archivo de otros cargos pendientes que pesen sobre él;</w:t>
      </w:r>
    </w:p>
    <w:p w14:paraId="70A11852"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(b) eliminar alegación de reincidencia en cualquiera de sus grados;</w:t>
      </w:r>
    </w:p>
    <w:p w14:paraId="1A3E35D7" w14:textId="39F7430D"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(c) recomendar una sentencia en particular o no oponerse a la solicitud que haga la</w:t>
      </w:r>
      <w:r>
        <w:rPr>
          <w:rFonts w:eastAsia="Times New Roman" w:cs="Times New Roman"/>
          <w:szCs w:val="20"/>
          <w:lang w:val="es-ES"/>
        </w:rPr>
        <w:t xml:space="preserve"> </w:t>
      </w:r>
      <w:r w:rsidRPr="002C2A0B">
        <w:rPr>
          <w:rFonts w:eastAsia="Times New Roman" w:cs="Times New Roman"/>
          <w:szCs w:val="20"/>
          <w:lang w:val="es-ES"/>
        </w:rPr>
        <w:t>defensa sobre una sentencia específica, entendiéndose que ni lo uno ni lo otro</w:t>
      </w:r>
      <w:r>
        <w:rPr>
          <w:rFonts w:eastAsia="Times New Roman" w:cs="Times New Roman"/>
          <w:szCs w:val="20"/>
          <w:lang w:val="es-ES"/>
        </w:rPr>
        <w:t xml:space="preserve"> </w:t>
      </w:r>
      <w:r w:rsidRPr="002C2A0B">
        <w:rPr>
          <w:rFonts w:eastAsia="Times New Roman" w:cs="Times New Roman"/>
          <w:szCs w:val="20"/>
          <w:lang w:val="es-ES"/>
        </w:rPr>
        <w:t>serán obligatorios para el tribunal, o</w:t>
      </w:r>
    </w:p>
    <w:p w14:paraId="3C2BF550" w14:textId="455EF1F5"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(d) acordar que determinada sentencia específica es la que dispone </w:t>
      </w:r>
      <w:r w:rsidR="009D0589" w:rsidRPr="002C2A0B">
        <w:rPr>
          <w:rFonts w:eastAsia="Times New Roman" w:cs="Times New Roman"/>
          <w:szCs w:val="20"/>
          <w:lang w:val="es-ES"/>
        </w:rPr>
        <w:t>adecuadamente del</w:t>
      </w:r>
      <w:r w:rsidRPr="002C2A0B">
        <w:rPr>
          <w:rFonts w:eastAsia="Times New Roman" w:cs="Times New Roman"/>
          <w:szCs w:val="20"/>
          <w:lang w:val="es-ES"/>
        </w:rPr>
        <w:t xml:space="preserve"> caso.</w:t>
      </w:r>
    </w:p>
    <w:p w14:paraId="7D6ED93F"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El tribunal no participará en estas conversaciones.</w:t>
      </w:r>
    </w:p>
    <w:p w14:paraId="0E5E8C17" w14:textId="247E138E" w:rsid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(2) De llegarse a un acuerdo,</w:t>
      </w:r>
      <w:r>
        <w:rPr>
          <w:rFonts w:eastAsia="Times New Roman" w:cs="Times New Roman"/>
          <w:szCs w:val="20"/>
          <w:lang w:val="es-ES"/>
        </w:rPr>
        <w:t xml:space="preserve"> e</w:t>
      </w:r>
      <w:r w:rsidRPr="002C2A0B">
        <w:rPr>
          <w:rFonts w:eastAsia="Times New Roman" w:cs="Times New Roman"/>
          <w:i/>
          <w:iCs/>
          <w:szCs w:val="20"/>
        </w:rPr>
        <w:t>l Ministerio Público notificará por escrito a la víctima cualquier preacuerdo preliminar dentro de veinticuatro (24) horas de alcanzado</w:t>
      </w:r>
      <w:r>
        <w:rPr>
          <w:rFonts w:eastAsia="Times New Roman" w:cs="Times New Roman"/>
          <w:i/>
          <w:iCs/>
          <w:szCs w:val="20"/>
        </w:rPr>
        <w:t>, posteriormente,</w:t>
      </w:r>
      <w:r w:rsidRPr="002C2A0B">
        <w:rPr>
          <w:rFonts w:eastAsia="Times New Roman" w:cs="Times New Roman"/>
          <w:szCs w:val="20"/>
          <w:lang w:val="es-ES"/>
        </w:rPr>
        <w:t xml:space="preserve"> las partes notificarán de sus detalles al tribunal en corte abierta,</w:t>
      </w:r>
      <w:r>
        <w:rPr>
          <w:rFonts w:eastAsia="Times New Roman" w:cs="Times New Roman"/>
          <w:szCs w:val="20"/>
          <w:lang w:val="es-ES"/>
        </w:rPr>
        <w:t xml:space="preserve"> </w:t>
      </w:r>
      <w:r w:rsidRPr="002C2A0B">
        <w:rPr>
          <w:rFonts w:eastAsia="Times New Roman" w:cs="Times New Roman"/>
          <w:szCs w:val="20"/>
          <w:lang w:val="es-ES"/>
        </w:rPr>
        <w:t xml:space="preserve">o en cámara si mediare </w:t>
      </w:r>
      <w:r w:rsidRPr="002C2A0B">
        <w:rPr>
          <w:rFonts w:eastAsia="Times New Roman" w:cs="Times New Roman"/>
          <w:szCs w:val="20"/>
          <w:lang w:val="es-ES"/>
        </w:rPr>
        <w:lastRenderedPageBreak/>
        <w:t>justa causa para ello. Dicho acuerdo se hará constar en récord. Si</w:t>
      </w:r>
      <w:r>
        <w:rPr>
          <w:rFonts w:eastAsia="Times New Roman" w:cs="Times New Roman"/>
          <w:szCs w:val="20"/>
          <w:lang w:val="es-ES"/>
        </w:rPr>
        <w:t xml:space="preserve"> </w:t>
      </w:r>
      <w:r w:rsidRPr="002C2A0B">
        <w:rPr>
          <w:rFonts w:eastAsia="Times New Roman" w:cs="Times New Roman"/>
          <w:szCs w:val="20"/>
          <w:lang w:val="es-ES"/>
        </w:rPr>
        <w:t>el imputado se refiere a alguno de los cursos de acción especificados en las cláusulas (a),</w:t>
      </w:r>
      <w:r>
        <w:rPr>
          <w:rFonts w:eastAsia="Times New Roman" w:cs="Times New Roman"/>
          <w:szCs w:val="20"/>
          <w:lang w:val="es-ES"/>
        </w:rPr>
        <w:t xml:space="preserve"> </w:t>
      </w:r>
      <w:r w:rsidRPr="002C2A0B">
        <w:rPr>
          <w:rFonts w:eastAsia="Times New Roman" w:cs="Times New Roman"/>
          <w:szCs w:val="20"/>
          <w:lang w:val="es-ES"/>
        </w:rPr>
        <w:t>(b) y (d) del inciso (1) de esta regla, el tribunal podrá aceptarlo o rechazarlo, o aplazar su</w:t>
      </w:r>
      <w:r>
        <w:rPr>
          <w:rFonts w:eastAsia="Times New Roman" w:cs="Times New Roman"/>
          <w:szCs w:val="20"/>
          <w:lang w:val="es-ES"/>
        </w:rPr>
        <w:t xml:space="preserve"> </w:t>
      </w:r>
      <w:r w:rsidRPr="002C2A0B">
        <w:rPr>
          <w:rFonts w:eastAsia="Times New Roman" w:cs="Times New Roman"/>
          <w:szCs w:val="20"/>
          <w:lang w:val="es-ES"/>
        </w:rPr>
        <w:t xml:space="preserve">decisión hasta recibir y considerar el informe </w:t>
      </w:r>
      <w:proofErr w:type="spellStart"/>
      <w:r w:rsidRPr="002C2A0B">
        <w:rPr>
          <w:rFonts w:eastAsia="Times New Roman" w:cs="Times New Roman"/>
          <w:szCs w:val="20"/>
          <w:lang w:val="es-ES"/>
        </w:rPr>
        <w:t>presentencia</w:t>
      </w:r>
      <w:proofErr w:type="spellEnd"/>
      <w:r w:rsidRPr="002C2A0B">
        <w:rPr>
          <w:rFonts w:eastAsia="Times New Roman" w:cs="Times New Roman"/>
          <w:szCs w:val="20"/>
          <w:lang w:val="es-ES"/>
        </w:rPr>
        <w:t>. Si el curso de acción acordado</w:t>
      </w:r>
      <w:r>
        <w:rPr>
          <w:rFonts w:eastAsia="Times New Roman" w:cs="Times New Roman"/>
          <w:szCs w:val="20"/>
          <w:lang w:val="es-ES"/>
        </w:rPr>
        <w:t xml:space="preserve"> </w:t>
      </w:r>
      <w:r w:rsidRPr="002C2A0B">
        <w:rPr>
          <w:rFonts w:eastAsia="Times New Roman" w:cs="Times New Roman"/>
          <w:szCs w:val="20"/>
          <w:lang w:val="es-ES"/>
        </w:rPr>
        <w:t>fuere del tipo especificado en la cláusula (c) de dicho inciso el tribunal advertirá al</w:t>
      </w:r>
      <w:r>
        <w:rPr>
          <w:rFonts w:eastAsia="Times New Roman" w:cs="Times New Roman"/>
          <w:szCs w:val="20"/>
          <w:lang w:val="es-ES"/>
        </w:rPr>
        <w:t xml:space="preserve"> </w:t>
      </w:r>
      <w:r w:rsidRPr="002C2A0B">
        <w:rPr>
          <w:rFonts w:eastAsia="Times New Roman" w:cs="Times New Roman"/>
          <w:szCs w:val="20"/>
          <w:lang w:val="es-ES"/>
        </w:rPr>
        <w:t xml:space="preserve">imputado </w:t>
      </w:r>
      <w:r w:rsidR="000013AC" w:rsidRPr="002C2A0B">
        <w:rPr>
          <w:rFonts w:eastAsia="Times New Roman" w:cs="Times New Roman"/>
          <w:szCs w:val="20"/>
          <w:lang w:val="es-ES"/>
        </w:rPr>
        <w:t>que,</w:t>
      </w:r>
      <w:r w:rsidRPr="002C2A0B">
        <w:rPr>
          <w:rFonts w:eastAsia="Times New Roman" w:cs="Times New Roman"/>
          <w:szCs w:val="20"/>
          <w:lang w:val="es-ES"/>
        </w:rPr>
        <w:t xml:space="preserve"> si la recomendación del fiscal o la solicitud de la defensa no es aceptada por</w:t>
      </w:r>
      <w:r>
        <w:rPr>
          <w:rFonts w:eastAsia="Times New Roman" w:cs="Times New Roman"/>
          <w:szCs w:val="20"/>
          <w:lang w:val="es-ES"/>
        </w:rPr>
        <w:t xml:space="preserve"> </w:t>
      </w:r>
      <w:r w:rsidRPr="002C2A0B">
        <w:rPr>
          <w:rFonts w:eastAsia="Times New Roman" w:cs="Times New Roman"/>
          <w:szCs w:val="20"/>
          <w:lang w:val="es-ES"/>
        </w:rPr>
        <w:t>el tribunal, el imputado no tendrá derecho a retirar su alegación.</w:t>
      </w:r>
    </w:p>
    <w:p w14:paraId="752788CF" w14:textId="6E56A7B9" w:rsidR="002C2A0B" w:rsidRDefault="002C2A0B" w:rsidP="002C2A0B">
      <w:pPr>
        <w:spacing w:line="480" w:lineRule="auto"/>
        <w:ind w:firstLine="720"/>
        <w:jc w:val="both"/>
        <w:rPr>
          <w:rFonts w:eastAsia="Times New Roman" w:cs="Times New Roman"/>
          <w:i/>
          <w:iCs/>
          <w:szCs w:val="20"/>
        </w:rPr>
      </w:pPr>
      <w:r w:rsidRPr="002C2A0B">
        <w:rPr>
          <w:rFonts w:eastAsia="Times New Roman" w:cs="Times New Roman"/>
          <w:i/>
          <w:iCs/>
          <w:szCs w:val="20"/>
        </w:rPr>
        <w:t>Antes de que el tribunal acepte el acuerdo, deberá conceder a la víctima</w:t>
      </w:r>
      <w:r>
        <w:rPr>
          <w:rFonts w:eastAsia="Times New Roman" w:cs="Times New Roman"/>
          <w:i/>
          <w:iCs/>
          <w:szCs w:val="20"/>
        </w:rPr>
        <w:t>, de esta solicitarlo,</w:t>
      </w:r>
      <w:r w:rsidRPr="002C2A0B">
        <w:rPr>
          <w:rFonts w:eastAsia="Times New Roman" w:cs="Times New Roman"/>
          <w:i/>
          <w:iCs/>
          <w:szCs w:val="20"/>
        </w:rPr>
        <w:t xml:space="preserve"> la oportunidad de dirigirse brevemente a</w:t>
      </w:r>
      <w:r>
        <w:rPr>
          <w:rFonts w:eastAsia="Times New Roman" w:cs="Times New Roman"/>
          <w:i/>
          <w:iCs/>
          <w:szCs w:val="20"/>
        </w:rPr>
        <w:t>l juez</w:t>
      </w:r>
      <w:r w:rsidRPr="002C2A0B">
        <w:rPr>
          <w:rFonts w:eastAsia="Times New Roman" w:cs="Times New Roman"/>
          <w:i/>
          <w:iCs/>
          <w:szCs w:val="20"/>
        </w:rPr>
        <w:t>, en persona o mediante representación</w:t>
      </w:r>
      <w:r>
        <w:rPr>
          <w:rFonts w:eastAsia="Times New Roman" w:cs="Times New Roman"/>
          <w:i/>
          <w:iCs/>
          <w:szCs w:val="20"/>
        </w:rPr>
        <w:t xml:space="preserve"> legal</w:t>
      </w:r>
      <w:r w:rsidRPr="002C2A0B">
        <w:rPr>
          <w:rFonts w:eastAsia="Times New Roman" w:cs="Times New Roman"/>
          <w:i/>
          <w:iCs/>
          <w:szCs w:val="20"/>
        </w:rPr>
        <w:t>, para exponer su posición.</w:t>
      </w:r>
    </w:p>
    <w:p w14:paraId="34E4F247" w14:textId="7C7F8884" w:rsidR="002C2A0B" w:rsidRPr="002C2A0B" w:rsidRDefault="002C2A0B" w:rsidP="002C2A0B">
      <w:pPr>
        <w:spacing w:line="480" w:lineRule="auto"/>
        <w:ind w:firstLine="720"/>
        <w:jc w:val="both"/>
        <w:rPr>
          <w:rFonts w:eastAsia="Times New Roman" w:cs="Times New Roman"/>
          <w:i/>
          <w:iCs/>
          <w:szCs w:val="20"/>
          <w:lang w:val="es-ES"/>
        </w:rPr>
      </w:pPr>
      <w:r w:rsidRPr="002C2A0B">
        <w:rPr>
          <w:rFonts w:eastAsia="Times New Roman" w:cs="Times New Roman"/>
          <w:i/>
          <w:iCs/>
          <w:szCs w:val="20"/>
        </w:rPr>
        <w:t xml:space="preserve">La aceptación o rechazo del acuerdo </w:t>
      </w:r>
      <w:r>
        <w:rPr>
          <w:rFonts w:eastAsia="Times New Roman" w:cs="Times New Roman"/>
          <w:i/>
          <w:iCs/>
          <w:szCs w:val="20"/>
        </w:rPr>
        <w:t xml:space="preserve">por parte del juez, </w:t>
      </w:r>
      <w:r w:rsidRPr="002C2A0B">
        <w:rPr>
          <w:rFonts w:eastAsia="Times New Roman" w:cs="Times New Roman"/>
          <w:i/>
          <w:iCs/>
          <w:szCs w:val="20"/>
        </w:rPr>
        <w:t xml:space="preserve">no estará </w:t>
      </w:r>
      <w:r w:rsidR="009D0589" w:rsidRPr="002C2A0B">
        <w:rPr>
          <w:rFonts w:eastAsia="Times New Roman" w:cs="Times New Roman"/>
          <w:i/>
          <w:iCs/>
          <w:szCs w:val="20"/>
        </w:rPr>
        <w:t>supe</w:t>
      </w:r>
      <w:r w:rsidR="009D0589">
        <w:rPr>
          <w:rFonts w:eastAsia="Times New Roman" w:cs="Times New Roman"/>
          <w:i/>
          <w:iCs/>
          <w:szCs w:val="20"/>
        </w:rPr>
        <w:t>d</w:t>
      </w:r>
      <w:r w:rsidR="009D0589" w:rsidRPr="002C2A0B">
        <w:rPr>
          <w:rFonts w:eastAsia="Times New Roman" w:cs="Times New Roman"/>
          <w:i/>
          <w:iCs/>
          <w:szCs w:val="20"/>
        </w:rPr>
        <w:t>itada</w:t>
      </w:r>
      <w:r w:rsidRPr="002C2A0B">
        <w:rPr>
          <w:rFonts w:eastAsia="Times New Roman" w:cs="Times New Roman"/>
          <w:i/>
          <w:iCs/>
          <w:szCs w:val="20"/>
        </w:rPr>
        <w:t xml:space="preserve"> a la </w:t>
      </w:r>
      <w:r>
        <w:rPr>
          <w:rFonts w:eastAsia="Times New Roman" w:cs="Times New Roman"/>
          <w:i/>
          <w:iCs/>
          <w:szCs w:val="20"/>
        </w:rPr>
        <w:t>anuencia o no de la</w:t>
      </w:r>
      <w:r w:rsidRPr="002C2A0B">
        <w:rPr>
          <w:rFonts w:eastAsia="Times New Roman" w:cs="Times New Roman"/>
          <w:i/>
          <w:iCs/>
          <w:szCs w:val="20"/>
        </w:rPr>
        <w:t xml:space="preserve"> víctima; sin embargo, la sentencia o resolución deberá indicar que se escuchó a la víctima y explicará, en lenguaje claro, c</w:t>
      </w:r>
      <w:r w:rsidR="009D0589">
        <w:rPr>
          <w:rFonts w:eastAsia="Times New Roman" w:cs="Times New Roman"/>
          <w:i/>
          <w:iCs/>
          <w:szCs w:val="20"/>
        </w:rPr>
        <w:t>o</w:t>
      </w:r>
      <w:r w:rsidRPr="002C2A0B">
        <w:rPr>
          <w:rFonts w:eastAsia="Times New Roman" w:cs="Times New Roman"/>
          <w:i/>
          <w:iCs/>
          <w:szCs w:val="20"/>
        </w:rPr>
        <w:t>mo se balancearon sus intereses con los del Estado y del imputado.</w:t>
      </w:r>
    </w:p>
    <w:p w14:paraId="5EF21C1E" w14:textId="7E5ED22E"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(3)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aceptada por el tribunal, éste informará al imputado que la</w:t>
      </w:r>
      <w:r>
        <w:rPr>
          <w:rFonts w:eastAsia="Times New Roman" w:cs="Times New Roman"/>
          <w:szCs w:val="20"/>
          <w:lang w:val="es-ES"/>
        </w:rPr>
        <w:t xml:space="preserve"> </w:t>
      </w:r>
      <w:r w:rsidRPr="002C2A0B">
        <w:rPr>
          <w:rFonts w:eastAsia="Times New Roman" w:cs="Times New Roman"/>
          <w:szCs w:val="20"/>
          <w:lang w:val="es-ES"/>
        </w:rPr>
        <w:t>misma se incorporará y se hará formar parte de la sentencia.</w:t>
      </w:r>
    </w:p>
    <w:p w14:paraId="291FA22A" w14:textId="3E0829DC" w:rsidR="00F74F41"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(4)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rechazada por el tribunal, éste así lo informará a las partes</w:t>
      </w:r>
      <w:r>
        <w:rPr>
          <w:rFonts w:eastAsia="Times New Roman" w:cs="Times New Roman"/>
          <w:szCs w:val="20"/>
          <w:lang w:val="es-ES"/>
        </w:rPr>
        <w:t xml:space="preserve"> </w:t>
      </w:r>
      <w:r w:rsidRPr="002C2A0B">
        <w:rPr>
          <w:rFonts w:eastAsia="Times New Roman" w:cs="Times New Roman"/>
          <w:szCs w:val="20"/>
          <w:lang w:val="es-ES"/>
        </w:rPr>
        <w:t>y advertirá al imputado personalmente en corte abierta, o en cámara si mediare justa causa</w:t>
      </w:r>
      <w:r>
        <w:rPr>
          <w:rFonts w:eastAsia="Times New Roman" w:cs="Times New Roman"/>
          <w:szCs w:val="20"/>
          <w:lang w:val="es-ES"/>
        </w:rPr>
        <w:t xml:space="preserve"> </w:t>
      </w:r>
      <w:r w:rsidRPr="002C2A0B">
        <w:rPr>
          <w:rFonts w:eastAsia="Times New Roman" w:cs="Times New Roman"/>
          <w:szCs w:val="20"/>
          <w:lang w:val="es-ES"/>
        </w:rPr>
        <w:t>para ello, que el tribunal no está obligado por el acuerdo, y brindará al imputado la</w:t>
      </w:r>
      <w:r>
        <w:rPr>
          <w:rFonts w:eastAsia="Times New Roman" w:cs="Times New Roman"/>
          <w:szCs w:val="20"/>
          <w:lang w:val="es-ES"/>
        </w:rPr>
        <w:t xml:space="preserve"> </w:t>
      </w:r>
      <w:r w:rsidRPr="002C2A0B">
        <w:rPr>
          <w:rFonts w:eastAsia="Times New Roman" w:cs="Times New Roman"/>
          <w:szCs w:val="20"/>
          <w:lang w:val="es-ES"/>
        </w:rPr>
        <w:t>oportunidad de retirar su alegación. Le advertirá, además, que si persiste en su alegación</w:t>
      </w:r>
    </w:p>
    <w:p w14:paraId="7918B8BB" w14:textId="6A3F4076" w:rsidR="002C2A0B" w:rsidRPr="002C2A0B" w:rsidRDefault="002C2A0B" w:rsidP="002C2A0B">
      <w:pPr>
        <w:spacing w:line="480" w:lineRule="auto"/>
        <w:jc w:val="both"/>
        <w:rPr>
          <w:rFonts w:eastAsia="Times New Roman" w:cs="Times New Roman"/>
          <w:szCs w:val="20"/>
          <w:lang w:val="es-ES"/>
        </w:rPr>
      </w:pPr>
      <w:r w:rsidRPr="002C2A0B">
        <w:rPr>
          <w:rFonts w:eastAsia="Times New Roman" w:cs="Times New Roman"/>
          <w:szCs w:val="20"/>
          <w:lang w:val="es-ES"/>
        </w:rPr>
        <w:t>de culpabilidad, la determinación final del caso podrá serle menos favorable que la</w:t>
      </w:r>
      <w:r>
        <w:rPr>
          <w:rFonts w:eastAsia="Times New Roman" w:cs="Times New Roman"/>
          <w:szCs w:val="20"/>
          <w:lang w:val="es-ES"/>
        </w:rPr>
        <w:t xml:space="preserve"> </w:t>
      </w:r>
      <w:r w:rsidRPr="002C2A0B">
        <w:rPr>
          <w:rFonts w:eastAsia="Times New Roman" w:cs="Times New Roman"/>
          <w:szCs w:val="20"/>
          <w:lang w:val="es-ES"/>
        </w:rPr>
        <w:t>acordada entre su abogado y el fiscal. De este trámite se tomará constancia en el récord.</w:t>
      </w:r>
    </w:p>
    <w:p w14:paraId="06FDE820" w14:textId="7C71094C"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lastRenderedPageBreak/>
        <w:t xml:space="preserve">(5) La notificación al tribunal sobre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se hará antes del juicio,</w:t>
      </w:r>
      <w:r>
        <w:rPr>
          <w:rFonts w:eastAsia="Times New Roman" w:cs="Times New Roman"/>
          <w:szCs w:val="20"/>
          <w:lang w:val="es-ES"/>
        </w:rPr>
        <w:t xml:space="preserve"> </w:t>
      </w:r>
      <w:r w:rsidRPr="002C2A0B">
        <w:rPr>
          <w:rFonts w:eastAsia="Times New Roman" w:cs="Times New Roman"/>
          <w:szCs w:val="20"/>
          <w:lang w:val="es-ES"/>
        </w:rPr>
        <w:t>preferiblemente en el acto de lectura de la acusación, pero el tribunal podrá, en el ejercicio</w:t>
      </w:r>
      <w:r>
        <w:rPr>
          <w:rFonts w:eastAsia="Times New Roman" w:cs="Times New Roman"/>
          <w:szCs w:val="20"/>
          <w:lang w:val="es-ES"/>
        </w:rPr>
        <w:t xml:space="preserve"> </w:t>
      </w:r>
      <w:r w:rsidRPr="002C2A0B">
        <w:rPr>
          <w:rFonts w:eastAsia="Times New Roman" w:cs="Times New Roman"/>
          <w:szCs w:val="20"/>
          <w:lang w:val="es-ES"/>
        </w:rPr>
        <w:t>de su discreción, si las circunstancias lo ameritaren, permitirlo en cualquier otro momento.</w:t>
      </w:r>
    </w:p>
    <w:p w14:paraId="0AF7B7EE" w14:textId="3758B241"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(6) La existencia de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sus términos o condiciones, y los detalles y</w:t>
      </w:r>
      <w:r>
        <w:rPr>
          <w:rFonts w:eastAsia="Times New Roman" w:cs="Times New Roman"/>
          <w:szCs w:val="20"/>
          <w:lang w:val="es-ES"/>
        </w:rPr>
        <w:t xml:space="preserve"> </w:t>
      </w:r>
      <w:r w:rsidRPr="002C2A0B">
        <w:rPr>
          <w:rFonts w:eastAsia="Times New Roman" w:cs="Times New Roman"/>
          <w:szCs w:val="20"/>
          <w:lang w:val="es-ES"/>
        </w:rPr>
        <w:t>conversaciones conducentes a la misma no serán admisibles contra el imputado en ningún</w:t>
      </w:r>
      <w:r>
        <w:rPr>
          <w:rFonts w:eastAsia="Times New Roman" w:cs="Times New Roman"/>
          <w:szCs w:val="20"/>
          <w:lang w:val="es-ES"/>
        </w:rPr>
        <w:t xml:space="preserve"> </w:t>
      </w:r>
      <w:r w:rsidRPr="002C2A0B">
        <w:rPr>
          <w:rFonts w:eastAsia="Times New Roman" w:cs="Times New Roman"/>
          <w:szCs w:val="20"/>
          <w:lang w:val="es-ES"/>
        </w:rPr>
        <w:t xml:space="preserve">procedimiento criminal, civil o administrativo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hubiere sido</w:t>
      </w:r>
      <w:r>
        <w:rPr>
          <w:rFonts w:eastAsia="Times New Roman" w:cs="Times New Roman"/>
          <w:szCs w:val="20"/>
          <w:lang w:val="es-ES"/>
        </w:rPr>
        <w:t xml:space="preserve"> </w:t>
      </w:r>
      <w:r w:rsidRPr="002C2A0B">
        <w:rPr>
          <w:rFonts w:eastAsia="Times New Roman" w:cs="Times New Roman"/>
          <w:szCs w:val="20"/>
          <w:lang w:val="es-ES"/>
        </w:rPr>
        <w:t>rechazada por el tribunal o invalidada en algún recurso posterior o retirada válidamente por</w:t>
      </w:r>
      <w:r>
        <w:rPr>
          <w:rFonts w:eastAsia="Times New Roman" w:cs="Times New Roman"/>
          <w:szCs w:val="20"/>
          <w:lang w:val="es-ES"/>
        </w:rPr>
        <w:t xml:space="preserve"> </w:t>
      </w:r>
      <w:r w:rsidRPr="002C2A0B">
        <w:rPr>
          <w:rFonts w:eastAsia="Times New Roman" w:cs="Times New Roman"/>
          <w:szCs w:val="20"/>
          <w:lang w:val="es-ES"/>
        </w:rPr>
        <w:t>el imputado. Lo anterior será admisible por excepción en un procedimiento criminal por</w:t>
      </w:r>
      <w:r>
        <w:rPr>
          <w:rFonts w:eastAsia="Times New Roman" w:cs="Times New Roman"/>
          <w:szCs w:val="20"/>
          <w:lang w:val="es-ES"/>
        </w:rPr>
        <w:t xml:space="preserve"> </w:t>
      </w:r>
      <w:r w:rsidRPr="002C2A0B">
        <w:rPr>
          <w:rFonts w:eastAsia="Times New Roman" w:cs="Times New Roman"/>
          <w:szCs w:val="20"/>
          <w:lang w:val="es-ES"/>
        </w:rPr>
        <w:t>perjurio contra el imputado basado en manifestaciones hechas por él bajo juramento.</w:t>
      </w:r>
    </w:p>
    <w:p w14:paraId="27FFFEA3" w14:textId="7A862531"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(7) Al decidir sobre la aceptación de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el tribunal deberá cerciorarse</w:t>
      </w:r>
      <w:r>
        <w:rPr>
          <w:rFonts w:eastAsia="Times New Roman" w:cs="Times New Roman"/>
          <w:szCs w:val="20"/>
          <w:lang w:val="es-ES"/>
        </w:rPr>
        <w:t xml:space="preserve"> </w:t>
      </w:r>
      <w:r w:rsidRPr="002C2A0B">
        <w:rPr>
          <w:rFonts w:eastAsia="Times New Roman" w:cs="Times New Roman"/>
          <w:szCs w:val="20"/>
          <w:lang w:val="es-ES"/>
        </w:rPr>
        <w:t>de que ha sido hecha con pleno conocimiento, conformidad y voluntariedad del imputado;</w:t>
      </w:r>
      <w:r>
        <w:rPr>
          <w:rFonts w:eastAsia="Times New Roman" w:cs="Times New Roman"/>
          <w:szCs w:val="20"/>
          <w:lang w:val="es-ES"/>
        </w:rPr>
        <w:t xml:space="preserve"> </w:t>
      </w:r>
      <w:r w:rsidRPr="002C2A0B">
        <w:rPr>
          <w:rFonts w:eastAsia="Times New Roman" w:cs="Times New Roman"/>
          <w:szCs w:val="20"/>
          <w:lang w:val="es-ES"/>
        </w:rPr>
        <w:t>que es conveniente a una sana administración de justicia, y que ha sido lograda conforme</w:t>
      </w:r>
      <w:r>
        <w:rPr>
          <w:rFonts w:eastAsia="Times New Roman" w:cs="Times New Roman"/>
          <w:szCs w:val="20"/>
          <w:lang w:val="es-ES"/>
        </w:rPr>
        <w:t xml:space="preserve"> </w:t>
      </w:r>
      <w:r w:rsidRPr="002C2A0B">
        <w:rPr>
          <w:rFonts w:eastAsia="Times New Roman" w:cs="Times New Roman"/>
          <w:szCs w:val="20"/>
          <w:lang w:val="es-ES"/>
        </w:rPr>
        <w:t>a derecho y a la ética. A este fin, el tribunal podrá requerir del fiscal y del abogado del</w:t>
      </w:r>
      <w:r>
        <w:rPr>
          <w:rFonts w:eastAsia="Times New Roman" w:cs="Times New Roman"/>
          <w:szCs w:val="20"/>
          <w:lang w:val="es-ES"/>
        </w:rPr>
        <w:t xml:space="preserve"> </w:t>
      </w:r>
      <w:r w:rsidRPr="002C2A0B">
        <w:rPr>
          <w:rFonts w:eastAsia="Times New Roman" w:cs="Times New Roman"/>
          <w:szCs w:val="20"/>
          <w:lang w:val="es-ES"/>
        </w:rPr>
        <w:t>imputado aquella información, datos y documentos que tengan en su poder y que estime</w:t>
      </w:r>
      <w:r>
        <w:rPr>
          <w:rFonts w:eastAsia="Times New Roman" w:cs="Times New Roman"/>
          <w:szCs w:val="20"/>
          <w:lang w:val="es-ES"/>
        </w:rPr>
        <w:t xml:space="preserve"> </w:t>
      </w:r>
      <w:r w:rsidRPr="002C2A0B">
        <w:rPr>
          <w:rFonts w:eastAsia="Times New Roman" w:cs="Times New Roman"/>
          <w:szCs w:val="20"/>
          <w:lang w:val="es-ES"/>
        </w:rPr>
        <w:t>necesarios, y podrá examinar al imputado y a cualquier otra persona que a su juicio sea</w:t>
      </w:r>
      <w:r>
        <w:rPr>
          <w:rFonts w:eastAsia="Times New Roman" w:cs="Times New Roman"/>
          <w:szCs w:val="20"/>
          <w:lang w:val="es-ES"/>
        </w:rPr>
        <w:t xml:space="preserve"> </w:t>
      </w:r>
      <w:r w:rsidRPr="002C2A0B">
        <w:rPr>
          <w:rFonts w:eastAsia="Times New Roman" w:cs="Times New Roman"/>
          <w:szCs w:val="20"/>
          <w:lang w:val="es-ES"/>
        </w:rPr>
        <w:t>conveniente.</w:t>
      </w:r>
    </w:p>
    <w:p w14:paraId="641ED801" w14:textId="3D1A4EE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El tribunal, previo a aceptar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deberá, haciéndolo constar en el</w:t>
      </w:r>
      <w:r>
        <w:rPr>
          <w:rFonts w:eastAsia="Times New Roman" w:cs="Times New Roman"/>
          <w:szCs w:val="20"/>
          <w:lang w:val="es-ES"/>
        </w:rPr>
        <w:t xml:space="preserve"> </w:t>
      </w:r>
      <w:r w:rsidRPr="002C2A0B">
        <w:rPr>
          <w:rFonts w:eastAsia="Times New Roman" w:cs="Times New Roman"/>
          <w:szCs w:val="20"/>
          <w:lang w:val="es-ES"/>
        </w:rPr>
        <w:t>registro, efectuar la siguiente advertencia al imputado:</w:t>
      </w:r>
    </w:p>
    <w:p w14:paraId="538F3CC3" w14:textId="3DC76340"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“Si usted no es ciudadano de los Estados Unidos, se le advierte que una convicción por el</w:t>
      </w:r>
      <w:r>
        <w:rPr>
          <w:rFonts w:eastAsia="Times New Roman" w:cs="Times New Roman"/>
          <w:szCs w:val="20"/>
          <w:lang w:val="es-ES"/>
        </w:rPr>
        <w:t xml:space="preserve"> </w:t>
      </w:r>
      <w:r w:rsidRPr="002C2A0B">
        <w:rPr>
          <w:rFonts w:eastAsia="Times New Roman" w:cs="Times New Roman"/>
          <w:szCs w:val="20"/>
          <w:lang w:val="es-ES"/>
        </w:rPr>
        <w:t xml:space="preserve">delito por el cual se le acusa puede traer como consecuencia la deportación, la </w:t>
      </w:r>
      <w:r w:rsidRPr="002C2A0B">
        <w:rPr>
          <w:rFonts w:eastAsia="Times New Roman" w:cs="Times New Roman"/>
          <w:szCs w:val="20"/>
          <w:lang w:val="es-ES"/>
        </w:rPr>
        <w:lastRenderedPageBreak/>
        <w:t>exclusión de</w:t>
      </w:r>
      <w:r>
        <w:rPr>
          <w:rFonts w:eastAsia="Times New Roman" w:cs="Times New Roman"/>
          <w:szCs w:val="20"/>
          <w:lang w:val="es-ES"/>
        </w:rPr>
        <w:t xml:space="preserve"> </w:t>
      </w:r>
      <w:r w:rsidRPr="002C2A0B">
        <w:rPr>
          <w:rFonts w:eastAsia="Times New Roman" w:cs="Times New Roman"/>
          <w:szCs w:val="20"/>
          <w:lang w:val="es-ES"/>
        </w:rPr>
        <w:t>admisión a los Estados Unidos o la denegación de naturalización conforme a las leyes de los</w:t>
      </w:r>
      <w:r>
        <w:rPr>
          <w:rFonts w:eastAsia="Times New Roman" w:cs="Times New Roman"/>
          <w:szCs w:val="20"/>
          <w:lang w:val="es-ES"/>
        </w:rPr>
        <w:t xml:space="preserve"> </w:t>
      </w:r>
      <w:r w:rsidRPr="002C2A0B">
        <w:rPr>
          <w:rFonts w:eastAsia="Times New Roman" w:cs="Times New Roman"/>
          <w:szCs w:val="20"/>
          <w:lang w:val="es-ES"/>
        </w:rPr>
        <w:t>Estados Unidos.”</w:t>
      </w:r>
    </w:p>
    <w:p w14:paraId="597E2C9F" w14:textId="6597FA6D"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De ser solicitado, el tribunal concederá al imputado un tiempo adicional para considerar si la</w:t>
      </w:r>
      <w:r>
        <w:rPr>
          <w:rFonts w:eastAsia="Times New Roman" w:cs="Times New Roman"/>
          <w:szCs w:val="20"/>
          <w:lang w:val="es-ES"/>
        </w:rPr>
        <w:t xml:space="preserve"> </w:t>
      </w:r>
      <w:r w:rsidRPr="002C2A0B">
        <w:rPr>
          <w:rFonts w:eastAsia="Times New Roman" w:cs="Times New Roman"/>
          <w:szCs w:val="20"/>
          <w:lang w:val="es-ES"/>
        </w:rPr>
        <w:t xml:space="preserve">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la acción adecuada a la luz de la advertencia descrita en esta regla.</w:t>
      </w:r>
    </w:p>
    <w:p w14:paraId="23148126" w14:textId="70C91A62"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Toda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en una causa en la que se impute la venta, posesión, transporte,</w:t>
      </w:r>
      <w:r>
        <w:rPr>
          <w:rFonts w:eastAsia="Times New Roman" w:cs="Times New Roman"/>
          <w:szCs w:val="20"/>
          <w:lang w:val="es-ES"/>
        </w:rPr>
        <w:t xml:space="preserve"> </w:t>
      </w:r>
      <w:r w:rsidRPr="002C2A0B">
        <w:rPr>
          <w:rFonts w:eastAsia="Times New Roman" w:cs="Times New Roman"/>
          <w:szCs w:val="20"/>
          <w:lang w:val="es-ES"/>
        </w:rPr>
        <w:t>portación o uso ilegal de un arma de fuego, según establecido en los Artículos 6.05 o 6.14 de la</w:t>
      </w:r>
      <w:r>
        <w:rPr>
          <w:rFonts w:eastAsia="Times New Roman" w:cs="Times New Roman"/>
          <w:szCs w:val="20"/>
          <w:lang w:val="es-ES"/>
        </w:rPr>
        <w:t xml:space="preserve"> </w:t>
      </w:r>
      <w:r w:rsidRPr="002C2A0B">
        <w:rPr>
          <w:rFonts w:eastAsia="Times New Roman" w:cs="Times New Roman"/>
          <w:szCs w:val="20"/>
          <w:lang w:val="es-ES"/>
        </w:rPr>
        <w:t>Ley 168-2019, según enmendada, conocida como la “Ley de Armas de Puerto Rico”, o sus</w:t>
      </w:r>
      <w:r>
        <w:rPr>
          <w:rFonts w:eastAsia="Times New Roman" w:cs="Times New Roman"/>
          <w:szCs w:val="20"/>
          <w:lang w:val="es-ES"/>
        </w:rPr>
        <w:t xml:space="preserve"> </w:t>
      </w:r>
      <w:r w:rsidRPr="002C2A0B">
        <w:rPr>
          <w:rFonts w:eastAsia="Times New Roman" w:cs="Times New Roman"/>
          <w:szCs w:val="20"/>
          <w:lang w:val="es-ES"/>
        </w:rPr>
        <w:t>versiones subsiguientes, deberá conllevar para el imputado o acusado una pena de reclusión de al</w:t>
      </w:r>
      <w:r>
        <w:rPr>
          <w:rFonts w:eastAsia="Times New Roman" w:cs="Times New Roman"/>
          <w:szCs w:val="20"/>
          <w:lang w:val="es-ES"/>
        </w:rPr>
        <w:t xml:space="preserve"> </w:t>
      </w:r>
      <w:r w:rsidRPr="002C2A0B">
        <w:rPr>
          <w:rFonts w:eastAsia="Times New Roman" w:cs="Times New Roman"/>
          <w:szCs w:val="20"/>
          <w:lang w:val="es-ES"/>
        </w:rPr>
        <w:t>menos dos (2) años, cuando la pena de reclusión estatuida para la conducta imputada bajo dichos</w:t>
      </w:r>
      <w:r>
        <w:rPr>
          <w:rFonts w:eastAsia="Times New Roman" w:cs="Times New Roman"/>
          <w:szCs w:val="20"/>
          <w:lang w:val="es-ES"/>
        </w:rPr>
        <w:t xml:space="preserve"> </w:t>
      </w:r>
      <w:r w:rsidRPr="002C2A0B">
        <w:rPr>
          <w:rFonts w:eastAsia="Times New Roman" w:cs="Times New Roman"/>
          <w:szCs w:val="20"/>
          <w:lang w:val="es-ES"/>
        </w:rPr>
        <w:t>Artículos sea mayor de dos (2) años. Cuando circunstancias extraordinarias relacionadas con el</w:t>
      </w:r>
      <w:r>
        <w:rPr>
          <w:rFonts w:eastAsia="Times New Roman" w:cs="Times New Roman"/>
          <w:szCs w:val="20"/>
          <w:lang w:val="es-ES"/>
        </w:rPr>
        <w:t xml:space="preserve"> </w:t>
      </w:r>
      <w:r w:rsidRPr="002C2A0B">
        <w:rPr>
          <w:rFonts w:eastAsia="Times New Roman" w:cs="Times New Roman"/>
          <w:szCs w:val="20"/>
          <w:lang w:val="es-ES"/>
        </w:rPr>
        <w:t xml:space="preserve">proceso judicial así lo requieran, el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tendrá la facultad para autorizar por</w:t>
      </w:r>
      <w:r>
        <w:rPr>
          <w:rFonts w:eastAsia="Times New Roman" w:cs="Times New Roman"/>
          <w:szCs w:val="20"/>
          <w:lang w:val="es-ES"/>
        </w:rPr>
        <w:t xml:space="preserve"> </w:t>
      </w:r>
      <w:r w:rsidRPr="002C2A0B">
        <w:rPr>
          <w:rFonts w:eastAsia="Times New Roman" w:cs="Times New Roman"/>
          <w:szCs w:val="20"/>
          <w:lang w:val="es-ES"/>
        </w:rPr>
        <w:t xml:space="preserve">escrito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que incluya una pena de reclusión menor de dos (2) años. El</w:t>
      </w:r>
      <w:r>
        <w:rPr>
          <w:rFonts w:eastAsia="Times New Roman" w:cs="Times New Roman"/>
          <w:szCs w:val="20"/>
          <w:lang w:val="es-ES"/>
        </w:rPr>
        <w:t xml:space="preserve">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podrá delegar esta facultad en el Subsecretario de Justicia o en el </w:t>
      </w:r>
      <w:proofErr w:type="gramStart"/>
      <w:r w:rsidRPr="002C2A0B">
        <w:rPr>
          <w:rFonts w:eastAsia="Times New Roman" w:cs="Times New Roman"/>
          <w:szCs w:val="20"/>
          <w:lang w:val="es-ES"/>
        </w:rPr>
        <w:t>Jefe</w:t>
      </w:r>
      <w:proofErr w:type="gramEnd"/>
      <w:r w:rsidRPr="002C2A0B">
        <w:rPr>
          <w:rFonts w:eastAsia="Times New Roman" w:cs="Times New Roman"/>
          <w:szCs w:val="20"/>
          <w:lang w:val="es-ES"/>
        </w:rPr>
        <w:t xml:space="preserve"> de los</w:t>
      </w:r>
      <w:r>
        <w:rPr>
          <w:rFonts w:eastAsia="Times New Roman" w:cs="Times New Roman"/>
          <w:szCs w:val="20"/>
          <w:lang w:val="es-ES"/>
        </w:rPr>
        <w:t xml:space="preserve"> </w:t>
      </w:r>
      <w:r w:rsidRPr="002C2A0B">
        <w:rPr>
          <w:rFonts w:eastAsia="Times New Roman" w:cs="Times New Roman"/>
          <w:szCs w:val="20"/>
          <w:lang w:val="es-ES"/>
        </w:rPr>
        <w:t>Fiscales.</w:t>
      </w:r>
    </w:p>
    <w:p w14:paraId="6B0D1A6C" w14:textId="7C3C526A" w:rsid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No podrá acogerse al sistema de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ninguna persona a quien se le</w:t>
      </w:r>
      <w:r>
        <w:rPr>
          <w:rFonts w:eastAsia="Times New Roman" w:cs="Times New Roman"/>
          <w:szCs w:val="20"/>
          <w:lang w:val="es-ES"/>
        </w:rPr>
        <w:t xml:space="preserve"> </w:t>
      </w:r>
      <w:r w:rsidRPr="002C2A0B">
        <w:rPr>
          <w:rFonts w:eastAsia="Times New Roman" w:cs="Times New Roman"/>
          <w:szCs w:val="20"/>
          <w:lang w:val="es-ES"/>
        </w:rPr>
        <w:t xml:space="preserve">impute la violación a los incisos (a) y (b) del Artículo 405 </w:t>
      </w:r>
      <w:proofErr w:type="spellStart"/>
      <w:r w:rsidRPr="002C2A0B">
        <w:rPr>
          <w:rFonts w:eastAsia="Times New Roman" w:cs="Times New Roman"/>
          <w:szCs w:val="20"/>
          <w:lang w:val="es-ES"/>
        </w:rPr>
        <w:t>ó</w:t>
      </w:r>
      <w:proofErr w:type="spellEnd"/>
      <w:r w:rsidRPr="002C2A0B">
        <w:rPr>
          <w:rFonts w:eastAsia="Times New Roman" w:cs="Times New Roman"/>
          <w:szCs w:val="20"/>
          <w:lang w:val="es-ES"/>
        </w:rPr>
        <w:t xml:space="preserve"> del Artículo 411A de la Ley Núm. 4</w:t>
      </w:r>
      <w:r>
        <w:rPr>
          <w:rFonts w:eastAsia="Times New Roman" w:cs="Times New Roman"/>
          <w:szCs w:val="20"/>
          <w:lang w:val="es-ES"/>
        </w:rPr>
        <w:t xml:space="preserve"> </w:t>
      </w:r>
      <w:r w:rsidRPr="002C2A0B">
        <w:rPr>
          <w:rFonts w:eastAsia="Times New Roman" w:cs="Times New Roman"/>
          <w:szCs w:val="20"/>
          <w:lang w:val="es-ES"/>
        </w:rPr>
        <w:t>de 23 de junio de 1971, según enmendada, conocida como la Ley de Sustancias Controladas de</w:t>
      </w:r>
      <w:r>
        <w:rPr>
          <w:rFonts w:eastAsia="Times New Roman" w:cs="Times New Roman"/>
          <w:szCs w:val="20"/>
          <w:lang w:val="es-ES"/>
        </w:rPr>
        <w:t xml:space="preserve"> </w:t>
      </w:r>
      <w:r w:rsidRPr="002C2A0B">
        <w:rPr>
          <w:rFonts w:eastAsia="Times New Roman" w:cs="Times New Roman"/>
          <w:szCs w:val="20"/>
          <w:lang w:val="es-ES"/>
        </w:rPr>
        <w:t>Puerto Rico.</w:t>
      </w:r>
    </w:p>
    <w:p w14:paraId="204870F0" w14:textId="74AE72C1" w:rsidR="00885C65" w:rsidRPr="00FA7B75" w:rsidRDefault="00FA7B75" w:rsidP="00FA7B75">
      <w:pPr>
        <w:spacing w:line="480" w:lineRule="auto"/>
        <w:ind w:firstLine="720"/>
        <w:jc w:val="both"/>
        <w:rPr>
          <w:rFonts w:eastAsia="Times New Roman" w:cs="Times New Roman"/>
          <w:szCs w:val="20"/>
          <w:lang w:val="es-ES_tradnl"/>
        </w:rPr>
      </w:pPr>
      <w:r w:rsidRPr="00FA7B75">
        <w:rPr>
          <w:rFonts w:eastAsia="Times New Roman" w:cs="Times New Roman"/>
          <w:szCs w:val="20"/>
          <w:lang w:val="es-ES"/>
        </w:rPr>
        <w:t>Artículo 4.-</w:t>
      </w:r>
      <w:r w:rsidRPr="00FA7B75">
        <w:rPr>
          <w:rFonts w:eastAsia="Times New Roman" w:cs="Times New Roman"/>
          <w:szCs w:val="20"/>
          <w:lang w:val="es-ES_tradnl"/>
        </w:rPr>
        <w:t>Esta Ley comenzará a regir inmediatamente después de su aprobación.</w:t>
      </w:r>
    </w:p>
    <w:sectPr w:rsidR="00885C65" w:rsidRPr="00FA7B75" w:rsidSect="00FA7B7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EC2F" w14:textId="77777777" w:rsidR="00D8177D" w:rsidRPr="00120574" w:rsidRDefault="00D8177D">
      <w:r w:rsidRPr="00120574">
        <w:separator/>
      </w:r>
    </w:p>
  </w:endnote>
  <w:endnote w:type="continuationSeparator" w:id="0">
    <w:p w14:paraId="1B523246" w14:textId="77777777" w:rsidR="00D8177D" w:rsidRPr="00120574" w:rsidRDefault="00D8177D">
      <w:r w:rsidRPr="001205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A2F8E" w14:textId="77777777" w:rsidR="00D8177D" w:rsidRPr="00120574" w:rsidRDefault="00D8177D">
      <w:r w:rsidRPr="00120574">
        <w:separator/>
      </w:r>
    </w:p>
  </w:footnote>
  <w:footnote w:type="continuationSeparator" w:id="0">
    <w:p w14:paraId="2A509F81" w14:textId="77777777" w:rsidR="00D8177D" w:rsidRPr="00120574" w:rsidRDefault="00D8177D">
      <w:r w:rsidRPr="001205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Pr="00120574" w:rsidRDefault="00F16E9B">
    <w:pPr>
      <w:pStyle w:val="Header"/>
      <w:jc w:val="center"/>
    </w:pPr>
    <w:r w:rsidRPr="00120574">
      <w:rPr>
        <w:rStyle w:val="PageNumber"/>
      </w:rPr>
      <w:fldChar w:fldCharType="begin"/>
    </w:r>
    <w:r w:rsidRPr="00120574">
      <w:rPr>
        <w:rStyle w:val="PageNumber"/>
      </w:rPr>
      <w:instrText xml:space="preserve"> PAGE </w:instrText>
    </w:r>
    <w:r w:rsidRPr="00120574">
      <w:rPr>
        <w:rStyle w:val="PageNumber"/>
      </w:rPr>
      <w:fldChar w:fldCharType="separate"/>
    </w:r>
    <w:r w:rsidR="00311039" w:rsidRPr="00120574">
      <w:rPr>
        <w:rStyle w:val="PageNumber"/>
      </w:rPr>
      <w:t>10</w:t>
    </w:r>
    <w:r w:rsidRPr="00120574">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C4E3A73"/>
    <w:multiLevelType w:val="hybridMultilevel"/>
    <w:tmpl w:val="D49631E8"/>
    <w:lvl w:ilvl="0" w:tplc="5B342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27650A"/>
    <w:multiLevelType w:val="multilevel"/>
    <w:tmpl w:val="0A6042DE"/>
    <w:lvl w:ilvl="0">
      <w:start w:val="1"/>
      <w:numFmt w:val="decimal"/>
      <w:lvlText w:val="%1."/>
      <w:lvlJc w:val="left"/>
      <w:pPr>
        <w:tabs>
          <w:tab w:val="num" w:pos="720"/>
        </w:tabs>
        <w:ind w:left="720" w:hanging="360"/>
      </w:pPr>
      <w:rPr>
        <w:rFonts w:ascii="Book Antiqua" w:eastAsiaTheme="minorHAnsi" w:hAnsi="Book Antiqu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502937610">
    <w:abstractNumId w:val="12"/>
  </w:num>
  <w:num w:numId="2" w16cid:durableId="1213542167">
    <w:abstractNumId w:val="17"/>
  </w:num>
  <w:num w:numId="3" w16cid:durableId="1289703495">
    <w:abstractNumId w:val="2"/>
  </w:num>
  <w:num w:numId="4" w16cid:durableId="1588536224">
    <w:abstractNumId w:val="1"/>
  </w:num>
  <w:num w:numId="5" w16cid:durableId="1813061066">
    <w:abstractNumId w:val="6"/>
  </w:num>
  <w:num w:numId="6" w16cid:durableId="749738844">
    <w:abstractNumId w:val="16"/>
  </w:num>
  <w:num w:numId="7" w16cid:durableId="1994134863">
    <w:abstractNumId w:val="10"/>
  </w:num>
  <w:num w:numId="8" w16cid:durableId="349994820">
    <w:abstractNumId w:val="9"/>
  </w:num>
  <w:num w:numId="9" w16cid:durableId="1210874520">
    <w:abstractNumId w:val="5"/>
  </w:num>
  <w:num w:numId="10" w16cid:durableId="1741632942">
    <w:abstractNumId w:val="15"/>
  </w:num>
  <w:num w:numId="11" w16cid:durableId="1723405871">
    <w:abstractNumId w:val="7"/>
  </w:num>
  <w:num w:numId="12" w16cid:durableId="1337146391">
    <w:abstractNumId w:val="3"/>
  </w:num>
  <w:num w:numId="13" w16cid:durableId="2032338964">
    <w:abstractNumId w:val="0"/>
  </w:num>
  <w:num w:numId="14" w16cid:durableId="1454324914">
    <w:abstractNumId w:val="13"/>
  </w:num>
  <w:num w:numId="15" w16cid:durableId="2081706373">
    <w:abstractNumId w:val="11"/>
  </w:num>
  <w:num w:numId="16" w16cid:durableId="1949776812">
    <w:abstractNumId w:val="4"/>
  </w:num>
  <w:num w:numId="17" w16cid:durableId="777875876">
    <w:abstractNumId w:val="14"/>
  </w:num>
  <w:num w:numId="18" w16cid:durableId="572282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13AC"/>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17E1"/>
    <w:rsid w:val="00061F45"/>
    <w:rsid w:val="000621E4"/>
    <w:rsid w:val="0006264E"/>
    <w:rsid w:val="00063733"/>
    <w:rsid w:val="00063D28"/>
    <w:rsid w:val="000646F7"/>
    <w:rsid w:val="00064A83"/>
    <w:rsid w:val="00065B21"/>
    <w:rsid w:val="0007145F"/>
    <w:rsid w:val="0007424F"/>
    <w:rsid w:val="000845BB"/>
    <w:rsid w:val="00087FA0"/>
    <w:rsid w:val="00095880"/>
    <w:rsid w:val="000A2DEC"/>
    <w:rsid w:val="000A54D6"/>
    <w:rsid w:val="000B57BA"/>
    <w:rsid w:val="000B5D2C"/>
    <w:rsid w:val="000B6CF9"/>
    <w:rsid w:val="000C17C8"/>
    <w:rsid w:val="000C1AF1"/>
    <w:rsid w:val="000C521D"/>
    <w:rsid w:val="000D1A3F"/>
    <w:rsid w:val="000D1B32"/>
    <w:rsid w:val="000D4983"/>
    <w:rsid w:val="000D67D5"/>
    <w:rsid w:val="000E5FBC"/>
    <w:rsid w:val="000F21B3"/>
    <w:rsid w:val="000F3438"/>
    <w:rsid w:val="000F3D10"/>
    <w:rsid w:val="000F4C55"/>
    <w:rsid w:val="000F4E3E"/>
    <w:rsid w:val="000F563A"/>
    <w:rsid w:val="000F6F36"/>
    <w:rsid w:val="000F74A6"/>
    <w:rsid w:val="000F7D26"/>
    <w:rsid w:val="000F7D48"/>
    <w:rsid w:val="000F7EAA"/>
    <w:rsid w:val="0010299F"/>
    <w:rsid w:val="00103ED9"/>
    <w:rsid w:val="0010443C"/>
    <w:rsid w:val="001054A9"/>
    <w:rsid w:val="001055A4"/>
    <w:rsid w:val="00110B5B"/>
    <w:rsid w:val="00111F6B"/>
    <w:rsid w:val="001141E0"/>
    <w:rsid w:val="001173DF"/>
    <w:rsid w:val="00120574"/>
    <w:rsid w:val="00121B22"/>
    <w:rsid w:val="001229D2"/>
    <w:rsid w:val="00124440"/>
    <w:rsid w:val="00125DDF"/>
    <w:rsid w:val="00133BEE"/>
    <w:rsid w:val="001361B8"/>
    <w:rsid w:val="00142502"/>
    <w:rsid w:val="001439C7"/>
    <w:rsid w:val="00144DB5"/>
    <w:rsid w:val="0014525F"/>
    <w:rsid w:val="00151360"/>
    <w:rsid w:val="001532A7"/>
    <w:rsid w:val="00153BF0"/>
    <w:rsid w:val="001544D8"/>
    <w:rsid w:val="00157B72"/>
    <w:rsid w:val="00160C28"/>
    <w:rsid w:val="001651C6"/>
    <w:rsid w:val="00170DBA"/>
    <w:rsid w:val="00175052"/>
    <w:rsid w:val="00176675"/>
    <w:rsid w:val="0018138B"/>
    <w:rsid w:val="00181869"/>
    <w:rsid w:val="001826F4"/>
    <w:rsid w:val="00183E47"/>
    <w:rsid w:val="001849D6"/>
    <w:rsid w:val="0018511A"/>
    <w:rsid w:val="00186B75"/>
    <w:rsid w:val="001870E8"/>
    <w:rsid w:val="00195F38"/>
    <w:rsid w:val="001A2601"/>
    <w:rsid w:val="001A4179"/>
    <w:rsid w:val="001A5B0F"/>
    <w:rsid w:val="001A6231"/>
    <w:rsid w:val="001B13D6"/>
    <w:rsid w:val="001B1D98"/>
    <w:rsid w:val="001B4370"/>
    <w:rsid w:val="001C14C0"/>
    <w:rsid w:val="001C318B"/>
    <w:rsid w:val="001C3551"/>
    <w:rsid w:val="001C5DAE"/>
    <w:rsid w:val="001D0209"/>
    <w:rsid w:val="001D1FE5"/>
    <w:rsid w:val="001D61CF"/>
    <w:rsid w:val="001D6706"/>
    <w:rsid w:val="001D7C95"/>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18CE"/>
    <w:rsid w:val="002505DD"/>
    <w:rsid w:val="00252CD5"/>
    <w:rsid w:val="00260B1F"/>
    <w:rsid w:val="00266844"/>
    <w:rsid w:val="002675D3"/>
    <w:rsid w:val="00270222"/>
    <w:rsid w:val="00273C38"/>
    <w:rsid w:val="002749AA"/>
    <w:rsid w:val="00287AB6"/>
    <w:rsid w:val="00287E9C"/>
    <w:rsid w:val="0029348C"/>
    <w:rsid w:val="002957A3"/>
    <w:rsid w:val="00295BDC"/>
    <w:rsid w:val="002A0C32"/>
    <w:rsid w:val="002A4990"/>
    <w:rsid w:val="002A756E"/>
    <w:rsid w:val="002A7659"/>
    <w:rsid w:val="002A7C32"/>
    <w:rsid w:val="002B13FE"/>
    <w:rsid w:val="002B3564"/>
    <w:rsid w:val="002B77F3"/>
    <w:rsid w:val="002C2A0B"/>
    <w:rsid w:val="002C557F"/>
    <w:rsid w:val="002D21CB"/>
    <w:rsid w:val="002D2E98"/>
    <w:rsid w:val="002D2F25"/>
    <w:rsid w:val="002D32D7"/>
    <w:rsid w:val="002D503F"/>
    <w:rsid w:val="002D5D09"/>
    <w:rsid w:val="002D61F7"/>
    <w:rsid w:val="002E1DD2"/>
    <w:rsid w:val="002E1E5F"/>
    <w:rsid w:val="002E3BA3"/>
    <w:rsid w:val="002E5A3F"/>
    <w:rsid w:val="002E5ED7"/>
    <w:rsid w:val="002F27EA"/>
    <w:rsid w:val="002F2802"/>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730"/>
    <w:rsid w:val="0034263C"/>
    <w:rsid w:val="00344178"/>
    <w:rsid w:val="0034420E"/>
    <w:rsid w:val="00346597"/>
    <w:rsid w:val="00351B69"/>
    <w:rsid w:val="00355289"/>
    <w:rsid w:val="003639C8"/>
    <w:rsid w:val="00363F03"/>
    <w:rsid w:val="00367237"/>
    <w:rsid w:val="00373E1F"/>
    <w:rsid w:val="00376674"/>
    <w:rsid w:val="00377352"/>
    <w:rsid w:val="00381625"/>
    <w:rsid w:val="00383209"/>
    <w:rsid w:val="00386779"/>
    <w:rsid w:val="00387C8C"/>
    <w:rsid w:val="00393E46"/>
    <w:rsid w:val="003A2F1D"/>
    <w:rsid w:val="003A5FA7"/>
    <w:rsid w:val="003A6772"/>
    <w:rsid w:val="003B20E4"/>
    <w:rsid w:val="003C175A"/>
    <w:rsid w:val="003C19D6"/>
    <w:rsid w:val="003C1F43"/>
    <w:rsid w:val="003C35C9"/>
    <w:rsid w:val="003C3686"/>
    <w:rsid w:val="003C4B5B"/>
    <w:rsid w:val="003C4EE3"/>
    <w:rsid w:val="003C73C3"/>
    <w:rsid w:val="003E0DA5"/>
    <w:rsid w:val="003E37A6"/>
    <w:rsid w:val="003E4808"/>
    <w:rsid w:val="003E4D4E"/>
    <w:rsid w:val="003F7BB5"/>
    <w:rsid w:val="004006CC"/>
    <w:rsid w:val="00400AC1"/>
    <w:rsid w:val="004018FA"/>
    <w:rsid w:val="00401BB9"/>
    <w:rsid w:val="0040574A"/>
    <w:rsid w:val="0041258E"/>
    <w:rsid w:val="00412F0C"/>
    <w:rsid w:val="004131EB"/>
    <w:rsid w:val="0041356B"/>
    <w:rsid w:val="00414611"/>
    <w:rsid w:val="00415926"/>
    <w:rsid w:val="00420585"/>
    <w:rsid w:val="004221ED"/>
    <w:rsid w:val="0042262E"/>
    <w:rsid w:val="00430EDB"/>
    <w:rsid w:val="00431D24"/>
    <w:rsid w:val="0043268D"/>
    <w:rsid w:val="0043316D"/>
    <w:rsid w:val="00434B83"/>
    <w:rsid w:val="0044259B"/>
    <w:rsid w:val="004472EC"/>
    <w:rsid w:val="004473F4"/>
    <w:rsid w:val="004521CA"/>
    <w:rsid w:val="004534FA"/>
    <w:rsid w:val="00454965"/>
    <w:rsid w:val="00454A25"/>
    <w:rsid w:val="00454B50"/>
    <w:rsid w:val="00460735"/>
    <w:rsid w:val="00461815"/>
    <w:rsid w:val="00462D3B"/>
    <w:rsid w:val="00472B83"/>
    <w:rsid w:val="00474BC5"/>
    <w:rsid w:val="004764F3"/>
    <w:rsid w:val="00480756"/>
    <w:rsid w:val="004844EF"/>
    <w:rsid w:val="00494B70"/>
    <w:rsid w:val="0049601D"/>
    <w:rsid w:val="00497405"/>
    <w:rsid w:val="004A288E"/>
    <w:rsid w:val="004A2C7F"/>
    <w:rsid w:val="004A5987"/>
    <w:rsid w:val="004B084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5E4F"/>
    <w:rsid w:val="004F6C8A"/>
    <w:rsid w:val="0050319E"/>
    <w:rsid w:val="00511B13"/>
    <w:rsid w:val="005150B2"/>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AF"/>
    <w:rsid w:val="005613CA"/>
    <w:rsid w:val="0056437A"/>
    <w:rsid w:val="00565375"/>
    <w:rsid w:val="0056672F"/>
    <w:rsid w:val="005712AB"/>
    <w:rsid w:val="00576E28"/>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632"/>
    <w:rsid w:val="006438EC"/>
    <w:rsid w:val="006462CC"/>
    <w:rsid w:val="0065127A"/>
    <w:rsid w:val="00651AD3"/>
    <w:rsid w:val="006538F9"/>
    <w:rsid w:val="0065461C"/>
    <w:rsid w:val="00654870"/>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C21C3"/>
    <w:rsid w:val="006C2D51"/>
    <w:rsid w:val="006C6D17"/>
    <w:rsid w:val="006D09A1"/>
    <w:rsid w:val="006D5B5C"/>
    <w:rsid w:val="006D612D"/>
    <w:rsid w:val="006E0888"/>
    <w:rsid w:val="006E31AC"/>
    <w:rsid w:val="006E4572"/>
    <w:rsid w:val="006E45B0"/>
    <w:rsid w:val="006F7444"/>
    <w:rsid w:val="00702E99"/>
    <w:rsid w:val="007030F2"/>
    <w:rsid w:val="00705E30"/>
    <w:rsid w:val="00711BD4"/>
    <w:rsid w:val="007125A4"/>
    <w:rsid w:val="007129CF"/>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F56"/>
    <w:rsid w:val="00744AEB"/>
    <w:rsid w:val="00745B79"/>
    <w:rsid w:val="0074699A"/>
    <w:rsid w:val="007473DD"/>
    <w:rsid w:val="00754ECF"/>
    <w:rsid w:val="00755EAE"/>
    <w:rsid w:val="00756D2E"/>
    <w:rsid w:val="0076088B"/>
    <w:rsid w:val="007637EE"/>
    <w:rsid w:val="00764C3D"/>
    <w:rsid w:val="00775D48"/>
    <w:rsid w:val="0077685A"/>
    <w:rsid w:val="007771DF"/>
    <w:rsid w:val="007819A9"/>
    <w:rsid w:val="00783241"/>
    <w:rsid w:val="0078428E"/>
    <w:rsid w:val="00786584"/>
    <w:rsid w:val="00787746"/>
    <w:rsid w:val="00787BA8"/>
    <w:rsid w:val="007936F5"/>
    <w:rsid w:val="007944BF"/>
    <w:rsid w:val="00795627"/>
    <w:rsid w:val="007A157A"/>
    <w:rsid w:val="007A1E3D"/>
    <w:rsid w:val="007A2A45"/>
    <w:rsid w:val="007A2B79"/>
    <w:rsid w:val="007A5BA5"/>
    <w:rsid w:val="007B28E5"/>
    <w:rsid w:val="007B3890"/>
    <w:rsid w:val="007B5AB0"/>
    <w:rsid w:val="007B7788"/>
    <w:rsid w:val="007C3984"/>
    <w:rsid w:val="007C691F"/>
    <w:rsid w:val="007D07B3"/>
    <w:rsid w:val="007D482B"/>
    <w:rsid w:val="007E18BF"/>
    <w:rsid w:val="007E289A"/>
    <w:rsid w:val="007E37C4"/>
    <w:rsid w:val="007E39B5"/>
    <w:rsid w:val="007F097E"/>
    <w:rsid w:val="007F54D1"/>
    <w:rsid w:val="007F6069"/>
    <w:rsid w:val="00802048"/>
    <w:rsid w:val="00803D26"/>
    <w:rsid w:val="00810737"/>
    <w:rsid w:val="00811416"/>
    <w:rsid w:val="008176A6"/>
    <w:rsid w:val="00817CF1"/>
    <w:rsid w:val="00821054"/>
    <w:rsid w:val="00822C38"/>
    <w:rsid w:val="00830749"/>
    <w:rsid w:val="0083191E"/>
    <w:rsid w:val="00840DF9"/>
    <w:rsid w:val="00841573"/>
    <w:rsid w:val="00841881"/>
    <w:rsid w:val="00841C40"/>
    <w:rsid w:val="008434BF"/>
    <w:rsid w:val="00851DD7"/>
    <w:rsid w:val="00852EE0"/>
    <w:rsid w:val="00853F3A"/>
    <w:rsid w:val="0085670F"/>
    <w:rsid w:val="00860094"/>
    <w:rsid w:val="0086021C"/>
    <w:rsid w:val="00861252"/>
    <w:rsid w:val="00861F82"/>
    <w:rsid w:val="00864947"/>
    <w:rsid w:val="00864E0B"/>
    <w:rsid w:val="00866CC7"/>
    <w:rsid w:val="008719DE"/>
    <w:rsid w:val="008724D2"/>
    <w:rsid w:val="00872E55"/>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13E"/>
    <w:rsid w:val="008C54CD"/>
    <w:rsid w:val="008C5CF4"/>
    <w:rsid w:val="008C62EF"/>
    <w:rsid w:val="008D051B"/>
    <w:rsid w:val="008D0F52"/>
    <w:rsid w:val="008D10BA"/>
    <w:rsid w:val="008D593F"/>
    <w:rsid w:val="008E0DA3"/>
    <w:rsid w:val="008E2346"/>
    <w:rsid w:val="008E30CB"/>
    <w:rsid w:val="008E3F32"/>
    <w:rsid w:val="008E57CA"/>
    <w:rsid w:val="008F14D1"/>
    <w:rsid w:val="008F3584"/>
    <w:rsid w:val="008F35FC"/>
    <w:rsid w:val="008F4C72"/>
    <w:rsid w:val="008F5225"/>
    <w:rsid w:val="008F74CC"/>
    <w:rsid w:val="00900249"/>
    <w:rsid w:val="0090131B"/>
    <w:rsid w:val="00901D90"/>
    <w:rsid w:val="00905E13"/>
    <w:rsid w:val="00906B6E"/>
    <w:rsid w:val="00911AC3"/>
    <w:rsid w:val="00920BC1"/>
    <w:rsid w:val="009216AD"/>
    <w:rsid w:val="00923DA8"/>
    <w:rsid w:val="00926018"/>
    <w:rsid w:val="00927C46"/>
    <w:rsid w:val="009307A0"/>
    <w:rsid w:val="009375FB"/>
    <w:rsid w:val="00940C3B"/>
    <w:rsid w:val="009430AB"/>
    <w:rsid w:val="009457D2"/>
    <w:rsid w:val="00950CCB"/>
    <w:rsid w:val="00951F24"/>
    <w:rsid w:val="009622DF"/>
    <w:rsid w:val="009637D4"/>
    <w:rsid w:val="0096584D"/>
    <w:rsid w:val="0096674D"/>
    <w:rsid w:val="00967497"/>
    <w:rsid w:val="009767CE"/>
    <w:rsid w:val="00976D38"/>
    <w:rsid w:val="00977FF6"/>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589"/>
    <w:rsid w:val="009D0B3B"/>
    <w:rsid w:val="009E02CD"/>
    <w:rsid w:val="009E4B59"/>
    <w:rsid w:val="009E50A0"/>
    <w:rsid w:val="009E5217"/>
    <w:rsid w:val="009E7723"/>
    <w:rsid w:val="009E7B23"/>
    <w:rsid w:val="009F07E4"/>
    <w:rsid w:val="009F0EFC"/>
    <w:rsid w:val="009F149F"/>
    <w:rsid w:val="009F3633"/>
    <w:rsid w:val="009F5BDE"/>
    <w:rsid w:val="009F6F72"/>
    <w:rsid w:val="00A02051"/>
    <w:rsid w:val="00A020F5"/>
    <w:rsid w:val="00A036CD"/>
    <w:rsid w:val="00A03826"/>
    <w:rsid w:val="00A040F5"/>
    <w:rsid w:val="00A05B0D"/>
    <w:rsid w:val="00A07462"/>
    <w:rsid w:val="00A131C2"/>
    <w:rsid w:val="00A16831"/>
    <w:rsid w:val="00A21776"/>
    <w:rsid w:val="00A22D50"/>
    <w:rsid w:val="00A231E3"/>
    <w:rsid w:val="00A2351C"/>
    <w:rsid w:val="00A24030"/>
    <w:rsid w:val="00A275A9"/>
    <w:rsid w:val="00A339B5"/>
    <w:rsid w:val="00A35611"/>
    <w:rsid w:val="00A37C37"/>
    <w:rsid w:val="00A40E82"/>
    <w:rsid w:val="00A437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7460"/>
    <w:rsid w:val="00A80ADC"/>
    <w:rsid w:val="00A82C13"/>
    <w:rsid w:val="00A841EE"/>
    <w:rsid w:val="00A85971"/>
    <w:rsid w:val="00A917A6"/>
    <w:rsid w:val="00A941EF"/>
    <w:rsid w:val="00A95D4C"/>
    <w:rsid w:val="00A96511"/>
    <w:rsid w:val="00A97C69"/>
    <w:rsid w:val="00AA06E8"/>
    <w:rsid w:val="00AA4990"/>
    <w:rsid w:val="00AC538D"/>
    <w:rsid w:val="00AC6284"/>
    <w:rsid w:val="00AC6C18"/>
    <w:rsid w:val="00AD17BE"/>
    <w:rsid w:val="00AD1B27"/>
    <w:rsid w:val="00AD25DC"/>
    <w:rsid w:val="00AD349E"/>
    <w:rsid w:val="00AD45E9"/>
    <w:rsid w:val="00AD5D99"/>
    <w:rsid w:val="00AE2803"/>
    <w:rsid w:val="00AE3577"/>
    <w:rsid w:val="00AE496A"/>
    <w:rsid w:val="00AE4E1B"/>
    <w:rsid w:val="00AE5FD3"/>
    <w:rsid w:val="00AF05D2"/>
    <w:rsid w:val="00AF143E"/>
    <w:rsid w:val="00AF2BE5"/>
    <w:rsid w:val="00AF45A2"/>
    <w:rsid w:val="00AF6BE6"/>
    <w:rsid w:val="00AF7722"/>
    <w:rsid w:val="00B04151"/>
    <w:rsid w:val="00B06433"/>
    <w:rsid w:val="00B102A3"/>
    <w:rsid w:val="00B11149"/>
    <w:rsid w:val="00B11F6A"/>
    <w:rsid w:val="00B12821"/>
    <w:rsid w:val="00B13D2B"/>
    <w:rsid w:val="00B1434A"/>
    <w:rsid w:val="00B21CD9"/>
    <w:rsid w:val="00B24F63"/>
    <w:rsid w:val="00B26718"/>
    <w:rsid w:val="00B30D10"/>
    <w:rsid w:val="00B31A69"/>
    <w:rsid w:val="00B3306B"/>
    <w:rsid w:val="00B350BC"/>
    <w:rsid w:val="00B366DA"/>
    <w:rsid w:val="00B373AA"/>
    <w:rsid w:val="00B514AA"/>
    <w:rsid w:val="00B52687"/>
    <w:rsid w:val="00B567E2"/>
    <w:rsid w:val="00B60623"/>
    <w:rsid w:val="00B6281F"/>
    <w:rsid w:val="00B6666E"/>
    <w:rsid w:val="00B66D4A"/>
    <w:rsid w:val="00B67A7F"/>
    <w:rsid w:val="00B71BA2"/>
    <w:rsid w:val="00B7550A"/>
    <w:rsid w:val="00B7605D"/>
    <w:rsid w:val="00B76289"/>
    <w:rsid w:val="00B771BA"/>
    <w:rsid w:val="00B82AEA"/>
    <w:rsid w:val="00B86F1C"/>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EF1"/>
    <w:rsid w:val="00BD0219"/>
    <w:rsid w:val="00BD4488"/>
    <w:rsid w:val="00BD7370"/>
    <w:rsid w:val="00BE22AF"/>
    <w:rsid w:val="00BE2FE8"/>
    <w:rsid w:val="00BE5B00"/>
    <w:rsid w:val="00BE5BC4"/>
    <w:rsid w:val="00BE711B"/>
    <w:rsid w:val="00BE7C2C"/>
    <w:rsid w:val="00BF0467"/>
    <w:rsid w:val="00BF4D5F"/>
    <w:rsid w:val="00BF638B"/>
    <w:rsid w:val="00C019EC"/>
    <w:rsid w:val="00C04707"/>
    <w:rsid w:val="00C06CB6"/>
    <w:rsid w:val="00C077DF"/>
    <w:rsid w:val="00C10E9C"/>
    <w:rsid w:val="00C122D2"/>
    <w:rsid w:val="00C17141"/>
    <w:rsid w:val="00C22C4A"/>
    <w:rsid w:val="00C23E6D"/>
    <w:rsid w:val="00C24013"/>
    <w:rsid w:val="00C24204"/>
    <w:rsid w:val="00C25282"/>
    <w:rsid w:val="00C25411"/>
    <w:rsid w:val="00C340C8"/>
    <w:rsid w:val="00C35CF7"/>
    <w:rsid w:val="00C37E0D"/>
    <w:rsid w:val="00C408AE"/>
    <w:rsid w:val="00C44FEE"/>
    <w:rsid w:val="00C454C9"/>
    <w:rsid w:val="00C46B02"/>
    <w:rsid w:val="00C46BA8"/>
    <w:rsid w:val="00C477E9"/>
    <w:rsid w:val="00C609EE"/>
    <w:rsid w:val="00C64C4E"/>
    <w:rsid w:val="00C65DF9"/>
    <w:rsid w:val="00C85D70"/>
    <w:rsid w:val="00C863D7"/>
    <w:rsid w:val="00C9379B"/>
    <w:rsid w:val="00C95BB3"/>
    <w:rsid w:val="00CA2CD7"/>
    <w:rsid w:val="00CA63AE"/>
    <w:rsid w:val="00CA68EA"/>
    <w:rsid w:val="00CA7960"/>
    <w:rsid w:val="00CA7AB9"/>
    <w:rsid w:val="00CB2212"/>
    <w:rsid w:val="00CB2D22"/>
    <w:rsid w:val="00CB3876"/>
    <w:rsid w:val="00CB49A5"/>
    <w:rsid w:val="00CB5EC3"/>
    <w:rsid w:val="00CC5EA1"/>
    <w:rsid w:val="00CD0541"/>
    <w:rsid w:val="00CD06B6"/>
    <w:rsid w:val="00CD0A74"/>
    <w:rsid w:val="00CD12D6"/>
    <w:rsid w:val="00CD26D2"/>
    <w:rsid w:val="00CD4A86"/>
    <w:rsid w:val="00CD5E7A"/>
    <w:rsid w:val="00CE0F66"/>
    <w:rsid w:val="00CE2E18"/>
    <w:rsid w:val="00CE48F1"/>
    <w:rsid w:val="00CF200B"/>
    <w:rsid w:val="00CF6BAE"/>
    <w:rsid w:val="00D01500"/>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75F"/>
    <w:rsid w:val="00D34B84"/>
    <w:rsid w:val="00D37C43"/>
    <w:rsid w:val="00D461E2"/>
    <w:rsid w:val="00D5255E"/>
    <w:rsid w:val="00D525E2"/>
    <w:rsid w:val="00D5279B"/>
    <w:rsid w:val="00D52A9D"/>
    <w:rsid w:val="00D52B33"/>
    <w:rsid w:val="00D54D88"/>
    <w:rsid w:val="00D5504E"/>
    <w:rsid w:val="00D60FDC"/>
    <w:rsid w:val="00D61DAB"/>
    <w:rsid w:val="00D63EA4"/>
    <w:rsid w:val="00D6782A"/>
    <w:rsid w:val="00D7105E"/>
    <w:rsid w:val="00D711B4"/>
    <w:rsid w:val="00D736F1"/>
    <w:rsid w:val="00D77BAA"/>
    <w:rsid w:val="00D77C86"/>
    <w:rsid w:val="00D8177D"/>
    <w:rsid w:val="00D81B1C"/>
    <w:rsid w:val="00D83DD2"/>
    <w:rsid w:val="00D85D89"/>
    <w:rsid w:val="00D866A7"/>
    <w:rsid w:val="00D87290"/>
    <w:rsid w:val="00D97790"/>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D67"/>
    <w:rsid w:val="00DD2335"/>
    <w:rsid w:val="00DE5EAF"/>
    <w:rsid w:val="00DF2FD5"/>
    <w:rsid w:val="00DF602C"/>
    <w:rsid w:val="00DF6842"/>
    <w:rsid w:val="00E00D76"/>
    <w:rsid w:val="00E05EB5"/>
    <w:rsid w:val="00E07B7E"/>
    <w:rsid w:val="00E10AA1"/>
    <w:rsid w:val="00E10D33"/>
    <w:rsid w:val="00E12485"/>
    <w:rsid w:val="00E14208"/>
    <w:rsid w:val="00E14277"/>
    <w:rsid w:val="00E15D14"/>
    <w:rsid w:val="00E2124D"/>
    <w:rsid w:val="00E21ACE"/>
    <w:rsid w:val="00E246D7"/>
    <w:rsid w:val="00E2481C"/>
    <w:rsid w:val="00E33B1D"/>
    <w:rsid w:val="00E415F2"/>
    <w:rsid w:val="00E440D0"/>
    <w:rsid w:val="00E44FF8"/>
    <w:rsid w:val="00E50953"/>
    <w:rsid w:val="00E54A0D"/>
    <w:rsid w:val="00E56074"/>
    <w:rsid w:val="00E56F8F"/>
    <w:rsid w:val="00E57139"/>
    <w:rsid w:val="00E60F81"/>
    <w:rsid w:val="00E63007"/>
    <w:rsid w:val="00E66C8A"/>
    <w:rsid w:val="00E7302F"/>
    <w:rsid w:val="00E73641"/>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B3E"/>
    <w:rsid w:val="00F4025C"/>
    <w:rsid w:val="00F40516"/>
    <w:rsid w:val="00F41165"/>
    <w:rsid w:val="00F41DC3"/>
    <w:rsid w:val="00F42B65"/>
    <w:rsid w:val="00F44812"/>
    <w:rsid w:val="00F47F51"/>
    <w:rsid w:val="00F50666"/>
    <w:rsid w:val="00F57CB4"/>
    <w:rsid w:val="00F616B6"/>
    <w:rsid w:val="00F65158"/>
    <w:rsid w:val="00F65DCA"/>
    <w:rsid w:val="00F666A8"/>
    <w:rsid w:val="00F671F4"/>
    <w:rsid w:val="00F67379"/>
    <w:rsid w:val="00F71357"/>
    <w:rsid w:val="00F714C0"/>
    <w:rsid w:val="00F723EA"/>
    <w:rsid w:val="00F73CE6"/>
    <w:rsid w:val="00F74ACA"/>
    <w:rsid w:val="00F74F41"/>
    <w:rsid w:val="00F750C5"/>
    <w:rsid w:val="00F75F3B"/>
    <w:rsid w:val="00F76886"/>
    <w:rsid w:val="00F774FD"/>
    <w:rsid w:val="00F8409F"/>
    <w:rsid w:val="00F87765"/>
    <w:rsid w:val="00F91576"/>
    <w:rsid w:val="00F937C8"/>
    <w:rsid w:val="00F945B7"/>
    <w:rsid w:val="00F9648A"/>
    <w:rsid w:val="00F97214"/>
    <w:rsid w:val="00F97504"/>
    <w:rsid w:val="00F978C9"/>
    <w:rsid w:val="00FA1148"/>
    <w:rsid w:val="00FA114F"/>
    <w:rsid w:val="00FA1D23"/>
    <w:rsid w:val="00FA361B"/>
    <w:rsid w:val="00FA58C4"/>
    <w:rsid w:val="00FA7B75"/>
    <w:rsid w:val="00FB049B"/>
    <w:rsid w:val="00FB16AA"/>
    <w:rsid w:val="00FB2AE7"/>
    <w:rsid w:val="00FB3762"/>
    <w:rsid w:val="00FB454E"/>
    <w:rsid w:val="00FB6077"/>
    <w:rsid w:val="00FB737F"/>
    <w:rsid w:val="00FC62EE"/>
    <w:rsid w:val="00FC68BD"/>
    <w:rsid w:val="00FC7F7F"/>
    <w:rsid w:val="00FD05FF"/>
    <w:rsid w:val="00FD2DD4"/>
    <w:rsid w:val="00FD3064"/>
    <w:rsid w:val="00FD3D37"/>
    <w:rsid w:val="00FD619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1"/>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 w:type="paragraph" w:styleId="FootnoteText">
    <w:name w:val="footnote text"/>
    <w:basedOn w:val="Normal"/>
    <w:link w:val="FootnoteTextChar"/>
    <w:uiPriority w:val="99"/>
    <w:semiHidden/>
    <w:unhideWhenUsed/>
    <w:rsid w:val="00A21776"/>
    <w:rPr>
      <w:sz w:val="20"/>
      <w:szCs w:val="20"/>
    </w:rPr>
  </w:style>
  <w:style w:type="character" w:customStyle="1" w:styleId="FootnoteTextChar">
    <w:name w:val="Footnote Text Char"/>
    <w:basedOn w:val="DefaultParagraphFont"/>
    <w:link w:val="FootnoteText"/>
    <w:uiPriority w:val="99"/>
    <w:semiHidden/>
    <w:rsid w:val="00A21776"/>
    <w:rPr>
      <w:rFonts w:ascii="Book Antiqua" w:hAnsi="Book Antiqua"/>
      <w:sz w:val="20"/>
      <w:szCs w:val="20"/>
      <w:lang w:val="es-PR"/>
    </w:rPr>
  </w:style>
  <w:style w:type="character" w:styleId="FootnoteReference">
    <w:name w:val="footnote reference"/>
    <w:basedOn w:val="DefaultParagraphFont"/>
    <w:uiPriority w:val="99"/>
    <w:semiHidden/>
    <w:unhideWhenUsed/>
    <w:rsid w:val="00A21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16319">
      <w:bodyDiv w:val="1"/>
      <w:marLeft w:val="0"/>
      <w:marRight w:val="0"/>
      <w:marTop w:val="0"/>
      <w:marBottom w:val="0"/>
      <w:divBdr>
        <w:top w:val="none" w:sz="0" w:space="0" w:color="auto"/>
        <w:left w:val="none" w:sz="0" w:space="0" w:color="auto"/>
        <w:bottom w:val="none" w:sz="0" w:space="0" w:color="auto"/>
        <w:right w:val="none" w:sz="0" w:space="0" w:color="auto"/>
      </w:divBdr>
    </w:div>
    <w:div w:id="1176924903">
      <w:bodyDiv w:val="1"/>
      <w:marLeft w:val="0"/>
      <w:marRight w:val="0"/>
      <w:marTop w:val="0"/>
      <w:marBottom w:val="0"/>
      <w:divBdr>
        <w:top w:val="none" w:sz="0" w:space="0" w:color="auto"/>
        <w:left w:val="none" w:sz="0" w:space="0" w:color="auto"/>
        <w:bottom w:val="none" w:sz="0" w:space="0" w:color="auto"/>
        <w:right w:val="none" w:sz="0" w:space="0" w:color="auto"/>
      </w:divBdr>
    </w:div>
    <w:div w:id="1596743891">
      <w:bodyDiv w:val="1"/>
      <w:marLeft w:val="0"/>
      <w:marRight w:val="0"/>
      <w:marTop w:val="0"/>
      <w:marBottom w:val="0"/>
      <w:divBdr>
        <w:top w:val="none" w:sz="0" w:space="0" w:color="auto"/>
        <w:left w:val="none" w:sz="0" w:space="0" w:color="auto"/>
        <w:bottom w:val="none" w:sz="0" w:space="0" w:color="auto"/>
        <w:right w:val="none" w:sz="0" w:space="0" w:color="auto"/>
      </w:divBdr>
    </w:div>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 w:id="212121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47DEA-7AB5-46A1-BB42-DA126857F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3.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D. Quintero Gonzalez</dc:creator>
  <cp:keywords/>
  <dc:description/>
  <cp:lastModifiedBy>Gladys J. Burgos Torres</cp:lastModifiedBy>
  <cp:revision>4</cp:revision>
  <cp:lastPrinted>2025-05-27T20:15:00Z</cp:lastPrinted>
  <dcterms:created xsi:type="dcterms:W3CDTF">2025-05-27T19:37:00Z</dcterms:created>
  <dcterms:modified xsi:type="dcterms:W3CDTF">2025-05-29T14:03:00Z</dcterms:modified>
</cp:coreProperties>
</file>