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AB9F" w14:textId="77777777" w:rsidR="00943813" w:rsidRPr="00943813" w:rsidRDefault="00943813" w:rsidP="002637DB">
      <w:pPr>
        <w:suppressLineNumbers/>
        <w:tabs>
          <w:tab w:val="center" w:pos="4680"/>
        </w:tabs>
        <w:jc w:val="center"/>
        <w:rPr>
          <w:rFonts w:eastAsia="Times New Roman" w:cs="Times New Roman"/>
          <w:b/>
          <w:bCs/>
          <w:szCs w:val="24"/>
        </w:rPr>
      </w:pPr>
      <w:bookmarkStart w:id="0" w:name="_Hlk138253982"/>
      <w:r w:rsidRPr="00943813">
        <w:rPr>
          <w:rFonts w:eastAsia="Times New Roman" w:cs="Times New Roman"/>
          <w:b/>
          <w:bCs/>
          <w:szCs w:val="24"/>
        </w:rPr>
        <w:t>(TEXTO DE APROBACIÓN FINAL POR LA CÁMARA)</w:t>
      </w:r>
      <w:r w:rsidRPr="00943813">
        <w:rPr>
          <w:rFonts w:ascii="Times New Roman" w:eastAsia="Times New Roman" w:hAnsi="Times New Roman" w:cs="Times New Roman"/>
          <w:szCs w:val="20"/>
          <w:lang w:val="en-US"/>
        </w:rPr>
        <w:fldChar w:fldCharType="begin"/>
      </w:r>
      <w:r w:rsidRPr="00943813">
        <w:rPr>
          <w:rFonts w:eastAsia="Times New Roman" w:cs="Times New Roman"/>
          <w:b/>
          <w:bCs/>
          <w:szCs w:val="24"/>
        </w:rPr>
        <w:instrText xml:space="preserve">PRIVATE </w:instrText>
      </w:r>
      <w:r w:rsidRPr="00943813">
        <w:rPr>
          <w:rFonts w:ascii="Times New Roman" w:eastAsia="Times New Roman" w:hAnsi="Times New Roman" w:cs="Times New Roman"/>
          <w:szCs w:val="20"/>
          <w:lang w:val="en-US"/>
        </w:rPr>
        <w:fldChar w:fldCharType="end"/>
      </w:r>
    </w:p>
    <w:p w14:paraId="6602B346" w14:textId="77777777" w:rsidR="00943813" w:rsidRPr="00943813" w:rsidRDefault="00943813" w:rsidP="00943813">
      <w:pPr>
        <w:suppressLineNumbers/>
        <w:tabs>
          <w:tab w:val="center" w:pos="4680"/>
        </w:tabs>
        <w:jc w:val="center"/>
        <w:rPr>
          <w:rFonts w:eastAsia="Times New Roman" w:cs="Times New Roman"/>
          <w:b/>
          <w:bCs/>
          <w:szCs w:val="24"/>
        </w:rPr>
      </w:pPr>
      <w:r w:rsidRPr="00943813">
        <w:rPr>
          <w:rFonts w:eastAsia="Times New Roman" w:cs="Times New Roman"/>
          <w:b/>
          <w:bCs/>
          <w:szCs w:val="24"/>
        </w:rPr>
        <w:t>(25 DE AGOSTO DE 2025)</w:t>
      </w:r>
    </w:p>
    <w:p w14:paraId="10A46D55" w14:textId="77777777" w:rsidR="00943813" w:rsidRPr="00943813" w:rsidRDefault="00943813" w:rsidP="00943813">
      <w:pPr>
        <w:suppressLineNumbers/>
        <w:tabs>
          <w:tab w:val="center" w:pos="4680"/>
        </w:tabs>
        <w:jc w:val="center"/>
        <w:rPr>
          <w:rFonts w:eastAsia="Times New Roman" w:cs="Times New Roman"/>
          <w:b/>
          <w:bCs/>
          <w:szCs w:val="24"/>
          <w:lang w:val="es-ES_tradnl"/>
        </w:rPr>
      </w:pPr>
      <w:r w:rsidRPr="00943813">
        <w:rPr>
          <w:rFonts w:ascii="Times New Roman" w:eastAsia="Times New Roman" w:hAnsi="Times New Roman" w:cs="Times New Roman"/>
          <w:noProof/>
          <w:szCs w:val="20"/>
          <w:lang w:val="en-US"/>
        </w:rPr>
        <mc:AlternateContent>
          <mc:Choice Requires="wps">
            <w:drawing>
              <wp:anchor distT="0" distB="0" distL="114300" distR="114300" simplePos="0" relativeHeight="251659264" behindDoc="1" locked="0" layoutInCell="0" allowOverlap="1" wp14:anchorId="0F0314BF" wp14:editId="043FA61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EB66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03E3FBB" w14:textId="24576C05" w:rsidR="009C386A" w:rsidRPr="00120574" w:rsidRDefault="000F21B3" w:rsidP="009C386A">
      <w:pPr>
        <w:jc w:val="center"/>
        <w:rPr>
          <w:rFonts w:eastAsia="Times New Roman" w:cs="Times New Roman"/>
          <w:sz w:val="28"/>
          <w:szCs w:val="36"/>
        </w:rPr>
      </w:pPr>
      <w:r w:rsidRPr="00120574">
        <w:rPr>
          <w:rFonts w:eastAsia="Times New Roman" w:cs="Times New Roman"/>
          <w:sz w:val="28"/>
          <w:szCs w:val="36"/>
        </w:rPr>
        <w:t>GOBIERNO</w:t>
      </w:r>
      <w:r w:rsidR="007030F2" w:rsidRPr="00120574">
        <w:rPr>
          <w:rFonts w:eastAsia="Times New Roman" w:cs="Times New Roman"/>
          <w:sz w:val="28"/>
          <w:szCs w:val="36"/>
        </w:rPr>
        <w:t xml:space="preserve"> </w:t>
      </w:r>
      <w:r w:rsidR="009C386A" w:rsidRPr="00120574">
        <w:rPr>
          <w:rFonts w:eastAsia="Times New Roman" w:cs="Times New Roman"/>
          <w:sz w:val="28"/>
          <w:szCs w:val="36"/>
        </w:rPr>
        <w:t>DE PUERTO RICO</w:t>
      </w:r>
    </w:p>
    <w:p w14:paraId="5F1FB416" w14:textId="77777777" w:rsidR="009C386A" w:rsidRPr="00120574" w:rsidRDefault="009C386A" w:rsidP="009C386A">
      <w:pPr>
        <w:jc w:val="center"/>
        <w:rPr>
          <w:rFonts w:eastAsia="Times New Roman" w:cs="Times New Roman"/>
          <w:szCs w:val="20"/>
        </w:rPr>
      </w:pPr>
    </w:p>
    <w:p w14:paraId="5E4C90F3" w14:textId="5B607DC9" w:rsidR="009C386A" w:rsidRPr="001A6231" w:rsidRDefault="001A6231" w:rsidP="001A6231">
      <w:pPr>
        <w:rPr>
          <w:rFonts w:eastAsia="Times New Roman" w:cs="Times New Roman"/>
          <w:szCs w:val="20"/>
          <w:lang w:val="it-IT"/>
        </w:rPr>
      </w:pPr>
      <w:r w:rsidRPr="001A6231">
        <w:rPr>
          <w:rFonts w:eastAsia="Times New Roman" w:cs="Times New Roman"/>
          <w:szCs w:val="20"/>
          <w:lang w:val="it-IT"/>
        </w:rPr>
        <w:t>20ma.</w:t>
      </w:r>
      <w:r w:rsidR="009C386A" w:rsidRPr="001A6231">
        <w:rPr>
          <w:rFonts w:eastAsia="Times New Roman" w:cs="Times New Roman"/>
          <w:szCs w:val="20"/>
          <w:lang w:val="it-IT"/>
        </w:rPr>
        <w:t xml:space="preserve"> Asamblea</w:t>
      </w:r>
      <w:r w:rsidR="009C386A"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Pr>
          <w:rFonts w:eastAsia="Times New Roman" w:cs="Times New Roman"/>
          <w:szCs w:val="20"/>
          <w:lang w:val="it-IT"/>
        </w:rPr>
        <w:t xml:space="preserve">                       </w:t>
      </w:r>
      <w:r w:rsidRPr="001A6231">
        <w:rPr>
          <w:rFonts w:eastAsia="Times New Roman" w:cs="Times New Roman"/>
          <w:szCs w:val="20"/>
          <w:lang w:val="it-IT"/>
        </w:rPr>
        <w:t>1ra.</w:t>
      </w:r>
      <w:r w:rsidR="009C386A" w:rsidRPr="001A6231">
        <w:rPr>
          <w:rFonts w:eastAsia="Times New Roman" w:cs="Times New Roman"/>
          <w:szCs w:val="20"/>
          <w:lang w:val="it-IT"/>
        </w:rPr>
        <w:t xml:space="preserve"> Sesión</w:t>
      </w:r>
    </w:p>
    <w:p w14:paraId="3A6195C4" w14:textId="4879C92C" w:rsidR="009C386A" w:rsidRPr="001A6231" w:rsidRDefault="009C386A" w:rsidP="001A6231">
      <w:pPr>
        <w:rPr>
          <w:rFonts w:eastAsia="Times New Roman" w:cs="Times New Roman"/>
          <w:szCs w:val="20"/>
          <w:lang w:val="it-IT"/>
        </w:rPr>
      </w:pPr>
      <w:r w:rsidRPr="001A6231">
        <w:rPr>
          <w:rFonts w:eastAsia="Times New Roman" w:cs="Times New Roman"/>
          <w:szCs w:val="20"/>
          <w:lang w:val="it-IT"/>
        </w:rPr>
        <w:tab/>
        <w:t>Legislativa</w:t>
      </w:r>
      <w:r w:rsidRPr="001A6231">
        <w:rPr>
          <w:rFonts w:eastAsia="Times New Roman" w:cs="Times New Roman"/>
          <w:szCs w:val="20"/>
          <w:lang w:val="it-IT"/>
        </w:rPr>
        <w:tab/>
      </w:r>
      <w:r w:rsidRPr="001A6231">
        <w:rPr>
          <w:rFonts w:eastAsia="Times New Roman" w:cs="Times New Roman"/>
          <w:szCs w:val="20"/>
          <w:lang w:val="it-IT"/>
        </w:rPr>
        <w:tab/>
        <w:t xml:space="preserve">      </w:t>
      </w:r>
      <w:r w:rsidR="007030F2" w:rsidRPr="001A6231">
        <w:rPr>
          <w:rFonts w:eastAsia="Times New Roman" w:cs="Times New Roman"/>
          <w:szCs w:val="20"/>
          <w:lang w:val="it-IT"/>
        </w:rPr>
        <w:t xml:space="preserve">     </w:t>
      </w:r>
      <w:r w:rsidR="00D97790" w:rsidRPr="001A6231">
        <w:rPr>
          <w:rFonts w:eastAsia="Times New Roman" w:cs="Times New Roman"/>
          <w:szCs w:val="20"/>
          <w:lang w:val="it-IT"/>
        </w:rPr>
        <w:t xml:space="preserve">       </w:t>
      </w:r>
      <w:r w:rsidR="001A6231" w:rsidRPr="001A6231">
        <w:rPr>
          <w:rFonts w:eastAsia="Times New Roman" w:cs="Times New Roman"/>
          <w:szCs w:val="20"/>
          <w:lang w:val="it-IT"/>
        </w:rPr>
        <w:t xml:space="preserve">                                                             </w:t>
      </w:r>
      <w:r w:rsidR="001A6231">
        <w:rPr>
          <w:rFonts w:eastAsia="Times New Roman" w:cs="Times New Roman"/>
          <w:szCs w:val="20"/>
          <w:lang w:val="it-IT"/>
        </w:rPr>
        <w:t xml:space="preserve">           </w:t>
      </w:r>
      <w:r w:rsidR="007030F2" w:rsidRPr="001A6231">
        <w:rPr>
          <w:rFonts w:eastAsia="Times New Roman" w:cs="Times New Roman"/>
          <w:szCs w:val="20"/>
          <w:lang w:val="it-IT"/>
        </w:rPr>
        <w:t>O</w:t>
      </w:r>
      <w:r w:rsidRPr="001A6231">
        <w:rPr>
          <w:rFonts w:eastAsia="Times New Roman" w:cs="Times New Roman"/>
          <w:szCs w:val="20"/>
          <w:lang w:val="it-IT"/>
        </w:rPr>
        <w:t>rdinaria</w:t>
      </w:r>
    </w:p>
    <w:p w14:paraId="4CBB51BA" w14:textId="77777777" w:rsidR="009C386A" w:rsidRPr="001A6231" w:rsidRDefault="009C386A" w:rsidP="009C386A">
      <w:pPr>
        <w:rPr>
          <w:rFonts w:eastAsia="Times New Roman" w:cs="Times New Roman"/>
          <w:szCs w:val="20"/>
          <w:lang w:val="it-IT"/>
        </w:rPr>
      </w:pPr>
    </w:p>
    <w:p w14:paraId="493B1806" w14:textId="69A834EB" w:rsidR="009C386A" w:rsidRPr="00120574" w:rsidRDefault="00617E5F" w:rsidP="009C386A">
      <w:pPr>
        <w:widowControl w:val="0"/>
        <w:suppressLineNumbers/>
        <w:jc w:val="center"/>
        <w:rPr>
          <w:rFonts w:eastAsia="Book Antiqua" w:cs="Times New Roman"/>
          <w:b/>
          <w:sz w:val="36"/>
          <w:szCs w:val="24"/>
        </w:rPr>
      </w:pPr>
      <w:r w:rsidRPr="00120574">
        <w:rPr>
          <w:rFonts w:eastAsia="Times New Roman" w:cs="Times New Roman"/>
          <w:b/>
          <w:sz w:val="36"/>
          <w:szCs w:val="24"/>
        </w:rPr>
        <w:t>CÁMARA DE REPRESENTANTES</w:t>
      </w:r>
    </w:p>
    <w:p w14:paraId="7B1574A5" w14:textId="77777777" w:rsidR="009C386A" w:rsidRPr="00120574" w:rsidRDefault="009C386A" w:rsidP="009C386A">
      <w:pPr>
        <w:widowControl w:val="0"/>
        <w:suppressLineNumbers/>
        <w:jc w:val="center"/>
        <w:rPr>
          <w:rFonts w:eastAsia="Book Antiqua" w:cs="Book Antiqua"/>
          <w:szCs w:val="24"/>
        </w:rPr>
      </w:pPr>
    </w:p>
    <w:p w14:paraId="0128CF50" w14:textId="50154DBF" w:rsidR="009C386A" w:rsidRPr="00120574" w:rsidRDefault="009C386A" w:rsidP="009C386A">
      <w:pPr>
        <w:widowControl w:val="0"/>
        <w:suppressLineNumbers/>
        <w:jc w:val="center"/>
        <w:rPr>
          <w:rFonts w:eastAsia="Book Antiqua" w:cs="Times New Roman"/>
          <w:b/>
          <w:sz w:val="52"/>
          <w:szCs w:val="24"/>
        </w:rPr>
      </w:pPr>
      <w:r w:rsidRPr="00120574">
        <w:rPr>
          <w:rFonts w:eastAsia="Times New Roman" w:cs="Times New Roman"/>
          <w:b/>
          <w:sz w:val="52"/>
          <w:szCs w:val="24"/>
        </w:rPr>
        <w:t>P. de</w:t>
      </w:r>
      <w:r w:rsidR="00617E5F" w:rsidRPr="00120574">
        <w:rPr>
          <w:rFonts w:eastAsia="Times New Roman" w:cs="Times New Roman"/>
          <w:b/>
          <w:sz w:val="52"/>
          <w:szCs w:val="24"/>
        </w:rPr>
        <w:t xml:space="preserve"> la C</w:t>
      </w:r>
      <w:r w:rsidRPr="00120574">
        <w:rPr>
          <w:rFonts w:eastAsia="Times New Roman" w:cs="Times New Roman"/>
          <w:b/>
          <w:sz w:val="52"/>
          <w:szCs w:val="24"/>
        </w:rPr>
        <w:t>.</w:t>
      </w:r>
      <w:r w:rsidR="005F3484" w:rsidRPr="00120574">
        <w:rPr>
          <w:rFonts w:eastAsia="Times New Roman" w:cs="Times New Roman"/>
          <w:b/>
          <w:sz w:val="52"/>
          <w:szCs w:val="24"/>
        </w:rPr>
        <w:t xml:space="preserve"> </w:t>
      </w:r>
      <w:r w:rsidR="00103ED9">
        <w:rPr>
          <w:rFonts w:eastAsia="Times New Roman" w:cs="Times New Roman"/>
          <w:b/>
          <w:sz w:val="52"/>
          <w:szCs w:val="24"/>
        </w:rPr>
        <w:t>698</w:t>
      </w:r>
    </w:p>
    <w:p w14:paraId="15A5DCCC" w14:textId="77777777" w:rsidR="009C386A" w:rsidRPr="00120574" w:rsidRDefault="009C386A" w:rsidP="009C386A">
      <w:pPr>
        <w:widowControl w:val="0"/>
        <w:suppressLineNumbers/>
        <w:jc w:val="center"/>
        <w:rPr>
          <w:rFonts w:eastAsia="Book Antiqua" w:cs="Book Antiqua"/>
          <w:szCs w:val="24"/>
        </w:rPr>
      </w:pPr>
    </w:p>
    <w:p w14:paraId="17144273" w14:textId="55E963F9" w:rsidR="009C386A" w:rsidRPr="00120574" w:rsidRDefault="00F8409F" w:rsidP="009C386A">
      <w:pPr>
        <w:widowControl w:val="0"/>
        <w:suppressLineNumbers/>
        <w:tabs>
          <w:tab w:val="left" w:pos="8186"/>
        </w:tabs>
        <w:jc w:val="center"/>
        <w:rPr>
          <w:rFonts w:eastAsia="Book Antiqua" w:cs="Book Antiqua"/>
          <w:szCs w:val="24"/>
        </w:rPr>
      </w:pPr>
      <w:r w:rsidRPr="00120574">
        <w:rPr>
          <w:rFonts w:eastAsia="Times New Roman" w:cs="Times New Roman"/>
          <w:szCs w:val="24"/>
        </w:rPr>
        <w:t xml:space="preserve"> </w:t>
      </w:r>
      <w:r w:rsidR="00B86F1C">
        <w:rPr>
          <w:rFonts w:eastAsia="Times New Roman" w:cs="Times New Roman"/>
          <w:szCs w:val="24"/>
        </w:rPr>
        <w:t xml:space="preserve">27 DE </w:t>
      </w:r>
      <w:r w:rsidR="00FD6197" w:rsidRPr="00120574">
        <w:rPr>
          <w:rFonts w:eastAsia="Times New Roman" w:cs="Times New Roman"/>
          <w:szCs w:val="24"/>
        </w:rPr>
        <w:t>MAYO</w:t>
      </w:r>
      <w:r w:rsidR="003E4D4E" w:rsidRPr="00120574">
        <w:rPr>
          <w:rFonts w:eastAsia="Times New Roman" w:cs="Times New Roman"/>
          <w:szCs w:val="24"/>
        </w:rPr>
        <w:t xml:space="preserve"> DE 202</w:t>
      </w:r>
      <w:r w:rsidR="00A339B5" w:rsidRPr="00120574">
        <w:rPr>
          <w:rFonts w:eastAsia="Times New Roman" w:cs="Times New Roman"/>
          <w:szCs w:val="24"/>
        </w:rPr>
        <w:t>5</w:t>
      </w:r>
    </w:p>
    <w:p w14:paraId="7F45E790" w14:textId="77777777" w:rsidR="009C386A" w:rsidRPr="00120574" w:rsidRDefault="009C386A" w:rsidP="009C386A">
      <w:pPr>
        <w:widowControl w:val="0"/>
        <w:suppressLineNumbers/>
        <w:jc w:val="center"/>
        <w:rPr>
          <w:rFonts w:eastAsia="Book Antiqua" w:cs="Book Antiqua"/>
          <w:i/>
          <w:iCs/>
          <w:szCs w:val="24"/>
        </w:rPr>
      </w:pPr>
    </w:p>
    <w:p w14:paraId="3F968BD9" w14:textId="12D9A5F9" w:rsidR="00E82AB3" w:rsidRPr="00120574" w:rsidRDefault="002E5A3F" w:rsidP="00E82AB3">
      <w:pPr>
        <w:suppressLineNumbers/>
        <w:ind w:left="720" w:hanging="720"/>
        <w:jc w:val="center"/>
        <w:rPr>
          <w:i/>
          <w:iCs/>
          <w:color w:val="1D2228"/>
          <w:szCs w:val="24"/>
          <w:shd w:val="clear" w:color="auto" w:fill="FFFFFF"/>
        </w:rPr>
      </w:pPr>
      <w:r w:rsidRPr="00120574">
        <w:rPr>
          <w:color w:val="1D2228"/>
          <w:szCs w:val="24"/>
          <w:shd w:val="clear" w:color="auto" w:fill="FFFFFF"/>
        </w:rPr>
        <w:t>Presentado por</w:t>
      </w:r>
      <w:r w:rsidR="00E82AB3" w:rsidRPr="00120574">
        <w:rPr>
          <w:color w:val="1D2228"/>
          <w:szCs w:val="24"/>
          <w:shd w:val="clear" w:color="auto" w:fill="FFFFFF"/>
        </w:rPr>
        <w:t xml:space="preserve"> el representante </w:t>
      </w:r>
      <w:r w:rsidR="00FD6197" w:rsidRPr="00120574">
        <w:rPr>
          <w:i/>
          <w:iCs/>
          <w:color w:val="1D2228"/>
          <w:szCs w:val="24"/>
          <w:shd w:val="clear" w:color="auto" w:fill="FFFFFF"/>
        </w:rPr>
        <w:t>Peña Ramírez</w:t>
      </w:r>
    </w:p>
    <w:p w14:paraId="75D1135C" w14:textId="77777777" w:rsidR="00FD05FF" w:rsidRPr="00120574" w:rsidRDefault="00FD05FF" w:rsidP="008B246E">
      <w:pPr>
        <w:suppressLineNumbers/>
        <w:ind w:left="720" w:hanging="720"/>
        <w:jc w:val="center"/>
        <w:rPr>
          <w:rFonts w:eastAsia="Times New Roman" w:cs="Times New Roman"/>
          <w:szCs w:val="20"/>
        </w:rPr>
      </w:pPr>
    </w:p>
    <w:p w14:paraId="2BE12B0F" w14:textId="4F352EF7" w:rsidR="009C386A" w:rsidRPr="00120574" w:rsidRDefault="00B93BF3" w:rsidP="002E5A3F">
      <w:pPr>
        <w:suppressLineNumbers/>
        <w:ind w:left="720" w:hanging="720"/>
        <w:jc w:val="center"/>
        <w:rPr>
          <w:rFonts w:eastAsia="Times New Roman" w:cs="Times New Roman"/>
          <w:szCs w:val="20"/>
        </w:rPr>
      </w:pPr>
      <w:r w:rsidRPr="00120574">
        <w:rPr>
          <w:rFonts w:eastAsia="Times New Roman" w:cs="Times New Roman"/>
          <w:szCs w:val="20"/>
        </w:rPr>
        <w:t xml:space="preserve">Referido a </w:t>
      </w:r>
      <w:r w:rsidR="00AE3577" w:rsidRPr="00120574">
        <w:rPr>
          <w:rFonts w:cs="CG Times (W1)"/>
          <w:szCs w:val="24"/>
        </w:rPr>
        <w:t>la Comisión de</w:t>
      </w:r>
      <w:r w:rsidR="00FD6197" w:rsidRPr="00120574">
        <w:rPr>
          <w:rFonts w:cs="CG Times (W1)"/>
          <w:szCs w:val="24"/>
        </w:rPr>
        <w:t xml:space="preserve"> </w:t>
      </w:r>
      <w:r w:rsidR="00C24204">
        <w:rPr>
          <w:rFonts w:cs="CG Times (W1)"/>
          <w:szCs w:val="24"/>
        </w:rPr>
        <w:t>lo Jurídico</w:t>
      </w:r>
    </w:p>
    <w:p w14:paraId="4D33DEB4" w14:textId="59F38E35" w:rsidR="00ED5FD3" w:rsidRPr="00120574" w:rsidRDefault="00ED5FD3" w:rsidP="009C386A">
      <w:pPr>
        <w:jc w:val="center"/>
        <w:rPr>
          <w:rFonts w:eastAsia="Times New Roman" w:cs="Times New Roman"/>
          <w:b/>
          <w:sz w:val="28"/>
          <w:szCs w:val="20"/>
        </w:rPr>
      </w:pPr>
    </w:p>
    <w:p w14:paraId="783DA8A0" w14:textId="0A828BA5" w:rsidR="009C386A" w:rsidRPr="00120574" w:rsidRDefault="009C386A" w:rsidP="009C386A">
      <w:pPr>
        <w:jc w:val="center"/>
        <w:rPr>
          <w:rFonts w:eastAsia="Times New Roman" w:cs="Times New Roman"/>
          <w:b/>
          <w:sz w:val="28"/>
          <w:szCs w:val="20"/>
        </w:rPr>
      </w:pPr>
      <w:r w:rsidRPr="00120574">
        <w:rPr>
          <w:rFonts w:eastAsia="Times New Roman" w:cs="Times New Roman"/>
          <w:b/>
          <w:sz w:val="28"/>
          <w:szCs w:val="20"/>
        </w:rPr>
        <w:t>LEY</w:t>
      </w:r>
    </w:p>
    <w:p w14:paraId="707AFB95" w14:textId="77777777" w:rsidR="009C386A" w:rsidRPr="00120574" w:rsidRDefault="009C386A" w:rsidP="009C386A">
      <w:pPr>
        <w:jc w:val="both"/>
        <w:rPr>
          <w:rFonts w:eastAsia="Times New Roman" w:cs="Times New Roman"/>
          <w:szCs w:val="20"/>
        </w:rPr>
      </w:pPr>
    </w:p>
    <w:p w14:paraId="768A15FC" w14:textId="0F4F9211" w:rsidR="00CD0541" w:rsidRPr="008D6C3B" w:rsidRDefault="00CD0541" w:rsidP="00CD0541">
      <w:pPr>
        <w:ind w:left="720" w:hanging="720"/>
        <w:jc w:val="both"/>
        <w:rPr>
          <w:rFonts w:ascii="Mongolian Baiti" w:hAnsi="Mongolian Baiti" w:cs="Mongolian Baiti"/>
        </w:rPr>
      </w:pPr>
      <w:r w:rsidRPr="008D6C3B">
        <w:rPr>
          <w:szCs w:val="24"/>
        </w:rPr>
        <w:t>Para enmendar la</w:t>
      </w:r>
      <w:r w:rsidR="002F1792">
        <w:rPr>
          <w:szCs w:val="24"/>
        </w:rPr>
        <w:t>s</w:t>
      </w:r>
      <w:r w:rsidRPr="008D6C3B">
        <w:rPr>
          <w:szCs w:val="24"/>
        </w:rPr>
        <w:t xml:space="preserve"> Regla</w:t>
      </w:r>
      <w:r w:rsidR="002F1792">
        <w:rPr>
          <w:szCs w:val="24"/>
        </w:rPr>
        <w:t>s 72 y 247</w:t>
      </w:r>
      <w:r w:rsidRPr="008D6C3B">
        <w:rPr>
          <w:szCs w:val="24"/>
        </w:rPr>
        <w:t xml:space="preserve"> de las Reglas de Procedimiento Criminal de 1963, según enmendadas,</w:t>
      </w:r>
      <w:r w:rsidR="00D37C43" w:rsidRPr="008D6C3B">
        <w:t xml:space="preserve"> </w:t>
      </w:r>
      <w:r w:rsidR="00D37C43" w:rsidRPr="008D6C3B">
        <w:rPr>
          <w:szCs w:val="24"/>
        </w:rPr>
        <w:t xml:space="preserve">a los fines de establecer los criterios específicos que deberán considerarse por los Tribunales antes de decretar el sobreseimiento motu </w:t>
      </w:r>
      <w:r w:rsidR="00580DE3" w:rsidRPr="008D6C3B">
        <w:rPr>
          <w:szCs w:val="24"/>
        </w:rPr>
        <w:t xml:space="preserve">proprio </w:t>
      </w:r>
      <w:r w:rsidR="00D37C43" w:rsidRPr="008D6C3B">
        <w:rPr>
          <w:szCs w:val="24"/>
        </w:rPr>
        <w:t>de una denuncia o acusación</w:t>
      </w:r>
      <w:r w:rsidRPr="008D6C3B">
        <w:rPr>
          <w:szCs w:val="24"/>
        </w:rPr>
        <w:t xml:space="preserve">; </w:t>
      </w:r>
      <w:r w:rsidR="002F1792">
        <w:rPr>
          <w:szCs w:val="24"/>
        </w:rPr>
        <w:t>permitir</w:t>
      </w:r>
      <w:r w:rsidR="006B7EE5" w:rsidRPr="008D6C3B">
        <w:rPr>
          <w:szCs w:val="24"/>
        </w:rPr>
        <w:t xml:space="preserve"> por escrito a la víctima cualquier preacuerdo preliminar, y </w:t>
      </w:r>
      <w:r w:rsidR="002F1792">
        <w:rPr>
          <w:szCs w:val="24"/>
        </w:rPr>
        <w:t>permitir</w:t>
      </w:r>
      <w:r w:rsidR="006B7EE5" w:rsidRPr="008D6C3B">
        <w:rPr>
          <w:szCs w:val="24"/>
        </w:rPr>
        <w:t xml:space="preserve"> a la víctima expresarle al tribunal su postura sobre el acuerdo al que lleguen las partes</w:t>
      </w:r>
      <w:r w:rsidR="00F570AF" w:rsidRPr="008D6C3B">
        <w:rPr>
          <w:szCs w:val="24"/>
        </w:rPr>
        <w:t xml:space="preserve">; </w:t>
      </w:r>
      <w:r w:rsidRPr="008D6C3B">
        <w:rPr>
          <w:szCs w:val="24"/>
        </w:rPr>
        <w:t xml:space="preserve">y para otros fines relacionados. </w:t>
      </w:r>
    </w:p>
    <w:p w14:paraId="32A5472E" w14:textId="77777777" w:rsidR="00420585" w:rsidRPr="00120574" w:rsidRDefault="00420585" w:rsidP="00A44C28">
      <w:pPr>
        <w:ind w:left="720" w:hanging="720"/>
        <w:jc w:val="both"/>
        <w:rPr>
          <w:rFonts w:eastAsia="Book Antiqua" w:cs="Book Antiqua"/>
          <w:color w:val="000000" w:themeColor="text1"/>
          <w:szCs w:val="24"/>
        </w:rPr>
      </w:pPr>
    </w:p>
    <w:p w14:paraId="54472BD0" w14:textId="43D9DB15" w:rsidR="009B6886" w:rsidRPr="00120574" w:rsidRDefault="009C386A" w:rsidP="00EE0EFF">
      <w:pPr>
        <w:ind w:firstLine="360"/>
        <w:jc w:val="center"/>
        <w:rPr>
          <w:rFonts w:eastAsia="Times New Roman" w:cs="Times New Roman"/>
          <w:szCs w:val="20"/>
        </w:rPr>
      </w:pPr>
      <w:r w:rsidRPr="00120574">
        <w:rPr>
          <w:rFonts w:eastAsia="Times New Roman" w:cs="Times New Roman"/>
          <w:szCs w:val="20"/>
        </w:rPr>
        <w:t>EXPOSICIÓN DE MOTIVOS</w:t>
      </w:r>
    </w:p>
    <w:p w14:paraId="4E6C559B" w14:textId="77777777" w:rsidR="009B6886" w:rsidRPr="00120574" w:rsidRDefault="009B6886" w:rsidP="00A020F5">
      <w:pPr>
        <w:jc w:val="both"/>
        <w:rPr>
          <w:rFonts w:eastAsia="Times New Roman" w:cs="Times New Roman"/>
          <w:szCs w:val="20"/>
        </w:rPr>
      </w:pPr>
    </w:p>
    <w:p w14:paraId="4A57481A" w14:textId="0F2044F2" w:rsidR="0043316D" w:rsidRPr="008D6C3B" w:rsidRDefault="00982527" w:rsidP="001A6231">
      <w:pPr>
        <w:ind w:firstLine="720"/>
        <w:jc w:val="both"/>
      </w:pPr>
      <w:r w:rsidRPr="008D6C3B">
        <w:t xml:space="preserve">Las </w:t>
      </w:r>
      <w:r w:rsidR="0043316D" w:rsidRPr="008D6C3B">
        <w:t xml:space="preserve">herramientas procesales actuales no bastan para detener la escalada de violencia ni para </w:t>
      </w:r>
      <w:r w:rsidR="00076BB3" w:rsidRPr="008D6C3B">
        <w:t xml:space="preserve">garantizarles </w:t>
      </w:r>
      <w:r w:rsidR="0043316D" w:rsidRPr="008D6C3B">
        <w:t>a las víctimas una participación efectiva en las decisiones que afectan su seguridad y su derecho a justicia.</w:t>
      </w:r>
    </w:p>
    <w:p w14:paraId="074337D8" w14:textId="77777777" w:rsidR="001A6231" w:rsidRPr="008D6C3B" w:rsidRDefault="001A6231" w:rsidP="001A6231">
      <w:pPr>
        <w:ind w:firstLine="720"/>
        <w:jc w:val="both"/>
      </w:pPr>
    </w:p>
    <w:p w14:paraId="69D127B3" w14:textId="6ABAE3B8" w:rsidR="0043316D" w:rsidRPr="008D6C3B" w:rsidRDefault="0043316D" w:rsidP="001A6231">
      <w:pPr>
        <w:ind w:firstLine="720"/>
        <w:jc w:val="both"/>
      </w:pPr>
      <w:r w:rsidRPr="008D6C3B">
        <w:t xml:space="preserve">Resulta, por tanto, indispensable </w:t>
      </w:r>
      <w:r w:rsidRPr="008D6C3B">
        <w:rPr>
          <w:b/>
          <w:bCs/>
        </w:rPr>
        <w:t>reforzar las Reglas de Procedimiento Criminal</w:t>
      </w:r>
      <w:r w:rsidRPr="008D6C3B">
        <w:t xml:space="preserve"> de Puerto Rico para:</w:t>
      </w:r>
    </w:p>
    <w:p w14:paraId="2EB38962" w14:textId="77777777" w:rsidR="0043316D" w:rsidRPr="008D6C3B" w:rsidRDefault="0043316D" w:rsidP="001A6231">
      <w:pPr>
        <w:ind w:firstLine="720"/>
        <w:jc w:val="both"/>
      </w:pPr>
    </w:p>
    <w:p w14:paraId="78EB6CE2" w14:textId="4BED3908" w:rsidR="0043316D" w:rsidRPr="008D6C3B" w:rsidRDefault="0043316D" w:rsidP="001A6231">
      <w:pPr>
        <w:pStyle w:val="ListParagraph"/>
        <w:numPr>
          <w:ilvl w:val="0"/>
          <w:numId w:val="17"/>
        </w:numPr>
        <w:ind w:left="0" w:firstLine="720"/>
        <w:jc w:val="both"/>
      </w:pPr>
      <w:r w:rsidRPr="008D6C3B">
        <w:t>Uniformar los criterios de evaluación judicial antes de archivar la denuncia o acusaciones; o avalar acuerdos de culpabilidad.</w:t>
      </w:r>
    </w:p>
    <w:p w14:paraId="52A7F411" w14:textId="04F198FF" w:rsidR="0043316D" w:rsidRDefault="0043316D" w:rsidP="001A6231">
      <w:pPr>
        <w:numPr>
          <w:ilvl w:val="0"/>
          <w:numId w:val="17"/>
        </w:numPr>
        <w:ind w:left="0" w:firstLine="720"/>
        <w:jc w:val="both"/>
      </w:pPr>
      <w:r w:rsidRPr="0043316D">
        <w:t>Elevar a rango de ley el derecho de la víctima a ser oída en sobreseimientos y “</w:t>
      </w:r>
      <w:proofErr w:type="spellStart"/>
      <w:r w:rsidRPr="0043316D">
        <w:t>plea</w:t>
      </w:r>
      <w:proofErr w:type="spellEnd"/>
      <w:r w:rsidRPr="0043316D">
        <w:t xml:space="preserve"> </w:t>
      </w:r>
      <w:proofErr w:type="spellStart"/>
      <w:r w:rsidRPr="0043316D">
        <w:t>bargains</w:t>
      </w:r>
      <w:proofErr w:type="spellEnd"/>
      <w:r w:rsidRPr="0043316D">
        <w:t>”.</w:t>
      </w:r>
    </w:p>
    <w:p w14:paraId="33D27196" w14:textId="77777777" w:rsidR="00B86F1C" w:rsidRDefault="00B86F1C" w:rsidP="001A6231">
      <w:pPr>
        <w:ind w:firstLine="720"/>
        <w:jc w:val="both"/>
      </w:pPr>
    </w:p>
    <w:p w14:paraId="5217F8B5" w14:textId="2E3B96F6" w:rsidR="00DF2FD5" w:rsidRPr="008D6C3B" w:rsidRDefault="0043316D" w:rsidP="001A6231">
      <w:pPr>
        <w:ind w:firstLine="720"/>
        <w:jc w:val="both"/>
      </w:pPr>
      <w:r>
        <w:lastRenderedPageBreak/>
        <w:t xml:space="preserve">Esta Ley es </w:t>
      </w:r>
      <w:r w:rsidR="00DF2FD5">
        <w:t>cónsona</w:t>
      </w:r>
      <w:r>
        <w:t xml:space="preserve"> con lo resuelto por el Tribunal Supremo de Puerto Rico en el caso </w:t>
      </w:r>
      <w:r w:rsidR="00DF2FD5" w:rsidRPr="00DF2FD5">
        <w:rPr>
          <w:i/>
          <w:iCs/>
        </w:rPr>
        <w:t>Pueblo v. Castellón Calderón</w:t>
      </w:r>
      <w:r w:rsidR="00DF2FD5">
        <w:t xml:space="preserve">, 151 </w:t>
      </w:r>
      <w:r w:rsidR="00703E39" w:rsidRPr="008D6C3B">
        <w:t xml:space="preserve">DPR </w:t>
      </w:r>
      <w:r w:rsidR="00DF2FD5" w:rsidRPr="008D6C3B">
        <w:t xml:space="preserve">15, 23-29 (2000), opinión mediante la cual se estableció que la discreción del juez de sobreseer una denuncia o acusación no es ilimitada y debe ejercerse tras una vista en la que participe el Ministerio Público y se consideren factores objetivos (naturaleza del delito, solidez probatoria, riesgos a la víctima, interés público, entre otros). </w:t>
      </w:r>
    </w:p>
    <w:p w14:paraId="5E7263B9" w14:textId="77777777" w:rsidR="001A6231" w:rsidRPr="008D6C3B" w:rsidRDefault="001A6231" w:rsidP="001A6231">
      <w:pPr>
        <w:ind w:firstLine="720"/>
        <w:jc w:val="both"/>
      </w:pPr>
    </w:p>
    <w:p w14:paraId="1C6A7A9C" w14:textId="7CAD27C5" w:rsidR="00DF2FD5" w:rsidRPr="008D6C3B" w:rsidRDefault="00DF2FD5" w:rsidP="001A6231">
      <w:pPr>
        <w:ind w:firstLine="720"/>
        <w:jc w:val="both"/>
      </w:pPr>
      <w:r w:rsidRPr="008D6C3B">
        <w:t>Sin embargo, estos criterios nunca se han codificado expresamente en la Regla 247 de Procedimiento Criminal, lo que ocasiona prácticas dispares en nuestros tribunales.</w:t>
      </w:r>
    </w:p>
    <w:p w14:paraId="30B0203D" w14:textId="77777777" w:rsidR="001A6231" w:rsidRPr="008D6C3B" w:rsidRDefault="001A6231" w:rsidP="001A6231">
      <w:pPr>
        <w:ind w:firstLine="720"/>
        <w:jc w:val="both"/>
      </w:pPr>
    </w:p>
    <w:p w14:paraId="43925452" w14:textId="672E3F99" w:rsidR="00DF2FD5" w:rsidRPr="008D6C3B" w:rsidRDefault="00DF2FD5" w:rsidP="001A6231">
      <w:pPr>
        <w:ind w:firstLine="720"/>
        <w:jc w:val="both"/>
      </w:pPr>
      <w:r w:rsidRPr="008D6C3B">
        <w:t xml:space="preserve">Por otro lado, la Regla 72 </w:t>
      </w:r>
      <w:r w:rsidR="00DD38CD" w:rsidRPr="008D6C3B">
        <w:t xml:space="preserve">de Procedimiento Criminal carece de </w:t>
      </w:r>
      <w:r w:rsidRPr="008D6C3B">
        <w:t xml:space="preserve">mecanismos claros para que </w:t>
      </w:r>
      <w:r w:rsidR="0024053E" w:rsidRPr="008D6C3B">
        <w:t xml:space="preserve">las </w:t>
      </w:r>
      <w:r w:rsidRPr="008D6C3B">
        <w:t xml:space="preserve">posiciones </w:t>
      </w:r>
      <w:r w:rsidR="0024053E" w:rsidRPr="008D6C3B">
        <w:t xml:space="preserve">de las víctimas </w:t>
      </w:r>
      <w:r w:rsidRPr="008D6C3B">
        <w:t xml:space="preserve">consten en récord antes de que el tribunal convalide un acuerdo. </w:t>
      </w:r>
    </w:p>
    <w:p w14:paraId="55964F78" w14:textId="77777777" w:rsidR="001A6231" w:rsidRPr="008D6C3B" w:rsidRDefault="001A6231" w:rsidP="001A6231">
      <w:pPr>
        <w:ind w:firstLine="720"/>
        <w:jc w:val="both"/>
      </w:pPr>
    </w:p>
    <w:p w14:paraId="76842037" w14:textId="753CD088" w:rsidR="00DF2FD5" w:rsidRPr="008D6C3B" w:rsidRDefault="003803DA" w:rsidP="001A6231">
      <w:pPr>
        <w:ind w:firstLine="720"/>
        <w:jc w:val="both"/>
      </w:pPr>
      <w:r w:rsidRPr="008D6C3B">
        <w:t xml:space="preserve">A </w:t>
      </w:r>
      <w:r w:rsidR="00DF2FD5" w:rsidRPr="008D6C3B">
        <w:t xml:space="preserve">fin de armonizar el derecho constitucional al debido proceso y el interés del Estado en hacer cumplir las leyes, esta Asamblea Legislativa entiende necesario enmendar las Reglas 247 y 72 </w:t>
      </w:r>
      <w:r w:rsidRPr="008D6C3B">
        <w:t xml:space="preserve">de Procedimiento Criminal </w:t>
      </w:r>
      <w:r w:rsidR="00DF2FD5" w:rsidRPr="008D6C3B">
        <w:t>para:</w:t>
      </w:r>
    </w:p>
    <w:p w14:paraId="23E16C09" w14:textId="77777777" w:rsidR="001A6231" w:rsidRDefault="001A6231" w:rsidP="001A6231">
      <w:pPr>
        <w:ind w:firstLine="720"/>
        <w:jc w:val="both"/>
      </w:pPr>
    </w:p>
    <w:p w14:paraId="57D7C2F0" w14:textId="368F7B2A" w:rsidR="00DF2FD5" w:rsidRPr="008D6C3B" w:rsidRDefault="00DF2FD5" w:rsidP="001A6231">
      <w:pPr>
        <w:pStyle w:val="ListParagraph"/>
        <w:numPr>
          <w:ilvl w:val="0"/>
          <w:numId w:val="18"/>
        </w:numPr>
        <w:ind w:left="0" w:firstLine="720"/>
        <w:jc w:val="both"/>
      </w:pPr>
      <w:r w:rsidRPr="008D6C3B">
        <w:t xml:space="preserve">Codificar los factores que el tribunal debe ponderar antes de archivar una causa motu </w:t>
      </w:r>
      <w:r w:rsidR="00DA07C7" w:rsidRPr="008D6C3B">
        <w:t>proprio</w:t>
      </w:r>
      <w:r w:rsidRPr="008D6C3B">
        <w:t>.</w:t>
      </w:r>
    </w:p>
    <w:p w14:paraId="3B9D2FA0" w14:textId="1C8F0A4E" w:rsidR="00DF2FD5" w:rsidRPr="008D6C3B" w:rsidRDefault="00DF2FD5" w:rsidP="001A6231">
      <w:pPr>
        <w:pStyle w:val="ListParagraph"/>
        <w:numPr>
          <w:ilvl w:val="0"/>
          <w:numId w:val="18"/>
        </w:numPr>
        <w:ind w:left="0" w:firstLine="720"/>
        <w:jc w:val="both"/>
      </w:pPr>
      <w:r w:rsidRPr="008D6C3B">
        <w:t>Garantizar una “vista” en la que el tribunal escuche, bajo juramento, al Ministerio Público y a la víctima (o su representante) antes de resolver.</w:t>
      </w:r>
    </w:p>
    <w:p w14:paraId="482A475F" w14:textId="5083E591" w:rsidR="00DF2FD5" w:rsidRPr="008D6C3B" w:rsidRDefault="00DF2FD5" w:rsidP="001A6231">
      <w:pPr>
        <w:pStyle w:val="ListParagraph"/>
        <w:numPr>
          <w:ilvl w:val="0"/>
          <w:numId w:val="18"/>
        </w:numPr>
        <w:ind w:left="0" w:firstLine="720"/>
        <w:jc w:val="both"/>
      </w:pPr>
      <w:r w:rsidRPr="008D6C3B">
        <w:t xml:space="preserve">Requerir determinaciones escritas </w:t>
      </w:r>
      <w:r w:rsidR="00954AC3" w:rsidRPr="008D6C3B">
        <w:t xml:space="preserve">al tribunal </w:t>
      </w:r>
      <w:r w:rsidRPr="008D6C3B">
        <w:t xml:space="preserve">sobre los fundamentos en los que </w:t>
      </w:r>
      <w:r w:rsidR="00954AC3" w:rsidRPr="008D6C3B">
        <w:t xml:space="preserve">basó </w:t>
      </w:r>
      <w:r w:rsidRPr="008D6C3B">
        <w:t>su determinación judicial.</w:t>
      </w:r>
    </w:p>
    <w:p w14:paraId="102B061D" w14:textId="6F0AC3B7" w:rsidR="00DF2FD5" w:rsidRPr="008D6C3B" w:rsidRDefault="007A20C5" w:rsidP="001A6231">
      <w:pPr>
        <w:pStyle w:val="ListParagraph"/>
        <w:numPr>
          <w:ilvl w:val="0"/>
          <w:numId w:val="18"/>
        </w:numPr>
        <w:ind w:left="0" w:firstLine="720"/>
        <w:jc w:val="both"/>
      </w:pPr>
      <w:r w:rsidRPr="008D6C3B">
        <w:t xml:space="preserve">Reconocerle </w:t>
      </w:r>
      <w:r w:rsidR="00DF2FD5" w:rsidRPr="008D6C3B">
        <w:t xml:space="preserve">a la víctima un derecho a expresarse durante la audiencia de alegación </w:t>
      </w:r>
      <w:proofErr w:type="spellStart"/>
      <w:r w:rsidR="00DF2FD5" w:rsidRPr="008D6C3B">
        <w:t>preacordada</w:t>
      </w:r>
      <w:proofErr w:type="spellEnd"/>
      <w:r w:rsidR="00DF2FD5" w:rsidRPr="008D6C3B">
        <w:t>, sin que ello constituya un veto, y obligar al tribunal a exponer en récord c</w:t>
      </w:r>
      <w:r w:rsidR="009D0589" w:rsidRPr="008D6C3B">
        <w:t>o</w:t>
      </w:r>
      <w:r w:rsidR="00DF2FD5" w:rsidRPr="008D6C3B">
        <w:t>mo ponderó dichas expresiones.</w:t>
      </w:r>
    </w:p>
    <w:p w14:paraId="4564DE52" w14:textId="77777777" w:rsidR="001A6231" w:rsidRPr="008D6C3B" w:rsidRDefault="001A6231" w:rsidP="001A6231">
      <w:pPr>
        <w:pStyle w:val="ListParagraph"/>
        <w:jc w:val="both"/>
      </w:pPr>
    </w:p>
    <w:p w14:paraId="67AC527C" w14:textId="3208949A" w:rsidR="009835DD" w:rsidRPr="008D6C3B" w:rsidRDefault="00DF2FD5" w:rsidP="001A6231">
      <w:pPr>
        <w:ind w:firstLine="720"/>
        <w:jc w:val="both"/>
      </w:pPr>
      <w:r w:rsidRPr="008D6C3B">
        <w:t>Con estas enmiendas se promueve la transparencia judicial, la protección de las víctimas y la uniformidad procesal, sin menoscabar la discreción fiscal ni la autoridad constitucional del tribunal.</w:t>
      </w:r>
      <w:r w:rsidR="00FA7B75" w:rsidRPr="008D6C3B">
        <w:t xml:space="preserve"> </w:t>
      </w:r>
    </w:p>
    <w:p w14:paraId="5B5E8F39" w14:textId="77777777" w:rsidR="00FA7B75" w:rsidRPr="00120574" w:rsidRDefault="00FA7B75" w:rsidP="00FA7B75">
      <w:pPr>
        <w:ind w:left="360" w:firstLine="360"/>
        <w:jc w:val="both"/>
        <w:rPr>
          <w:rFonts w:eastAsia="Times New Roman" w:cs="Times New Roman"/>
          <w:bCs/>
          <w:i/>
          <w:szCs w:val="20"/>
        </w:rPr>
      </w:pPr>
    </w:p>
    <w:p w14:paraId="7853079F" w14:textId="7A657090" w:rsidR="009C386A" w:rsidRPr="00120574" w:rsidRDefault="00F73CE6" w:rsidP="008D6C3B">
      <w:pPr>
        <w:spacing w:line="480" w:lineRule="auto"/>
        <w:rPr>
          <w:rFonts w:eastAsia="Times New Roman" w:cs="Times New Roman"/>
          <w:bCs/>
          <w:i/>
          <w:szCs w:val="20"/>
        </w:rPr>
        <w:sectPr w:rsidR="009C386A" w:rsidRPr="00120574" w:rsidSect="00310ACE">
          <w:headerReference w:type="default" r:id="rId11"/>
          <w:headerReference w:type="first" r:id="rId12"/>
          <w:pgSz w:w="12240" w:h="15840" w:code="1"/>
          <w:pgMar w:top="1440" w:right="1440" w:bottom="1440" w:left="1440" w:header="720" w:footer="720" w:gutter="0"/>
          <w:cols w:space="720"/>
          <w:titlePg/>
        </w:sectPr>
      </w:pPr>
      <w:r w:rsidRPr="00120574">
        <w:rPr>
          <w:rFonts w:eastAsia="Times New Roman" w:cs="Times New Roman"/>
          <w:bCs/>
          <w:i/>
          <w:szCs w:val="20"/>
        </w:rPr>
        <w:t>DECR</w:t>
      </w:r>
      <w:r w:rsidR="00985A8F" w:rsidRPr="00120574">
        <w:rPr>
          <w:rFonts w:eastAsia="Times New Roman" w:cs="Times New Roman"/>
          <w:bCs/>
          <w:i/>
          <w:szCs w:val="20"/>
        </w:rPr>
        <w:t>É</w:t>
      </w:r>
      <w:r w:rsidRPr="00120574">
        <w:rPr>
          <w:rFonts w:eastAsia="Times New Roman" w:cs="Times New Roman"/>
          <w:bCs/>
          <w:i/>
          <w:szCs w:val="20"/>
        </w:rPr>
        <w:t>TASE</w:t>
      </w:r>
      <w:r w:rsidR="009C386A" w:rsidRPr="00120574">
        <w:rPr>
          <w:rFonts w:eastAsia="Times New Roman" w:cs="Times New Roman"/>
          <w:bCs/>
          <w:i/>
          <w:szCs w:val="20"/>
        </w:rPr>
        <w:t xml:space="preserve"> POR LA ASAMBLEA LEGISLATIVA DE PUERTO RICO:</w:t>
      </w:r>
    </w:p>
    <w:p w14:paraId="204E8DC2" w14:textId="6AFA5FE1" w:rsidR="00FA7B75" w:rsidRPr="008D6C3B" w:rsidRDefault="00FA7B75"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Artículo </w:t>
      </w:r>
      <w:r w:rsidR="00B32250">
        <w:rPr>
          <w:rFonts w:eastAsia="Times New Roman" w:cs="Times New Roman"/>
          <w:szCs w:val="20"/>
          <w:lang w:val="es-ES"/>
        </w:rPr>
        <w:t>1</w:t>
      </w:r>
      <w:r w:rsidRPr="008D6C3B">
        <w:rPr>
          <w:rFonts w:eastAsia="Times New Roman" w:cs="Times New Roman"/>
          <w:szCs w:val="20"/>
          <w:lang w:val="es-ES"/>
        </w:rPr>
        <w:t xml:space="preserve">.- Se enmienda la Regla </w:t>
      </w:r>
      <w:r w:rsidR="00F74F41" w:rsidRPr="008D6C3B">
        <w:rPr>
          <w:rFonts w:eastAsia="Times New Roman" w:cs="Times New Roman"/>
          <w:szCs w:val="20"/>
          <w:lang w:val="es-ES"/>
        </w:rPr>
        <w:t>72</w:t>
      </w:r>
      <w:r w:rsidRPr="008D6C3B">
        <w:rPr>
          <w:rFonts w:eastAsia="Times New Roman" w:cs="Times New Roman"/>
          <w:szCs w:val="20"/>
          <w:lang w:val="es-ES"/>
        </w:rPr>
        <w:t xml:space="preserve"> de Procedimiento Criminal de 1963, según enmendada, para que lea como sigue:</w:t>
      </w:r>
    </w:p>
    <w:p w14:paraId="00A10626" w14:textId="36EC5803" w:rsidR="00FA7B75" w:rsidRPr="008D6C3B" w:rsidRDefault="00B32250" w:rsidP="008D6C3B">
      <w:pPr>
        <w:spacing w:line="480" w:lineRule="auto"/>
        <w:ind w:firstLine="720"/>
        <w:jc w:val="both"/>
        <w:rPr>
          <w:rFonts w:eastAsia="Times New Roman" w:cs="Times New Roman"/>
          <w:szCs w:val="20"/>
          <w:lang w:val="es-ES"/>
        </w:rPr>
      </w:pPr>
      <w:r>
        <w:rPr>
          <w:rFonts w:eastAsia="Times New Roman" w:cs="Times New Roman"/>
          <w:szCs w:val="20"/>
          <w:lang w:val="es-ES"/>
        </w:rPr>
        <w:t>“</w:t>
      </w:r>
      <w:r w:rsidR="00FA7B75" w:rsidRPr="008D6C3B">
        <w:rPr>
          <w:rFonts w:eastAsia="Times New Roman" w:cs="Times New Roman"/>
          <w:szCs w:val="20"/>
          <w:lang w:val="es-ES"/>
        </w:rPr>
        <w:t xml:space="preserve">REGLA </w:t>
      </w:r>
      <w:r w:rsidR="00F74F41" w:rsidRPr="008D6C3B">
        <w:rPr>
          <w:rFonts w:eastAsia="Times New Roman" w:cs="Times New Roman"/>
          <w:szCs w:val="20"/>
          <w:lang w:val="es-ES"/>
        </w:rPr>
        <w:t>72</w:t>
      </w:r>
      <w:r w:rsidR="00FA7B75" w:rsidRPr="008D6C3B">
        <w:rPr>
          <w:rFonts w:eastAsia="Times New Roman" w:cs="Times New Roman"/>
          <w:szCs w:val="20"/>
          <w:lang w:val="es-ES"/>
        </w:rPr>
        <w:t xml:space="preserve">. </w:t>
      </w:r>
      <w:r w:rsidR="00F74F41" w:rsidRPr="008D6C3B">
        <w:rPr>
          <w:rFonts w:eastAsia="Times New Roman" w:cs="Times New Roman"/>
          <w:szCs w:val="20"/>
          <w:lang w:val="es-ES"/>
        </w:rPr>
        <w:t>ALEGACIONES PREACORDADAS</w:t>
      </w:r>
      <w:r w:rsidR="00FA7B75" w:rsidRPr="008D6C3B">
        <w:rPr>
          <w:rFonts w:eastAsia="Times New Roman" w:cs="Times New Roman"/>
          <w:szCs w:val="20"/>
          <w:lang w:val="es-ES"/>
        </w:rPr>
        <w:t xml:space="preserve">. </w:t>
      </w:r>
    </w:p>
    <w:p w14:paraId="2297F82D" w14:textId="00ABE4D0"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lastRenderedPageBreak/>
        <w:t xml:space="preserve">En todos aquellos casos en que mediaren alegaciones </w:t>
      </w:r>
      <w:proofErr w:type="spellStart"/>
      <w:r w:rsidRPr="008D6C3B">
        <w:rPr>
          <w:rFonts w:eastAsia="Times New Roman" w:cs="Times New Roman"/>
          <w:szCs w:val="20"/>
          <w:lang w:val="es-ES"/>
        </w:rPr>
        <w:t>preacordadas</w:t>
      </w:r>
      <w:proofErr w:type="spellEnd"/>
      <w:r w:rsidRPr="008D6C3B">
        <w:rPr>
          <w:rFonts w:eastAsia="Times New Roman" w:cs="Times New Roman"/>
          <w:szCs w:val="20"/>
          <w:lang w:val="es-ES"/>
        </w:rPr>
        <w:t xml:space="preserve"> entre la defensa del imputado y el representante del Ministerio Público, se seguirá el siguiente procedimiento:</w:t>
      </w:r>
    </w:p>
    <w:p w14:paraId="73F9A11B" w14:textId="2AE1D7E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(1) El fiscal y el imputado, por mediación de su abogado, podrán iniciar conversaciones con miras a acordar que, a cambio de una alegación de culpabilidad por el delito alegado en la acusación o denuncia, o por uno de grado inferior o relacionado, el fiscal se obliga a uno o varios de los siguientes cursos de acción:</w:t>
      </w:r>
    </w:p>
    <w:p w14:paraId="4AA6809E"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(a) Solicitar el archivo de otros cargos pendientes que pesen sobre él;</w:t>
      </w:r>
    </w:p>
    <w:p w14:paraId="70A11852"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(b) eliminar alegación de reincidencia en cualquiera de sus grados;</w:t>
      </w:r>
    </w:p>
    <w:p w14:paraId="1A3E35D7" w14:textId="39F7430D"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(c) recomendar una sentencia en particular o no oponerse a la solicitud que haga la defensa sobre una sentencia específica, entendiéndose que ni lo uno ni lo otro serán obligatorios para el tribunal, o</w:t>
      </w:r>
    </w:p>
    <w:p w14:paraId="3C2BF550" w14:textId="455EF1F5"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(d) acordar que determinada sentencia específica es la que dispone </w:t>
      </w:r>
      <w:r w:rsidR="009D0589" w:rsidRPr="008D6C3B">
        <w:rPr>
          <w:rFonts w:eastAsia="Times New Roman" w:cs="Times New Roman"/>
          <w:szCs w:val="20"/>
          <w:lang w:val="es-ES"/>
        </w:rPr>
        <w:t>adecuadamente del</w:t>
      </w:r>
      <w:r w:rsidRPr="008D6C3B">
        <w:rPr>
          <w:rFonts w:eastAsia="Times New Roman" w:cs="Times New Roman"/>
          <w:szCs w:val="20"/>
          <w:lang w:val="es-ES"/>
        </w:rPr>
        <w:t xml:space="preserve"> caso.</w:t>
      </w:r>
    </w:p>
    <w:p w14:paraId="7D6ED93F"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El tribunal no participará en estas conversaciones.</w:t>
      </w:r>
    </w:p>
    <w:p w14:paraId="0E5E8C17" w14:textId="48DAB4B8"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(2) De llegarse a un acuerdo, </w:t>
      </w:r>
      <w:r w:rsidR="00BD1D37" w:rsidRPr="008D6C3B">
        <w:rPr>
          <w:rFonts w:eastAsia="Times New Roman" w:cs="Times New Roman"/>
          <w:szCs w:val="20"/>
        </w:rPr>
        <w:t xml:space="preserve">el </w:t>
      </w:r>
      <w:r w:rsidRPr="008D6C3B">
        <w:rPr>
          <w:rFonts w:eastAsia="Times New Roman" w:cs="Times New Roman"/>
          <w:szCs w:val="20"/>
        </w:rPr>
        <w:t>Ministerio Público notificará por escrito a la víctima cualquier preacuerdo preliminar dentro de veinticuatro (24) horas de alcanzado, posteriormente,</w:t>
      </w:r>
      <w:r w:rsidRPr="008D6C3B">
        <w:rPr>
          <w:rFonts w:eastAsia="Times New Roman" w:cs="Times New Roman"/>
          <w:szCs w:val="20"/>
          <w:lang w:val="es-ES"/>
        </w:rPr>
        <w:t xml:space="preserve"> las partes notificarán de sus detalles al tribunal en corte abierta, o en cámara si mediare justa causa para ello. Dicho acuerdo se hará constar en récord. Si el imputado se refiere a alguno de los cursos de acción especificados en las cláusulas (a), (b) y (d) del inciso (1) de esta regla, el tribunal podrá aceptarlo o rechazarlo, o aplazar su decisión hasta recibir y considerar el informe </w:t>
      </w:r>
      <w:proofErr w:type="spellStart"/>
      <w:r w:rsidRPr="008D6C3B">
        <w:rPr>
          <w:rFonts w:eastAsia="Times New Roman" w:cs="Times New Roman"/>
          <w:szCs w:val="20"/>
          <w:lang w:val="es-ES"/>
        </w:rPr>
        <w:t>presentencia</w:t>
      </w:r>
      <w:proofErr w:type="spellEnd"/>
      <w:r w:rsidRPr="008D6C3B">
        <w:rPr>
          <w:rFonts w:eastAsia="Times New Roman" w:cs="Times New Roman"/>
          <w:szCs w:val="20"/>
          <w:lang w:val="es-ES"/>
        </w:rPr>
        <w:t xml:space="preserve">. Si el curso de acción acordado </w:t>
      </w:r>
      <w:r w:rsidRPr="008D6C3B">
        <w:rPr>
          <w:rFonts w:eastAsia="Times New Roman" w:cs="Times New Roman"/>
          <w:szCs w:val="20"/>
          <w:lang w:val="es-ES"/>
        </w:rPr>
        <w:lastRenderedPageBreak/>
        <w:t xml:space="preserve">fuere del tipo especificado en la cláusula (c) de dicho inciso el tribunal advertirá al imputado </w:t>
      </w:r>
      <w:r w:rsidR="000013AC" w:rsidRPr="008D6C3B">
        <w:rPr>
          <w:rFonts w:eastAsia="Times New Roman" w:cs="Times New Roman"/>
          <w:szCs w:val="20"/>
          <w:lang w:val="es-ES"/>
        </w:rPr>
        <w:t>que,</w:t>
      </w:r>
      <w:r w:rsidRPr="008D6C3B">
        <w:rPr>
          <w:rFonts w:eastAsia="Times New Roman" w:cs="Times New Roman"/>
          <w:szCs w:val="20"/>
          <w:lang w:val="es-ES"/>
        </w:rPr>
        <w:t xml:space="preserve"> si la recomendación del fiscal o la solicitud de la defensa no es aceptada por el tribunal, el imputado no tendrá derecho a retirar su alegación.</w:t>
      </w:r>
    </w:p>
    <w:p w14:paraId="752788CF" w14:textId="58B7EDDD" w:rsidR="002C2A0B" w:rsidRPr="008D6C3B" w:rsidRDefault="002C2A0B" w:rsidP="008D6C3B">
      <w:pPr>
        <w:spacing w:line="480" w:lineRule="auto"/>
        <w:ind w:firstLine="720"/>
        <w:jc w:val="both"/>
        <w:rPr>
          <w:rFonts w:eastAsia="Times New Roman" w:cs="Times New Roman"/>
          <w:szCs w:val="20"/>
        </w:rPr>
      </w:pPr>
      <w:r w:rsidRPr="008D6C3B">
        <w:rPr>
          <w:rFonts w:eastAsia="Times New Roman" w:cs="Times New Roman"/>
          <w:szCs w:val="20"/>
        </w:rPr>
        <w:t xml:space="preserve">Antes de que el tribunal acepte el acuerdo, deberá conceder a la víctima, de esta solicitarlo, la oportunidad de dirigirse brevemente al </w:t>
      </w:r>
      <w:r w:rsidR="00B32250">
        <w:rPr>
          <w:rFonts w:eastAsia="Times New Roman" w:cs="Times New Roman"/>
          <w:szCs w:val="20"/>
        </w:rPr>
        <w:t>tribunal</w:t>
      </w:r>
      <w:r w:rsidRPr="008D6C3B">
        <w:rPr>
          <w:rFonts w:eastAsia="Times New Roman" w:cs="Times New Roman"/>
          <w:szCs w:val="20"/>
        </w:rPr>
        <w:t>, en persona o mediante representación legal, para exponer su posición.</w:t>
      </w:r>
    </w:p>
    <w:p w14:paraId="34E4F247" w14:textId="69ED0BE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rPr>
        <w:t xml:space="preserve">La aceptación o rechazo del acuerdo por parte del </w:t>
      </w:r>
      <w:r w:rsidR="00B32250">
        <w:rPr>
          <w:rFonts w:eastAsia="Times New Roman" w:cs="Times New Roman"/>
          <w:szCs w:val="20"/>
        </w:rPr>
        <w:t>tribunal</w:t>
      </w:r>
      <w:r w:rsidRPr="008D6C3B">
        <w:rPr>
          <w:rFonts w:eastAsia="Times New Roman" w:cs="Times New Roman"/>
          <w:szCs w:val="20"/>
        </w:rPr>
        <w:t xml:space="preserve">, no estará </w:t>
      </w:r>
      <w:r w:rsidR="009D0589" w:rsidRPr="008D6C3B">
        <w:rPr>
          <w:rFonts w:eastAsia="Times New Roman" w:cs="Times New Roman"/>
          <w:szCs w:val="20"/>
        </w:rPr>
        <w:t>supeditada</w:t>
      </w:r>
      <w:r w:rsidRPr="008D6C3B">
        <w:rPr>
          <w:rFonts w:eastAsia="Times New Roman" w:cs="Times New Roman"/>
          <w:szCs w:val="20"/>
        </w:rPr>
        <w:t xml:space="preserve"> a la anuencia o no de la víctima</w:t>
      </w:r>
      <w:r w:rsidRPr="0064578F">
        <w:rPr>
          <w:rFonts w:eastAsia="Times New Roman" w:cs="Times New Roman"/>
          <w:strike/>
          <w:szCs w:val="20"/>
        </w:rPr>
        <w:t>; sin embargo, la sentencia o resolución deberá indicar que se escuchó a la víctima y explicará, en lenguaje claro, c</w:t>
      </w:r>
      <w:r w:rsidR="009D0589" w:rsidRPr="0064578F">
        <w:rPr>
          <w:rFonts w:eastAsia="Times New Roman" w:cs="Times New Roman"/>
          <w:strike/>
          <w:szCs w:val="20"/>
        </w:rPr>
        <w:t>o</w:t>
      </w:r>
      <w:r w:rsidRPr="0064578F">
        <w:rPr>
          <w:rFonts w:eastAsia="Times New Roman" w:cs="Times New Roman"/>
          <w:strike/>
          <w:szCs w:val="20"/>
        </w:rPr>
        <w:t>mo se balancearon sus intereses con los del Estado y del imputado</w:t>
      </w:r>
      <w:r w:rsidRPr="008D6C3B">
        <w:rPr>
          <w:rFonts w:eastAsia="Times New Roman" w:cs="Times New Roman"/>
          <w:szCs w:val="20"/>
        </w:rPr>
        <w:t>.</w:t>
      </w:r>
    </w:p>
    <w:p w14:paraId="5EF21C1E" w14:textId="6A925F3B"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(3)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es aceptada por el tribunal, </w:t>
      </w:r>
      <w:r w:rsidRPr="0064578F">
        <w:rPr>
          <w:rFonts w:eastAsia="Times New Roman" w:cs="Times New Roman"/>
          <w:strike/>
          <w:szCs w:val="20"/>
          <w:lang w:val="es-ES"/>
        </w:rPr>
        <w:t>éste</w:t>
      </w:r>
      <w:r w:rsidRPr="008D6C3B">
        <w:rPr>
          <w:rFonts w:eastAsia="Times New Roman" w:cs="Times New Roman"/>
          <w:szCs w:val="20"/>
          <w:lang w:val="es-ES"/>
        </w:rPr>
        <w:t xml:space="preserve"> </w:t>
      </w:r>
      <w:r w:rsidR="0064578F" w:rsidRPr="0064578F">
        <w:rPr>
          <w:rFonts w:eastAsia="Times New Roman" w:cs="Times New Roman"/>
          <w:i/>
          <w:iCs/>
          <w:szCs w:val="20"/>
          <w:u w:val="single"/>
          <w:lang w:val="es-ES"/>
        </w:rPr>
        <w:t>este</w:t>
      </w:r>
      <w:r w:rsidR="0064578F">
        <w:rPr>
          <w:rFonts w:eastAsia="Times New Roman" w:cs="Times New Roman"/>
          <w:szCs w:val="20"/>
          <w:lang w:val="es-ES"/>
        </w:rPr>
        <w:t xml:space="preserve"> </w:t>
      </w:r>
      <w:r w:rsidRPr="008D6C3B">
        <w:rPr>
          <w:rFonts w:eastAsia="Times New Roman" w:cs="Times New Roman"/>
          <w:szCs w:val="20"/>
          <w:lang w:val="es-ES"/>
        </w:rPr>
        <w:t>informará al imputado que la misma se incorporará y se hará formar parte de la sentencia.</w:t>
      </w:r>
    </w:p>
    <w:p w14:paraId="291FA22A" w14:textId="508A0565" w:rsidR="00F74F41"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(4)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es rechazada por el tribunal, </w:t>
      </w:r>
      <w:r w:rsidR="0064578F" w:rsidRPr="0064578F">
        <w:rPr>
          <w:rFonts w:eastAsia="Times New Roman" w:cs="Times New Roman"/>
          <w:strike/>
          <w:szCs w:val="20"/>
          <w:lang w:val="es-ES"/>
        </w:rPr>
        <w:t>éste</w:t>
      </w:r>
      <w:r w:rsidR="0064578F" w:rsidRPr="008D6C3B">
        <w:rPr>
          <w:rFonts w:eastAsia="Times New Roman" w:cs="Times New Roman"/>
          <w:szCs w:val="20"/>
          <w:lang w:val="es-ES"/>
        </w:rPr>
        <w:t xml:space="preserve"> </w:t>
      </w:r>
      <w:r w:rsidR="0064578F" w:rsidRPr="0064578F">
        <w:rPr>
          <w:rFonts w:eastAsia="Times New Roman" w:cs="Times New Roman"/>
          <w:i/>
          <w:iCs/>
          <w:szCs w:val="20"/>
          <w:u w:val="single"/>
          <w:lang w:val="es-ES"/>
        </w:rPr>
        <w:t>este</w:t>
      </w:r>
      <w:r w:rsidR="0064578F">
        <w:rPr>
          <w:rFonts w:eastAsia="Times New Roman" w:cs="Times New Roman"/>
          <w:szCs w:val="20"/>
          <w:lang w:val="es-ES"/>
        </w:rPr>
        <w:t xml:space="preserve"> </w:t>
      </w:r>
      <w:r w:rsidRPr="008D6C3B">
        <w:rPr>
          <w:rFonts w:eastAsia="Times New Roman" w:cs="Times New Roman"/>
          <w:szCs w:val="20"/>
          <w:lang w:val="es-ES"/>
        </w:rPr>
        <w:t>así lo informará a las partes y advertirá al imputado personalmente en corte abierta, o en cámara si mediare justa causa para ello, que el tribunal no está obligado por el acuerdo, y brindará al imputado la oportunidad de retirar su alegación. Le advertirá, además, que si persiste en su alegación</w:t>
      </w:r>
    </w:p>
    <w:p w14:paraId="7918B8BB" w14:textId="6A3F4076" w:rsidR="002C2A0B" w:rsidRPr="008D6C3B" w:rsidRDefault="002C2A0B" w:rsidP="008D6C3B">
      <w:pPr>
        <w:spacing w:line="480" w:lineRule="auto"/>
        <w:jc w:val="both"/>
        <w:rPr>
          <w:rFonts w:eastAsia="Times New Roman" w:cs="Times New Roman"/>
          <w:szCs w:val="20"/>
          <w:lang w:val="es-ES"/>
        </w:rPr>
      </w:pPr>
      <w:r w:rsidRPr="008D6C3B">
        <w:rPr>
          <w:rFonts w:eastAsia="Times New Roman" w:cs="Times New Roman"/>
          <w:szCs w:val="20"/>
          <w:lang w:val="es-ES"/>
        </w:rPr>
        <w:t>de culpabilidad, la determinación final del caso podrá serle menos favorable que la acordada entre su abogado y el fiscal. De este trámite se tomará constancia en el récord.</w:t>
      </w:r>
    </w:p>
    <w:p w14:paraId="06FDE820" w14:textId="7C71094C"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(5) La notificación al tribunal sobre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se hará antes del juicio, preferiblemente en el acto de lectura de la acusación, pero el tribunal podrá, en el </w:t>
      </w:r>
      <w:r w:rsidRPr="008D6C3B">
        <w:rPr>
          <w:rFonts w:eastAsia="Times New Roman" w:cs="Times New Roman"/>
          <w:szCs w:val="20"/>
          <w:lang w:val="es-ES"/>
        </w:rPr>
        <w:lastRenderedPageBreak/>
        <w:t>ejercicio de su discreción, si las circunstancias lo ameritaren, permitirlo en cualquier otro momento.</w:t>
      </w:r>
    </w:p>
    <w:p w14:paraId="0AF7B7EE" w14:textId="3758B24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(6) La existencia de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sus términos o condiciones, y los detalles y conversaciones conducentes a la misma no serán admisibles contra el imputado en ningún procedimiento criminal, civil o administrativo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hubiere sido rechazada por el tribunal o invalidada en algún recurso posterior o retirada válidamente por el imputado. Lo anterior será admisible por excepción en un procedimiento criminal por perjurio contra el imputado basado en manifestaciones hechas por él bajo juramento.</w:t>
      </w:r>
    </w:p>
    <w:p w14:paraId="3222B3A7" w14:textId="594E86A5" w:rsidR="00C949B7"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(7) </w:t>
      </w:r>
      <w:r w:rsidR="00F40984" w:rsidRPr="008D6C3B">
        <w:rPr>
          <w:rFonts w:eastAsia="Times New Roman" w:cs="Times New Roman"/>
          <w:szCs w:val="20"/>
          <w:lang w:val="es-ES"/>
        </w:rPr>
        <w:t xml:space="preserve">Al decidir sobre la aceptación de una alegación </w:t>
      </w:r>
      <w:proofErr w:type="spellStart"/>
      <w:r w:rsidR="00F40984" w:rsidRPr="008D6C3B">
        <w:rPr>
          <w:rFonts w:eastAsia="Times New Roman" w:cs="Times New Roman"/>
          <w:szCs w:val="20"/>
          <w:lang w:val="es-ES"/>
        </w:rPr>
        <w:t>preacordada</w:t>
      </w:r>
      <w:proofErr w:type="spellEnd"/>
      <w:r w:rsidR="00CB4771" w:rsidRPr="008D6C3B">
        <w:rPr>
          <w:rFonts w:eastAsia="Times New Roman" w:cs="Times New Roman"/>
          <w:szCs w:val="20"/>
          <w:lang w:val="es-ES"/>
        </w:rPr>
        <w:t>,</w:t>
      </w:r>
      <w:r w:rsidR="00F40984" w:rsidRPr="008D6C3B">
        <w:rPr>
          <w:rFonts w:eastAsia="Times New Roman" w:cs="Times New Roman"/>
          <w:szCs w:val="20"/>
          <w:lang w:val="es-ES"/>
        </w:rPr>
        <w:t xml:space="preserve"> el tribunal deberá</w:t>
      </w:r>
      <w:r w:rsidR="00C949B7" w:rsidRPr="008D6C3B">
        <w:rPr>
          <w:rFonts w:eastAsia="Times New Roman" w:cs="Times New Roman"/>
          <w:szCs w:val="20"/>
          <w:lang w:val="es-ES"/>
        </w:rPr>
        <w:t>:</w:t>
      </w:r>
      <w:r w:rsidR="00F40984" w:rsidRPr="008D6C3B">
        <w:rPr>
          <w:rFonts w:eastAsia="Times New Roman" w:cs="Times New Roman"/>
          <w:szCs w:val="20"/>
          <w:lang w:val="es-ES"/>
        </w:rPr>
        <w:t xml:space="preserve"> </w:t>
      </w:r>
    </w:p>
    <w:p w14:paraId="036A702C" w14:textId="75B34DA0" w:rsidR="00C36629" w:rsidRPr="008D6C3B" w:rsidRDefault="00B70349"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(a) </w:t>
      </w:r>
      <w:r w:rsidRPr="008A37D5">
        <w:rPr>
          <w:rFonts w:eastAsia="Times New Roman" w:cs="Times New Roman"/>
          <w:strike/>
          <w:szCs w:val="20"/>
          <w:lang w:val="es-ES"/>
        </w:rPr>
        <w:t>tomar en cuenta el parecer de</w:t>
      </w:r>
      <w:r w:rsidR="008A37D5">
        <w:rPr>
          <w:rFonts w:eastAsia="Times New Roman" w:cs="Times New Roman"/>
          <w:szCs w:val="20"/>
          <w:lang w:val="es-ES"/>
        </w:rPr>
        <w:t xml:space="preserve"> </w:t>
      </w:r>
      <w:r w:rsidR="008A37D5" w:rsidRPr="008A37D5">
        <w:rPr>
          <w:rFonts w:eastAsia="Times New Roman" w:cs="Times New Roman"/>
          <w:i/>
          <w:iCs/>
          <w:szCs w:val="20"/>
          <w:u w:val="single"/>
          <w:lang w:val="es-ES"/>
        </w:rPr>
        <w:t>oír</w:t>
      </w:r>
      <w:r w:rsidRPr="008D6C3B">
        <w:rPr>
          <w:rFonts w:eastAsia="Times New Roman" w:cs="Times New Roman"/>
          <w:szCs w:val="20"/>
          <w:lang w:val="es-ES"/>
        </w:rPr>
        <w:t xml:space="preserve"> la persona perjudicada</w:t>
      </w:r>
      <w:r w:rsidR="008A37D5">
        <w:rPr>
          <w:rFonts w:eastAsia="Times New Roman" w:cs="Times New Roman"/>
          <w:i/>
          <w:iCs/>
          <w:szCs w:val="20"/>
          <w:u w:val="single"/>
          <w:lang w:val="es-ES"/>
        </w:rPr>
        <w:t>, de esta solicitarlo</w:t>
      </w:r>
      <w:r w:rsidRPr="008D6C3B">
        <w:rPr>
          <w:rFonts w:eastAsia="Times New Roman" w:cs="Times New Roman"/>
          <w:szCs w:val="20"/>
          <w:lang w:val="es-ES"/>
        </w:rPr>
        <w:t>;</w:t>
      </w:r>
    </w:p>
    <w:p w14:paraId="5CBECA43" w14:textId="6F177CAC" w:rsidR="00B70349" w:rsidRPr="008D6C3B" w:rsidRDefault="00B70349"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(b)</w:t>
      </w:r>
      <w:r w:rsidR="00C63AF0" w:rsidRPr="008D6C3B">
        <w:rPr>
          <w:rFonts w:eastAsia="Times New Roman" w:cs="Times New Roman"/>
          <w:szCs w:val="20"/>
          <w:lang w:val="es-ES"/>
        </w:rPr>
        <w:t xml:space="preserve"> cerciorarse que </w:t>
      </w:r>
      <w:r w:rsidR="008A37D5" w:rsidRPr="008A37D5">
        <w:rPr>
          <w:rFonts w:eastAsia="Times New Roman" w:cs="Times New Roman"/>
          <w:i/>
          <w:iCs/>
          <w:szCs w:val="20"/>
          <w:u w:val="single"/>
          <w:lang w:val="es-ES"/>
        </w:rPr>
        <w:t xml:space="preserve">la alegación </w:t>
      </w:r>
      <w:proofErr w:type="spellStart"/>
      <w:r w:rsidR="008A37D5" w:rsidRPr="008A37D5">
        <w:rPr>
          <w:rFonts w:eastAsia="Times New Roman" w:cs="Times New Roman"/>
          <w:i/>
          <w:iCs/>
          <w:szCs w:val="20"/>
          <w:u w:val="single"/>
          <w:lang w:val="es-ES"/>
        </w:rPr>
        <w:t>preacordada</w:t>
      </w:r>
      <w:proofErr w:type="spellEnd"/>
      <w:r w:rsidR="008A37D5">
        <w:rPr>
          <w:rFonts w:eastAsia="Times New Roman" w:cs="Times New Roman"/>
          <w:szCs w:val="20"/>
          <w:lang w:val="es-ES"/>
        </w:rPr>
        <w:t xml:space="preserve"> </w:t>
      </w:r>
      <w:r w:rsidR="00C63AF0" w:rsidRPr="008D6C3B">
        <w:rPr>
          <w:rFonts w:eastAsia="Times New Roman" w:cs="Times New Roman"/>
          <w:szCs w:val="20"/>
          <w:lang w:val="es-ES"/>
        </w:rPr>
        <w:t>sirve al interés público;</w:t>
      </w:r>
    </w:p>
    <w:p w14:paraId="4619670C" w14:textId="49AC548B" w:rsidR="00C949B7"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(c) </w:t>
      </w:r>
      <w:r w:rsidR="00F40984" w:rsidRPr="008D6C3B">
        <w:rPr>
          <w:rFonts w:eastAsia="Times New Roman" w:cs="Times New Roman"/>
          <w:szCs w:val="20"/>
          <w:lang w:val="es-ES"/>
        </w:rPr>
        <w:t xml:space="preserve">cerciorarse que </w:t>
      </w:r>
      <w:r w:rsidRPr="008D6C3B">
        <w:rPr>
          <w:rFonts w:eastAsia="Times New Roman" w:cs="Times New Roman"/>
          <w:szCs w:val="20"/>
          <w:lang w:val="es-ES"/>
        </w:rPr>
        <w:t xml:space="preserve">se hizo </w:t>
      </w:r>
      <w:r w:rsidR="00F40984" w:rsidRPr="008D6C3B">
        <w:rPr>
          <w:rFonts w:eastAsia="Times New Roman" w:cs="Times New Roman"/>
          <w:szCs w:val="20"/>
          <w:lang w:val="es-ES"/>
        </w:rPr>
        <w:t xml:space="preserve">con pleno conocimiento, conformidad y voluntariedad del imputado; </w:t>
      </w:r>
    </w:p>
    <w:p w14:paraId="5E3CEBAD" w14:textId="18B8E72E" w:rsidR="00C63AF0"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(d) </w:t>
      </w:r>
      <w:r w:rsidR="004F47F0" w:rsidRPr="008D6C3B">
        <w:rPr>
          <w:rFonts w:eastAsia="Times New Roman" w:cs="Times New Roman"/>
          <w:szCs w:val="20"/>
          <w:lang w:val="es-ES"/>
        </w:rPr>
        <w:t xml:space="preserve">cerciorarse </w:t>
      </w:r>
      <w:r w:rsidR="00F40984" w:rsidRPr="008D6C3B">
        <w:rPr>
          <w:rFonts w:eastAsia="Times New Roman" w:cs="Times New Roman"/>
          <w:szCs w:val="20"/>
          <w:lang w:val="es-ES"/>
        </w:rPr>
        <w:t>que es conveniente a una sana administración de justicia</w:t>
      </w:r>
      <w:r w:rsidRPr="008D6C3B">
        <w:rPr>
          <w:rFonts w:eastAsia="Times New Roman" w:cs="Times New Roman"/>
          <w:szCs w:val="20"/>
          <w:lang w:val="es-ES"/>
        </w:rPr>
        <w:t>;</w:t>
      </w:r>
      <w:r w:rsidR="00F40984" w:rsidRPr="008D6C3B">
        <w:rPr>
          <w:rFonts w:eastAsia="Times New Roman" w:cs="Times New Roman"/>
          <w:szCs w:val="20"/>
          <w:lang w:val="es-ES"/>
        </w:rPr>
        <w:t xml:space="preserve"> </w:t>
      </w:r>
    </w:p>
    <w:p w14:paraId="4FDE982D" w14:textId="3E7BA4B2" w:rsidR="00C63AF0"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(e) </w:t>
      </w:r>
      <w:r w:rsidR="004F47F0" w:rsidRPr="008D6C3B">
        <w:rPr>
          <w:rFonts w:eastAsia="Times New Roman" w:cs="Times New Roman"/>
          <w:szCs w:val="20"/>
          <w:lang w:val="es-ES"/>
        </w:rPr>
        <w:t xml:space="preserve">cerciorarse </w:t>
      </w:r>
      <w:r w:rsidR="00F40984" w:rsidRPr="008D6C3B">
        <w:rPr>
          <w:rFonts w:eastAsia="Times New Roman" w:cs="Times New Roman"/>
          <w:szCs w:val="20"/>
          <w:lang w:val="es-ES"/>
        </w:rPr>
        <w:t>que</w:t>
      </w:r>
      <w:r w:rsidRPr="008D6C3B">
        <w:rPr>
          <w:rFonts w:eastAsia="Times New Roman" w:cs="Times New Roman"/>
          <w:szCs w:val="20"/>
          <w:lang w:val="es-ES"/>
        </w:rPr>
        <w:t xml:space="preserve"> se logró</w:t>
      </w:r>
      <w:r w:rsidR="00F40984" w:rsidRPr="008D6C3B">
        <w:rPr>
          <w:rFonts w:eastAsia="Times New Roman" w:cs="Times New Roman"/>
          <w:szCs w:val="20"/>
          <w:lang w:val="es-ES"/>
        </w:rPr>
        <w:t xml:space="preserve"> conforme a derecho y a la ética. </w:t>
      </w:r>
    </w:p>
    <w:p w14:paraId="3BC4BC3E" w14:textId="176E232C" w:rsidR="00F40984" w:rsidRPr="008D6C3B" w:rsidRDefault="00F40984"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A este fin, el tribunal podrá requerir del fiscal y del abogado del imputado aquella</w:t>
      </w:r>
      <w:r w:rsidR="004F47F0" w:rsidRPr="008D6C3B">
        <w:rPr>
          <w:rFonts w:eastAsia="Times New Roman" w:cs="Times New Roman"/>
          <w:szCs w:val="20"/>
          <w:lang w:val="es-ES"/>
        </w:rPr>
        <w:t xml:space="preserve"> </w:t>
      </w:r>
      <w:r w:rsidRPr="008D6C3B">
        <w:rPr>
          <w:rFonts w:eastAsia="Times New Roman" w:cs="Times New Roman"/>
          <w:szCs w:val="20"/>
          <w:lang w:val="es-ES"/>
        </w:rPr>
        <w:t>información, datos y documentos que tengan en su poder y que estime necesarios</w:t>
      </w:r>
      <w:r w:rsidR="00AF5F6B" w:rsidRPr="008D6C3B">
        <w:rPr>
          <w:rFonts w:eastAsia="Times New Roman" w:cs="Times New Roman"/>
          <w:szCs w:val="20"/>
          <w:lang w:val="es-ES"/>
        </w:rPr>
        <w:t>.</w:t>
      </w:r>
      <w:r w:rsidRPr="008D6C3B">
        <w:rPr>
          <w:rFonts w:eastAsia="Times New Roman" w:cs="Times New Roman"/>
          <w:szCs w:val="20"/>
          <w:lang w:val="es-ES"/>
        </w:rPr>
        <w:t xml:space="preserve"> </w:t>
      </w:r>
      <w:r w:rsidR="00AF5F6B" w:rsidRPr="008D6C3B">
        <w:rPr>
          <w:rFonts w:eastAsia="Times New Roman" w:cs="Times New Roman"/>
          <w:szCs w:val="20"/>
          <w:lang w:val="es-ES"/>
        </w:rPr>
        <w:t>También</w:t>
      </w:r>
      <w:r w:rsidRPr="008D6C3B">
        <w:rPr>
          <w:rFonts w:eastAsia="Times New Roman" w:cs="Times New Roman"/>
          <w:szCs w:val="20"/>
          <w:lang w:val="es-ES"/>
        </w:rPr>
        <w:t xml:space="preserve"> podrá examinar al imputado y a cualquier otra persona que a su juicio sea conveniente.</w:t>
      </w:r>
    </w:p>
    <w:p w14:paraId="641ED801" w14:textId="3D1A4EE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El tribunal, previo a aceptar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deberá, haciéndolo constar en el registro, efectuar la siguiente advertencia al imputado:</w:t>
      </w:r>
    </w:p>
    <w:p w14:paraId="538F3CC3" w14:textId="3DC76340"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lastRenderedPageBreak/>
        <w:t>“Si usted no es ciudadano de los Estados Unidos, se le advierte que una convicción por el delito por el cual se le acusa puede traer como consecuencia la deportación, la exclusión de admisión a los Estados Unidos o la denegación de naturalización conforme a las leyes de los Estados Unidos.”</w:t>
      </w:r>
    </w:p>
    <w:p w14:paraId="597E2C9F" w14:textId="6597FA6D" w:rsidR="002C2A0B" w:rsidRPr="002C2A0B" w:rsidRDefault="002C2A0B" w:rsidP="008D6C3B">
      <w:pPr>
        <w:spacing w:line="480" w:lineRule="auto"/>
        <w:ind w:firstLine="720"/>
        <w:jc w:val="both"/>
        <w:rPr>
          <w:rFonts w:eastAsia="Times New Roman" w:cs="Times New Roman"/>
          <w:szCs w:val="20"/>
          <w:lang w:val="es-ES"/>
        </w:rPr>
      </w:pPr>
      <w:r w:rsidRPr="002C2A0B">
        <w:rPr>
          <w:rFonts w:eastAsia="Times New Roman" w:cs="Times New Roman"/>
          <w:szCs w:val="20"/>
          <w:lang w:val="es-ES"/>
        </w:rPr>
        <w:t>De ser solicitado, el tribunal concederá al imputado un tiempo adicional para considerar si la</w:t>
      </w:r>
      <w:r>
        <w:rPr>
          <w:rFonts w:eastAsia="Times New Roman" w:cs="Times New Roman"/>
          <w:szCs w:val="20"/>
          <w:lang w:val="es-ES"/>
        </w:rPr>
        <w:t xml:space="preserve"> </w:t>
      </w:r>
      <w:r w:rsidRPr="002C2A0B">
        <w:rPr>
          <w:rFonts w:eastAsia="Times New Roman" w:cs="Times New Roman"/>
          <w:szCs w:val="20"/>
          <w:lang w:val="es-ES"/>
        </w:rPr>
        <w:t xml:space="preserve">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la acción adecuada a la luz de la advertencia descrita en esta regla.</w:t>
      </w:r>
    </w:p>
    <w:p w14:paraId="23148126" w14:textId="70C91A62" w:rsidR="002C2A0B" w:rsidRPr="002C2A0B" w:rsidRDefault="002C2A0B" w:rsidP="00516660">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Toda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en una causa en la que se impute la venta, posesión, transporte,</w:t>
      </w:r>
      <w:r>
        <w:rPr>
          <w:rFonts w:eastAsia="Times New Roman" w:cs="Times New Roman"/>
          <w:szCs w:val="20"/>
          <w:lang w:val="es-ES"/>
        </w:rPr>
        <w:t xml:space="preserve"> </w:t>
      </w:r>
      <w:r w:rsidRPr="002C2A0B">
        <w:rPr>
          <w:rFonts w:eastAsia="Times New Roman" w:cs="Times New Roman"/>
          <w:szCs w:val="20"/>
          <w:lang w:val="es-ES"/>
        </w:rPr>
        <w:t>portación o uso ilegal de un arma de fuego, según establecido en los Artículos 6.05 o 6.14 de la</w:t>
      </w:r>
      <w:r>
        <w:rPr>
          <w:rFonts w:eastAsia="Times New Roman" w:cs="Times New Roman"/>
          <w:szCs w:val="20"/>
          <w:lang w:val="es-ES"/>
        </w:rPr>
        <w:t xml:space="preserve"> </w:t>
      </w:r>
      <w:r w:rsidRPr="002C2A0B">
        <w:rPr>
          <w:rFonts w:eastAsia="Times New Roman" w:cs="Times New Roman"/>
          <w:szCs w:val="20"/>
          <w:lang w:val="es-ES"/>
        </w:rPr>
        <w:t>Ley 168-2019, según enmendada, conocida como la “Ley de Armas de Puerto Rico”, o sus</w:t>
      </w:r>
      <w:r>
        <w:rPr>
          <w:rFonts w:eastAsia="Times New Roman" w:cs="Times New Roman"/>
          <w:szCs w:val="20"/>
          <w:lang w:val="es-ES"/>
        </w:rPr>
        <w:t xml:space="preserve"> </w:t>
      </w:r>
      <w:r w:rsidRPr="002C2A0B">
        <w:rPr>
          <w:rFonts w:eastAsia="Times New Roman" w:cs="Times New Roman"/>
          <w:szCs w:val="20"/>
          <w:lang w:val="es-ES"/>
        </w:rPr>
        <w:t>versiones subsiguientes, deberá conllevar para el imputado o acusado una pena de reclusión de al</w:t>
      </w:r>
      <w:r>
        <w:rPr>
          <w:rFonts w:eastAsia="Times New Roman" w:cs="Times New Roman"/>
          <w:szCs w:val="20"/>
          <w:lang w:val="es-ES"/>
        </w:rPr>
        <w:t xml:space="preserve"> </w:t>
      </w:r>
      <w:r w:rsidRPr="002C2A0B">
        <w:rPr>
          <w:rFonts w:eastAsia="Times New Roman" w:cs="Times New Roman"/>
          <w:szCs w:val="20"/>
          <w:lang w:val="es-ES"/>
        </w:rPr>
        <w:t>menos dos (2) años, cuando la pena de reclusión estatuida para la conducta imputada bajo dichos</w:t>
      </w:r>
      <w:r>
        <w:rPr>
          <w:rFonts w:eastAsia="Times New Roman" w:cs="Times New Roman"/>
          <w:szCs w:val="20"/>
          <w:lang w:val="es-ES"/>
        </w:rPr>
        <w:t xml:space="preserve"> </w:t>
      </w:r>
      <w:r w:rsidRPr="002C2A0B">
        <w:rPr>
          <w:rFonts w:eastAsia="Times New Roman" w:cs="Times New Roman"/>
          <w:szCs w:val="20"/>
          <w:lang w:val="es-ES"/>
        </w:rPr>
        <w:t>Artículos sea mayor de dos (2) años. Cuando circunstancias extraordinarias relacionadas con el</w:t>
      </w:r>
      <w:r>
        <w:rPr>
          <w:rFonts w:eastAsia="Times New Roman" w:cs="Times New Roman"/>
          <w:szCs w:val="20"/>
          <w:lang w:val="es-ES"/>
        </w:rPr>
        <w:t xml:space="preserve"> </w:t>
      </w:r>
      <w:r w:rsidRPr="002C2A0B">
        <w:rPr>
          <w:rFonts w:eastAsia="Times New Roman" w:cs="Times New Roman"/>
          <w:szCs w:val="20"/>
          <w:lang w:val="es-ES"/>
        </w:rPr>
        <w:t>proceso judicial así lo requieran, el Secretario de Justicia tendrá la facultad para autorizar por</w:t>
      </w:r>
      <w:r>
        <w:rPr>
          <w:rFonts w:eastAsia="Times New Roman" w:cs="Times New Roman"/>
          <w:szCs w:val="20"/>
          <w:lang w:val="es-ES"/>
        </w:rPr>
        <w:t xml:space="preserve"> </w:t>
      </w:r>
      <w:r w:rsidRPr="002C2A0B">
        <w:rPr>
          <w:rFonts w:eastAsia="Times New Roman" w:cs="Times New Roman"/>
          <w:szCs w:val="20"/>
          <w:lang w:val="es-ES"/>
        </w:rPr>
        <w:t xml:space="preserve">escrito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que incluya una pena de reclusión menor de dos (2) años. El</w:t>
      </w:r>
      <w:r>
        <w:rPr>
          <w:rFonts w:eastAsia="Times New Roman" w:cs="Times New Roman"/>
          <w:szCs w:val="20"/>
          <w:lang w:val="es-ES"/>
        </w:rPr>
        <w:t xml:space="preserve"> </w:t>
      </w:r>
      <w:r w:rsidRPr="002C2A0B">
        <w:rPr>
          <w:rFonts w:eastAsia="Times New Roman" w:cs="Times New Roman"/>
          <w:szCs w:val="20"/>
          <w:lang w:val="es-ES"/>
        </w:rPr>
        <w:t>Secretario de Justicia podrá delegar esta facultad en el Subsecretario de Justicia o en el Jefe de los</w:t>
      </w:r>
      <w:r>
        <w:rPr>
          <w:rFonts w:eastAsia="Times New Roman" w:cs="Times New Roman"/>
          <w:szCs w:val="20"/>
          <w:lang w:val="es-ES"/>
        </w:rPr>
        <w:t xml:space="preserve"> </w:t>
      </w:r>
      <w:r w:rsidRPr="002C2A0B">
        <w:rPr>
          <w:rFonts w:eastAsia="Times New Roman" w:cs="Times New Roman"/>
          <w:szCs w:val="20"/>
          <w:lang w:val="es-ES"/>
        </w:rPr>
        <w:t>Fiscales.</w:t>
      </w:r>
    </w:p>
    <w:p w14:paraId="6B0D1A6C" w14:textId="6DB3389A" w:rsidR="002C2A0B" w:rsidRDefault="002C2A0B" w:rsidP="008D6C3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No podrá acogerse al sistema de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ninguna persona a quien se le</w:t>
      </w:r>
      <w:r>
        <w:rPr>
          <w:rFonts w:eastAsia="Times New Roman" w:cs="Times New Roman"/>
          <w:szCs w:val="20"/>
          <w:lang w:val="es-ES"/>
        </w:rPr>
        <w:t xml:space="preserve"> </w:t>
      </w:r>
      <w:r w:rsidRPr="002C2A0B">
        <w:rPr>
          <w:rFonts w:eastAsia="Times New Roman" w:cs="Times New Roman"/>
          <w:szCs w:val="20"/>
          <w:lang w:val="es-ES"/>
        </w:rPr>
        <w:t xml:space="preserve">impute la violación a los incisos (a) y (b) del Artículo 405 </w:t>
      </w:r>
      <w:proofErr w:type="spellStart"/>
      <w:r w:rsidRPr="002C2A0B">
        <w:rPr>
          <w:rFonts w:eastAsia="Times New Roman" w:cs="Times New Roman"/>
          <w:szCs w:val="20"/>
          <w:lang w:val="es-ES"/>
        </w:rPr>
        <w:t>ó</w:t>
      </w:r>
      <w:proofErr w:type="spellEnd"/>
      <w:r w:rsidRPr="002C2A0B">
        <w:rPr>
          <w:rFonts w:eastAsia="Times New Roman" w:cs="Times New Roman"/>
          <w:szCs w:val="20"/>
          <w:lang w:val="es-ES"/>
        </w:rPr>
        <w:t xml:space="preserve"> del Artículo 411A de la Ley Núm. 4</w:t>
      </w:r>
      <w:r>
        <w:rPr>
          <w:rFonts w:eastAsia="Times New Roman" w:cs="Times New Roman"/>
          <w:szCs w:val="20"/>
          <w:lang w:val="es-ES"/>
        </w:rPr>
        <w:t xml:space="preserve"> </w:t>
      </w:r>
      <w:r w:rsidRPr="002C2A0B">
        <w:rPr>
          <w:rFonts w:eastAsia="Times New Roman" w:cs="Times New Roman"/>
          <w:szCs w:val="20"/>
          <w:lang w:val="es-ES"/>
        </w:rPr>
        <w:t>de 23 de junio de 1971, según enmendada, conocida como la Ley de Sustancias Controladas de</w:t>
      </w:r>
      <w:r>
        <w:rPr>
          <w:rFonts w:eastAsia="Times New Roman" w:cs="Times New Roman"/>
          <w:szCs w:val="20"/>
          <w:lang w:val="es-ES"/>
        </w:rPr>
        <w:t xml:space="preserve"> </w:t>
      </w:r>
      <w:r w:rsidRPr="002C2A0B">
        <w:rPr>
          <w:rFonts w:eastAsia="Times New Roman" w:cs="Times New Roman"/>
          <w:szCs w:val="20"/>
          <w:lang w:val="es-ES"/>
        </w:rPr>
        <w:t>Puerto Rico.</w:t>
      </w:r>
      <w:r w:rsidR="00BD4883">
        <w:rPr>
          <w:rFonts w:eastAsia="Times New Roman" w:cs="Times New Roman"/>
          <w:szCs w:val="20"/>
          <w:lang w:val="es-ES"/>
        </w:rPr>
        <w:t>”</w:t>
      </w:r>
    </w:p>
    <w:p w14:paraId="50FF41CB" w14:textId="003C79C2" w:rsidR="00B32250" w:rsidRPr="002F1792" w:rsidRDefault="00B32250" w:rsidP="00516660">
      <w:pPr>
        <w:spacing w:line="480" w:lineRule="auto"/>
        <w:ind w:firstLine="720"/>
        <w:jc w:val="both"/>
        <w:rPr>
          <w:rFonts w:eastAsia="Times New Roman" w:cs="Times New Roman"/>
          <w:szCs w:val="24"/>
          <w:lang w:val="es-ES"/>
        </w:rPr>
      </w:pPr>
      <w:r w:rsidRPr="002F1792">
        <w:rPr>
          <w:rFonts w:eastAsia="Times New Roman" w:cs="Times New Roman"/>
          <w:szCs w:val="20"/>
          <w:lang w:val="es-ES"/>
        </w:rPr>
        <w:lastRenderedPageBreak/>
        <w:t xml:space="preserve">Artículo 2.- Se enmienda la Regla 247 de Procedimiento Criminal de 1963, según enmendadas, </w:t>
      </w:r>
      <w:r w:rsidRPr="002F1792">
        <w:rPr>
          <w:rFonts w:eastAsia="Times New Roman" w:cs="Times New Roman"/>
          <w:szCs w:val="24"/>
          <w:lang w:val="es-ES"/>
        </w:rPr>
        <w:t>para que lea como sigue:</w:t>
      </w:r>
    </w:p>
    <w:p w14:paraId="0111A2A9"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“REGLA 247. — SOBRESEIMIENTO. </w:t>
      </w:r>
    </w:p>
    <w:p w14:paraId="1C99E2D2"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(a) … </w:t>
      </w:r>
    </w:p>
    <w:p w14:paraId="569F5952"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(b)  El tribunal deberá celebrar una vista </w:t>
      </w:r>
      <w:proofErr w:type="spellStart"/>
      <w:r w:rsidRPr="002F1792">
        <w:rPr>
          <w:rFonts w:eastAsia="Times New Roman" w:cs="Arial"/>
          <w:szCs w:val="24"/>
          <w:lang w:val="es-ES"/>
        </w:rPr>
        <w:t>evidenciaria</w:t>
      </w:r>
      <w:proofErr w:type="spellEnd"/>
      <w:r w:rsidRPr="002F1792">
        <w:rPr>
          <w:rFonts w:eastAsia="Times New Roman" w:cs="Arial"/>
          <w:szCs w:val="24"/>
          <w:lang w:val="es-ES"/>
        </w:rPr>
        <w:t xml:space="preserve"> dentro de un término no mayor de treinta (30) días desde que se solicite el sobreseimiento, con la comparecencia obligatoria del Ministerio Público, del imputado y de la víctima o su representante, salvo renuncia expresa de esta última.</w:t>
      </w:r>
    </w:p>
    <w:p w14:paraId="3A328BA0"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La víctima tendrá derecho a estar presente y ser oída; comparecer asistida de un/a abogado/a o intercesora legal</w:t>
      </w:r>
      <w:r w:rsidRPr="00755649">
        <w:rPr>
          <w:rFonts w:eastAsia="Times New Roman" w:cs="Arial"/>
          <w:strike/>
          <w:szCs w:val="24"/>
          <w:lang w:val="es-ES"/>
        </w:rPr>
        <w:t>; y proponer medidas de protección alternas</w:t>
      </w:r>
      <w:r w:rsidRPr="002F1792">
        <w:rPr>
          <w:rFonts w:eastAsia="Times New Roman" w:cs="Arial"/>
          <w:szCs w:val="24"/>
          <w:lang w:val="es-ES"/>
        </w:rPr>
        <w:t>.</w:t>
      </w:r>
    </w:p>
    <w:p w14:paraId="4023396A"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Al resolver, el tribunal deberá esbozar, por escrito, los fundamentos tomados en consideración al tomar su determinación.  Al ejercer su discreción de archivar un caso criminal, el tribunal debe tomar en consideración varios factores, entre ellos:</w:t>
      </w:r>
    </w:p>
    <w:p w14:paraId="225E6B81"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la evidencia con la que cuenta el Ministerio Público para establecer su caso;</w:t>
      </w:r>
    </w:p>
    <w:p w14:paraId="1B4EFF18"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naturaleza del delito;</w:t>
      </w:r>
    </w:p>
    <w:p w14:paraId="409CFD48"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si el acusado está encarcelado o ha sido convicto en un caso relacionado o similar;</w:t>
      </w:r>
    </w:p>
    <w:p w14:paraId="61AD8A85"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tiempo que el acusado lleva encarcelado;</w:t>
      </w:r>
    </w:p>
    <w:p w14:paraId="59A80893"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lastRenderedPageBreak/>
        <w:t>posibilidad de amenaza u hostigamiento;</w:t>
      </w:r>
    </w:p>
    <w:p w14:paraId="1E5DDDB3"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probabilidad de que en el juicio pueda traerse evidencia nueva o adicional;</w:t>
      </w:r>
    </w:p>
    <w:p w14:paraId="120EDDE4"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si sirve a los mejores intereses de la sociedad proseguir con los procedimientos.</w:t>
      </w:r>
    </w:p>
    <w:p w14:paraId="5F6340B4"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Además de dichos criterios, será preciso examinar la naturaleza de la acusación. Esto incluye: </w:t>
      </w:r>
    </w:p>
    <w:p w14:paraId="7DB6212A"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 xml:space="preserve">el tipo de actividad delictiva en cuestión; </w:t>
      </w:r>
    </w:p>
    <w:p w14:paraId="4F23380D"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 xml:space="preserve">su seriedad; </w:t>
      </w:r>
    </w:p>
    <w:p w14:paraId="152A24DD"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la frecuencia con que se archivan casos del mismo tipo;</w:t>
      </w:r>
    </w:p>
    <w:p w14:paraId="0CD4F978"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el impacto del archivo sobre la administración de la justicia y los derechos del acusado.</w:t>
      </w:r>
    </w:p>
    <w:p w14:paraId="6173397F" w14:textId="60960180" w:rsidR="002F1792" w:rsidRPr="002F1792" w:rsidRDefault="002F1792" w:rsidP="00516660">
      <w:pPr>
        <w:spacing w:line="480" w:lineRule="auto"/>
        <w:ind w:left="720" w:right="720" w:firstLine="720"/>
        <w:jc w:val="both"/>
        <w:rPr>
          <w:rFonts w:eastAsia="Times New Roman" w:cs="Arial"/>
          <w:szCs w:val="24"/>
          <w:lang w:val="es-ES"/>
        </w:rPr>
      </w:pPr>
      <w:r w:rsidRPr="00755649">
        <w:rPr>
          <w:rFonts w:eastAsia="Times New Roman" w:cs="Arial"/>
          <w:strike/>
          <w:szCs w:val="24"/>
          <w:lang w:val="es-ES"/>
        </w:rPr>
        <w:t>Aunque los</w:t>
      </w:r>
      <w:r w:rsidRPr="002F1792">
        <w:rPr>
          <w:rFonts w:eastAsia="Times New Roman" w:cs="Arial"/>
          <w:szCs w:val="24"/>
          <w:lang w:val="es-ES"/>
        </w:rPr>
        <w:t xml:space="preserve"> </w:t>
      </w:r>
      <w:proofErr w:type="spellStart"/>
      <w:r w:rsidR="00755649" w:rsidRPr="00755649">
        <w:rPr>
          <w:rFonts w:eastAsia="Times New Roman" w:cs="Arial"/>
          <w:i/>
          <w:iCs/>
          <w:szCs w:val="24"/>
          <w:u w:val="single"/>
          <w:lang w:val="es-ES"/>
        </w:rPr>
        <w:t>Los</w:t>
      </w:r>
      <w:proofErr w:type="spellEnd"/>
      <w:r w:rsidR="00755649">
        <w:rPr>
          <w:rFonts w:eastAsia="Times New Roman" w:cs="Arial"/>
          <w:szCs w:val="24"/>
          <w:lang w:val="es-ES"/>
        </w:rPr>
        <w:t xml:space="preserve"> </w:t>
      </w:r>
      <w:r w:rsidRPr="002F1792">
        <w:rPr>
          <w:rFonts w:eastAsia="Times New Roman" w:cs="Arial"/>
          <w:szCs w:val="24"/>
          <w:lang w:val="es-ES"/>
        </w:rPr>
        <w:t>factores mencionados constituyen elementos necesarios a considerarse en la determinación de un tribunal de archivar una denuncia o acusación,</w:t>
      </w:r>
      <w:r w:rsidR="00755649">
        <w:rPr>
          <w:rFonts w:eastAsia="Times New Roman" w:cs="Arial"/>
          <w:szCs w:val="24"/>
          <w:lang w:val="es-ES"/>
        </w:rPr>
        <w:t xml:space="preserve"> </w:t>
      </w:r>
      <w:r w:rsidR="00755649" w:rsidRPr="00755649">
        <w:rPr>
          <w:rFonts w:eastAsia="Times New Roman" w:cs="Arial"/>
          <w:i/>
          <w:iCs/>
          <w:szCs w:val="24"/>
          <w:u w:val="single"/>
          <w:lang w:val="es-ES"/>
        </w:rPr>
        <w:t>pero</w:t>
      </w:r>
      <w:r w:rsidRPr="002F1792">
        <w:rPr>
          <w:rFonts w:eastAsia="Times New Roman" w:cs="Arial"/>
          <w:szCs w:val="24"/>
          <w:lang w:val="es-ES"/>
        </w:rPr>
        <w:t xml:space="preserve"> esto no significa que todos deben concurrir para que se justifique el archivo. El tribunal puede tomar en cuenta otros factores para determinar si procede un sobreseimiento, que le permitan hacer el balance entre la libertad del individuo y el interés del Gobierno en encausar a los responsables de actos delictivos.</w:t>
      </w:r>
    </w:p>
    <w:p w14:paraId="1C71B33A" w14:textId="77777777" w:rsidR="002F1792" w:rsidRPr="002F1792" w:rsidRDefault="002F1792" w:rsidP="00516660">
      <w:pPr>
        <w:spacing w:line="480" w:lineRule="auto"/>
        <w:ind w:left="720" w:right="720" w:firstLine="720"/>
        <w:jc w:val="both"/>
        <w:rPr>
          <w:rFonts w:eastAsia="Times New Roman" w:cs="Arial"/>
          <w:szCs w:val="24"/>
        </w:rPr>
      </w:pPr>
      <w:r w:rsidRPr="002F1792">
        <w:rPr>
          <w:rFonts w:eastAsia="Times New Roman" w:cs="Arial"/>
          <w:szCs w:val="24"/>
        </w:rPr>
        <w:t>(c)…</w:t>
      </w:r>
    </w:p>
    <w:p w14:paraId="50F575BC" w14:textId="54CD182F" w:rsidR="002F1792" w:rsidRPr="002F1792" w:rsidRDefault="002F1792" w:rsidP="00516660">
      <w:pPr>
        <w:spacing w:line="480" w:lineRule="auto"/>
        <w:ind w:left="720" w:right="720" w:firstLine="720"/>
        <w:jc w:val="both"/>
        <w:rPr>
          <w:rFonts w:eastAsia="Times New Roman" w:cs="Arial"/>
          <w:szCs w:val="24"/>
        </w:rPr>
      </w:pPr>
      <w:r w:rsidRPr="002F1792">
        <w:rPr>
          <w:rFonts w:eastAsia="Times New Roman" w:cs="Arial"/>
          <w:szCs w:val="24"/>
        </w:rPr>
        <w:t>(d)…”</w:t>
      </w:r>
    </w:p>
    <w:p w14:paraId="204870F0" w14:textId="4C42E0EA" w:rsidR="00885C65" w:rsidRPr="00FA7B75" w:rsidRDefault="00FA7B75" w:rsidP="00516660">
      <w:pPr>
        <w:spacing w:line="480" w:lineRule="auto"/>
        <w:ind w:firstLine="720"/>
        <w:jc w:val="both"/>
        <w:rPr>
          <w:rFonts w:eastAsia="Times New Roman" w:cs="Times New Roman"/>
          <w:szCs w:val="20"/>
          <w:lang w:val="es-ES_tradnl"/>
        </w:rPr>
      </w:pPr>
      <w:r w:rsidRPr="002F1792">
        <w:rPr>
          <w:rFonts w:eastAsia="Times New Roman" w:cs="Times New Roman"/>
          <w:szCs w:val="20"/>
          <w:lang w:val="es-ES"/>
        </w:rPr>
        <w:lastRenderedPageBreak/>
        <w:t xml:space="preserve">Artículo </w:t>
      </w:r>
      <w:r w:rsidR="00B32250" w:rsidRPr="002F1792">
        <w:rPr>
          <w:rFonts w:eastAsia="Times New Roman" w:cs="Times New Roman"/>
          <w:szCs w:val="20"/>
          <w:lang w:val="es-ES"/>
        </w:rPr>
        <w:t>3</w:t>
      </w:r>
      <w:r w:rsidRPr="002F1792">
        <w:rPr>
          <w:rFonts w:eastAsia="Times New Roman" w:cs="Times New Roman"/>
          <w:szCs w:val="20"/>
          <w:lang w:val="es-ES"/>
        </w:rPr>
        <w:t>.-</w:t>
      </w:r>
      <w:r w:rsidRPr="002F1792">
        <w:rPr>
          <w:rFonts w:eastAsia="Times New Roman" w:cs="Times New Roman"/>
          <w:szCs w:val="20"/>
          <w:lang w:val="es-ES_tradnl"/>
        </w:rPr>
        <w:t>Esta Ley comenzará a regir inmediatamente</w:t>
      </w:r>
      <w:r w:rsidRPr="00FA7B75">
        <w:rPr>
          <w:rFonts w:eastAsia="Times New Roman" w:cs="Times New Roman"/>
          <w:szCs w:val="20"/>
          <w:lang w:val="es-ES_tradnl"/>
        </w:rPr>
        <w:t xml:space="preserve"> después de su aprobación.</w:t>
      </w:r>
    </w:p>
    <w:sectPr w:rsidR="00885C65" w:rsidRPr="00FA7B75" w:rsidSect="00FA7B7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82BE2" w14:textId="77777777" w:rsidR="00DA3E82" w:rsidRPr="00120574" w:rsidRDefault="00DA3E82">
      <w:r w:rsidRPr="00120574">
        <w:separator/>
      </w:r>
    </w:p>
  </w:endnote>
  <w:endnote w:type="continuationSeparator" w:id="0">
    <w:p w14:paraId="561C482E" w14:textId="77777777" w:rsidR="00DA3E82" w:rsidRPr="00120574" w:rsidRDefault="00DA3E82">
      <w:r w:rsidRPr="001205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7A884" w14:textId="77777777" w:rsidR="00DA3E82" w:rsidRPr="00120574" w:rsidRDefault="00DA3E82">
      <w:r w:rsidRPr="00120574">
        <w:separator/>
      </w:r>
    </w:p>
  </w:footnote>
  <w:footnote w:type="continuationSeparator" w:id="0">
    <w:p w14:paraId="39D1338C" w14:textId="77777777" w:rsidR="00DA3E82" w:rsidRPr="00120574" w:rsidRDefault="00DA3E82">
      <w:r w:rsidRPr="001205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Pr="00120574" w:rsidRDefault="00F16E9B">
    <w:pPr>
      <w:pStyle w:val="Header"/>
      <w:jc w:val="center"/>
    </w:pPr>
    <w:r w:rsidRPr="00120574">
      <w:rPr>
        <w:rStyle w:val="PageNumber"/>
      </w:rPr>
      <w:fldChar w:fldCharType="begin"/>
    </w:r>
    <w:r w:rsidRPr="00120574">
      <w:rPr>
        <w:rStyle w:val="PageNumber"/>
      </w:rPr>
      <w:instrText xml:space="preserve"> PAGE </w:instrText>
    </w:r>
    <w:r w:rsidRPr="00120574">
      <w:rPr>
        <w:rStyle w:val="PageNumber"/>
      </w:rPr>
      <w:fldChar w:fldCharType="separate"/>
    </w:r>
    <w:r w:rsidR="00311039" w:rsidRPr="00120574">
      <w:rPr>
        <w:rStyle w:val="PageNumber"/>
      </w:rPr>
      <w:t>10</w:t>
    </w:r>
    <w:r w:rsidRPr="00120574">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7E774" w14:textId="19D3B881" w:rsidR="008B588F" w:rsidRPr="0064578F" w:rsidRDefault="0064578F" w:rsidP="008B588F">
    <w:pPr>
      <w:pStyle w:val="Header"/>
      <w:jc w:val="center"/>
      <w:rPr>
        <w:b/>
        <w:bCs/>
        <w:sz w:val="36"/>
        <w:szCs w:val="36"/>
        <w:lang w:val="en-US"/>
      </w:rPr>
    </w:pPr>
    <w:r w:rsidRPr="0064578F">
      <w:rPr>
        <w:b/>
        <w:bCs/>
        <w:sz w:val="36"/>
        <w:szCs w:val="36"/>
        <w:lang w:val="en-US"/>
      </w:rPr>
      <w:t xml:space="preserve">ENTIRILLADO ELECTRONICO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C4E3A73"/>
    <w:multiLevelType w:val="hybridMultilevel"/>
    <w:tmpl w:val="D49631E8"/>
    <w:lvl w:ilvl="0" w:tplc="5B342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9E596A"/>
    <w:multiLevelType w:val="hybridMultilevel"/>
    <w:tmpl w:val="8A04540E"/>
    <w:lvl w:ilvl="0" w:tplc="261A2016">
      <w:start w:val="1"/>
      <w:numFmt w:val="decimal"/>
      <w:lvlText w:val="(%1)"/>
      <w:lvlJc w:val="center"/>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6C27650A"/>
    <w:multiLevelType w:val="multilevel"/>
    <w:tmpl w:val="0A6042DE"/>
    <w:lvl w:ilvl="0">
      <w:start w:val="1"/>
      <w:numFmt w:val="decimal"/>
      <w:lvlText w:val="%1."/>
      <w:lvlJc w:val="left"/>
      <w:pPr>
        <w:tabs>
          <w:tab w:val="num" w:pos="720"/>
        </w:tabs>
        <w:ind w:left="720" w:hanging="360"/>
      </w:pPr>
      <w:rPr>
        <w:rFonts w:ascii="Book Antiqua" w:eastAsiaTheme="minorHAnsi" w:hAnsi="Book Antiqu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8E54B67"/>
    <w:multiLevelType w:val="hybridMultilevel"/>
    <w:tmpl w:val="D0B41EF4"/>
    <w:lvl w:ilvl="0" w:tplc="44A853CA">
      <w:start w:val="1"/>
      <w:numFmt w:val="decimal"/>
      <w:lvlText w:val="(%1)"/>
      <w:lvlJc w:val="center"/>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502937610">
    <w:abstractNumId w:val="12"/>
  </w:num>
  <w:num w:numId="2" w16cid:durableId="1213542167">
    <w:abstractNumId w:val="19"/>
  </w:num>
  <w:num w:numId="3" w16cid:durableId="1289703495">
    <w:abstractNumId w:val="2"/>
  </w:num>
  <w:num w:numId="4" w16cid:durableId="1588536224">
    <w:abstractNumId w:val="1"/>
  </w:num>
  <w:num w:numId="5" w16cid:durableId="1813061066">
    <w:abstractNumId w:val="6"/>
  </w:num>
  <w:num w:numId="6" w16cid:durableId="749738844">
    <w:abstractNumId w:val="17"/>
  </w:num>
  <w:num w:numId="7" w16cid:durableId="1994134863">
    <w:abstractNumId w:val="10"/>
  </w:num>
  <w:num w:numId="8" w16cid:durableId="349994820">
    <w:abstractNumId w:val="9"/>
  </w:num>
  <w:num w:numId="9" w16cid:durableId="1210874520">
    <w:abstractNumId w:val="5"/>
  </w:num>
  <w:num w:numId="10" w16cid:durableId="1741632942">
    <w:abstractNumId w:val="16"/>
  </w:num>
  <w:num w:numId="11" w16cid:durableId="1723405871">
    <w:abstractNumId w:val="7"/>
  </w:num>
  <w:num w:numId="12" w16cid:durableId="1337146391">
    <w:abstractNumId w:val="3"/>
  </w:num>
  <w:num w:numId="13" w16cid:durableId="2032338964">
    <w:abstractNumId w:val="0"/>
  </w:num>
  <w:num w:numId="14" w16cid:durableId="1454324914">
    <w:abstractNumId w:val="13"/>
  </w:num>
  <w:num w:numId="15" w16cid:durableId="2081706373">
    <w:abstractNumId w:val="11"/>
  </w:num>
  <w:num w:numId="16" w16cid:durableId="1949776812">
    <w:abstractNumId w:val="4"/>
  </w:num>
  <w:num w:numId="17" w16cid:durableId="777875876">
    <w:abstractNumId w:val="15"/>
  </w:num>
  <w:num w:numId="18" w16cid:durableId="572282753">
    <w:abstractNumId w:val="8"/>
  </w:num>
  <w:num w:numId="19" w16cid:durableId="1873423818">
    <w:abstractNumId w:val="14"/>
  </w:num>
  <w:num w:numId="20" w16cid:durableId="325367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13AC"/>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0911"/>
    <w:rsid w:val="000617E1"/>
    <w:rsid w:val="00061F45"/>
    <w:rsid w:val="000621E4"/>
    <w:rsid w:val="0006264E"/>
    <w:rsid w:val="00063733"/>
    <w:rsid w:val="00063D28"/>
    <w:rsid w:val="000646F7"/>
    <w:rsid w:val="00064A83"/>
    <w:rsid w:val="00065B21"/>
    <w:rsid w:val="0007145F"/>
    <w:rsid w:val="0007424F"/>
    <w:rsid w:val="00076BB3"/>
    <w:rsid w:val="000845BB"/>
    <w:rsid w:val="00087FA0"/>
    <w:rsid w:val="00095880"/>
    <w:rsid w:val="000A2DEC"/>
    <w:rsid w:val="000A54D6"/>
    <w:rsid w:val="000A7531"/>
    <w:rsid w:val="000B57BA"/>
    <w:rsid w:val="000B5D2C"/>
    <w:rsid w:val="000B6CF9"/>
    <w:rsid w:val="000C17C8"/>
    <w:rsid w:val="000C1AF1"/>
    <w:rsid w:val="000C521D"/>
    <w:rsid w:val="000D1A3F"/>
    <w:rsid w:val="000D1B32"/>
    <w:rsid w:val="000D4983"/>
    <w:rsid w:val="000D67D5"/>
    <w:rsid w:val="000E5FBC"/>
    <w:rsid w:val="000F21B3"/>
    <w:rsid w:val="000F3438"/>
    <w:rsid w:val="000F3D10"/>
    <w:rsid w:val="000F4C55"/>
    <w:rsid w:val="000F4E3E"/>
    <w:rsid w:val="000F563A"/>
    <w:rsid w:val="000F6F36"/>
    <w:rsid w:val="000F74A6"/>
    <w:rsid w:val="000F7D26"/>
    <w:rsid w:val="000F7D48"/>
    <w:rsid w:val="000F7EAA"/>
    <w:rsid w:val="0010299F"/>
    <w:rsid w:val="00103ED9"/>
    <w:rsid w:val="0010443C"/>
    <w:rsid w:val="001054A9"/>
    <w:rsid w:val="001055A4"/>
    <w:rsid w:val="00110B5B"/>
    <w:rsid w:val="00111F6B"/>
    <w:rsid w:val="001141E0"/>
    <w:rsid w:val="001173DF"/>
    <w:rsid w:val="00120574"/>
    <w:rsid w:val="00121B22"/>
    <w:rsid w:val="001229D2"/>
    <w:rsid w:val="00124440"/>
    <w:rsid w:val="00125DDF"/>
    <w:rsid w:val="00133BEE"/>
    <w:rsid w:val="001361B8"/>
    <w:rsid w:val="00142502"/>
    <w:rsid w:val="001439C7"/>
    <w:rsid w:val="00144DB5"/>
    <w:rsid w:val="0014525F"/>
    <w:rsid w:val="00151360"/>
    <w:rsid w:val="001532A7"/>
    <w:rsid w:val="00153BF0"/>
    <w:rsid w:val="001544D8"/>
    <w:rsid w:val="00157B72"/>
    <w:rsid w:val="00160C28"/>
    <w:rsid w:val="001651C6"/>
    <w:rsid w:val="00170DBA"/>
    <w:rsid w:val="00175052"/>
    <w:rsid w:val="0017545E"/>
    <w:rsid w:val="00176675"/>
    <w:rsid w:val="0018138B"/>
    <w:rsid w:val="00181869"/>
    <w:rsid w:val="001826F4"/>
    <w:rsid w:val="00183E47"/>
    <w:rsid w:val="001849D6"/>
    <w:rsid w:val="0018511A"/>
    <w:rsid w:val="00186B75"/>
    <w:rsid w:val="001870E8"/>
    <w:rsid w:val="00195F38"/>
    <w:rsid w:val="001A2601"/>
    <w:rsid w:val="001A4179"/>
    <w:rsid w:val="001A5B0F"/>
    <w:rsid w:val="001A6231"/>
    <w:rsid w:val="001B13D6"/>
    <w:rsid w:val="001B1D98"/>
    <w:rsid w:val="001B4370"/>
    <w:rsid w:val="001C14C0"/>
    <w:rsid w:val="001C318B"/>
    <w:rsid w:val="001C3551"/>
    <w:rsid w:val="001C5DAE"/>
    <w:rsid w:val="001D0209"/>
    <w:rsid w:val="001D1FE5"/>
    <w:rsid w:val="001D61CF"/>
    <w:rsid w:val="001D6706"/>
    <w:rsid w:val="001D7C95"/>
    <w:rsid w:val="001E49B6"/>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053E"/>
    <w:rsid w:val="002418CE"/>
    <w:rsid w:val="002505DD"/>
    <w:rsid w:val="00252CD5"/>
    <w:rsid w:val="00257122"/>
    <w:rsid w:val="00260B1F"/>
    <w:rsid w:val="002637DB"/>
    <w:rsid w:val="00266844"/>
    <w:rsid w:val="002675D3"/>
    <w:rsid w:val="00270222"/>
    <w:rsid w:val="00273C38"/>
    <w:rsid w:val="002749AA"/>
    <w:rsid w:val="00287AB6"/>
    <w:rsid w:val="00287E9C"/>
    <w:rsid w:val="0029348C"/>
    <w:rsid w:val="002957A3"/>
    <w:rsid w:val="00295BDC"/>
    <w:rsid w:val="002A0C32"/>
    <w:rsid w:val="002A4990"/>
    <w:rsid w:val="002A756E"/>
    <w:rsid w:val="002A7659"/>
    <w:rsid w:val="002A7C32"/>
    <w:rsid w:val="002B13FE"/>
    <w:rsid w:val="002B3564"/>
    <w:rsid w:val="002B77F3"/>
    <w:rsid w:val="002C2A0B"/>
    <w:rsid w:val="002C557F"/>
    <w:rsid w:val="002D21CB"/>
    <w:rsid w:val="002D2E98"/>
    <w:rsid w:val="002D2F25"/>
    <w:rsid w:val="002D32D7"/>
    <w:rsid w:val="002D503F"/>
    <w:rsid w:val="002D5D09"/>
    <w:rsid w:val="002D61F7"/>
    <w:rsid w:val="002E1DD2"/>
    <w:rsid w:val="002E1E5F"/>
    <w:rsid w:val="002E3BA3"/>
    <w:rsid w:val="002E5A3F"/>
    <w:rsid w:val="002E5ED7"/>
    <w:rsid w:val="002F0101"/>
    <w:rsid w:val="002F1792"/>
    <w:rsid w:val="002F27EA"/>
    <w:rsid w:val="002F2802"/>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4D9"/>
    <w:rsid w:val="00341730"/>
    <w:rsid w:val="0034263C"/>
    <w:rsid w:val="00344178"/>
    <w:rsid w:val="0034420E"/>
    <w:rsid w:val="00346597"/>
    <w:rsid w:val="00351B69"/>
    <w:rsid w:val="00355289"/>
    <w:rsid w:val="003639C8"/>
    <w:rsid w:val="00363F03"/>
    <w:rsid w:val="00366311"/>
    <w:rsid w:val="00367237"/>
    <w:rsid w:val="00373E1F"/>
    <w:rsid w:val="00376674"/>
    <w:rsid w:val="00377352"/>
    <w:rsid w:val="003803DA"/>
    <w:rsid w:val="00381625"/>
    <w:rsid w:val="00383209"/>
    <w:rsid w:val="00386779"/>
    <w:rsid w:val="00387C8C"/>
    <w:rsid w:val="00393E46"/>
    <w:rsid w:val="003A2F1D"/>
    <w:rsid w:val="003A5FA7"/>
    <w:rsid w:val="003A6772"/>
    <w:rsid w:val="003B20E4"/>
    <w:rsid w:val="003B4293"/>
    <w:rsid w:val="003C175A"/>
    <w:rsid w:val="003C19D6"/>
    <w:rsid w:val="003C1F43"/>
    <w:rsid w:val="003C35C9"/>
    <w:rsid w:val="003C3686"/>
    <w:rsid w:val="003C4B5B"/>
    <w:rsid w:val="003C4EE3"/>
    <w:rsid w:val="003C5F83"/>
    <w:rsid w:val="003C73C3"/>
    <w:rsid w:val="003E02FE"/>
    <w:rsid w:val="003E0DA5"/>
    <w:rsid w:val="003E37A6"/>
    <w:rsid w:val="003E4808"/>
    <w:rsid w:val="003E4D4E"/>
    <w:rsid w:val="003F7BB5"/>
    <w:rsid w:val="004006CC"/>
    <w:rsid w:val="00400AC1"/>
    <w:rsid w:val="004018FA"/>
    <w:rsid w:val="00401BB9"/>
    <w:rsid w:val="0040574A"/>
    <w:rsid w:val="00410208"/>
    <w:rsid w:val="0041258E"/>
    <w:rsid w:val="00412F0C"/>
    <w:rsid w:val="004131EB"/>
    <w:rsid w:val="0041356B"/>
    <w:rsid w:val="00414611"/>
    <w:rsid w:val="00415926"/>
    <w:rsid w:val="00420585"/>
    <w:rsid w:val="004221ED"/>
    <w:rsid w:val="0042262E"/>
    <w:rsid w:val="00430EDB"/>
    <w:rsid w:val="00431D24"/>
    <w:rsid w:val="0043268D"/>
    <w:rsid w:val="0043316D"/>
    <w:rsid w:val="004349C6"/>
    <w:rsid w:val="00434B83"/>
    <w:rsid w:val="0044259B"/>
    <w:rsid w:val="004472EC"/>
    <w:rsid w:val="004473F4"/>
    <w:rsid w:val="004521CA"/>
    <w:rsid w:val="004534FA"/>
    <w:rsid w:val="00454965"/>
    <w:rsid w:val="00454A25"/>
    <w:rsid w:val="00454B50"/>
    <w:rsid w:val="00460735"/>
    <w:rsid w:val="00461815"/>
    <w:rsid w:val="00462D3B"/>
    <w:rsid w:val="00472B83"/>
    <w:rsid w:val="00472FDA"/>
    <w:rsid w:val="00474BC5"/>
    <w:rsid w:val="00475B1A"/>
    <w:rsid w:val="004764F3"/>
    <w:rsid w:val="00480756"/>
    <w:rsid w:val="004844EF"/>
    <w:rsid w:val="0049096F"/>
    <w:rsid w:val="00494B70"/>
    <w:rsid w:val="0049601D"/>
    <w:rsid w:val="00497405"/>
    <w:rsid w:val="004A288E"/>
    <w:rsid w:val="004A2C7F"/>
    <w:rsid w:val="004A5987"/>
    <w:rsid w:val="004B084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47F0"/>
    <w:rsid w:val="004F5E4F"/>
    <w:rsid w:val="004F6C8A"/>
    <w:rsid w:val="00501E69"/>
    <w:rsid w:val="0050319E"/>
    <w:rsid w:val="00511B13"/>
    <w:rsid w:val="005150B2"/>
    <w:rsid w:val="00516660"/>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AF"/>
    <w:rsid w:val="005613CA"/>
    <w:rsid w:val="0056437A"/>
    <w:rsid w:val="00565375"/>
    <w:rsid w:val="0056672F"/>
    <w:rsid w:val="005712AB"/>
    <w:rsid w:val="00576E28"/>
    <w:rsid w:val="00577FB8"/>
    <w:rsid w:val="00580DE3"/>
    <w:rsid w:val="005932D7"/>
    <w:rsid w:val="00593525"/>
    <w:rsid w:val="00595090"/>
    <w:rsid w:val="00597A98"/>
    <w:rsid w:val="005A1FB8"/>
    <w:rsid w:val="005A239A"/>
    <w:rsid w:val="005A30A7"/>
    <w:rsid w:val="005A3145"/>
    <w:rsid w:val="005A3306"/>
    <w:rsid w:val="005A48D3"/>
    <w:rsid w:val="005B451B"/>
    <w:rsid w:val="005B5797"/>
    <w:rsid w:val="005C3404"/>
    <w:rsid w:val="005C3F32"/>
    <w:rsid w:val="005C71A9"/>
    <w:rsid w:val="005D161C"/>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04417"/>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632"/>
    <w:rsid w:val="006438EC"/>
    <w:rsid w:val="0064578F"/>
    <w:rsid w:val="006462CC"/>
    <w:rsid w:val="0065127A"/>
    <w:rsid w:val="00651AD3"/>
    <w:rsid w:val="006538F9"/>
    <w:rsid w:val="0065461C"/>
    <w:rsid w:val="00654870"/>
    <w:rsid w:val="00654BC1"/>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B7EE5"/>
    <w:rsid w:val="006C21C3"/>
    <w:rsid w:val="006C2D51"/>
    <w:rsid w:val="006C6D17"/>
    <w:rsid w:val="006D09A1"/>
    <w:rsid w:val="006D4C02"/>
    <w:rsid w:val="006D5B5C"/>
    <w:rsid w:val="006D612D"/>
    <w:rsid w:val="006E0888"/>
    <w:rsid w:val="006E31AC"/>
    <w:rsid w:val="006E4572"/>
    <w:rsid w:val="006E45B0"/>
    <w:rsid w:val="006F7444"/>
    <w:rsid w:val="00702E99"/>
    <w:rsid w:val="007030F2"/>
    <w:rsid w:val="007031D2"/>
    <w:rsid w:val="00703E39"/>
    <w:rsid w:val="00705E30"/>
    <w:rsid w:val="00711BD4"/>
    <w:rsid w:val="007125A4"/>
    <w:rsid w:val="007129CF"/>
    <w:rsid w:val="00716FC2"/>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E02"/>
    <w:rsid w:val="00743F56"/>
    <w:rsid w:val="00744AEB"/>
    <w:rsid w:val="00745B79"/>
    <w:rsid w:val="0074699A"/>
    <w:rsid w:val="007473DD"/>
    <w:rsid w:val="00754ECF"/>
    <w:rsid w:val="00755649"/>
    <w:rsid w:val="00755EAE"/>
    <w:rsid w:val="00756D2E"/>
    <w:rsid w:val="0076088B"/>
    <w:rsid w:val="007637EE"/>
    <w:rsid w:val="00764C3D"/>
    <w:rsid w:val="00775D48"/>
    <w:rsid w:val="0077685A"/>
    <w:rsid w:val="007771DF"/>
    <w:rsid w:val="007818C9"/>
    <w:rsid w:val="007819A9"/>
    <w:rsid w:val="00783241"/>
    <w:rsid w:val="0078428E"/>
    <w:rsid w:val="00786584"/>
    <w:rsid w:val="00787746"/>
    <w:rsid w:val="00787B6D"/>
    <w:rsid w:val="00787BA8"/>
    <w:rsid w:val="007936F5"/>
    <w:rsid w:val="007944BF"/>
    <w:rsid w:val="00795627"/>
    <w:rsid w:val="007A157A"/>
    <w:rsid w:val="007A1E3D"/>
    <w:rsid w:val="007A20C5"/>
    <w:rsid w:val="007A2A45"/>
    <w:rsid w:val="007A2B79"/>
    <w:rsid w:val="007A5BA5"/>
    <w:rsid w:val="007B28E5"/>
    <w:rsid w:val="007B3890"/>
    <w:rsid w:val="007B5AB0"/>
    <w:rsid w:val="007B7788"/>
    <w:rsid w:val="007C3984"/>
    <w:rsid w:val="007C691F"/>
    <w:rsid w:val="007D07B3"/>
    <w:rsid w:val="007D482B"/>
    <w:rsid w:val="007E18BF"/>
    <w:rsid w:val="007E289A"/>
    <w:rsid w:val="007E37C4"/>
    <w:rsid w:val="007E39B5"/>
    <w:rsid w:val="007F097E"/>
    <w:rsid w:val="007F54D1"/>
    <w:rsid w:val="007F6069"/>
    <w:rsid w:val="00802048"/>
    <w:rsid w:val="00803D26"/>
    <w:rsid w:val="00810737"/>
    <w:rsid w:val="00811416"/>
    <w:rsid w:val="008176A6"/>
    <w:rsid w:val="00817CF1"/>
    <w:rsid w:val="00821054"/>
    <w:rsid w:val="00822C38"/>
    <w:rsid w:val="00826407"/>
    <w:rsid w:val="00830749"/>
    <w:rsid w:val="0083191E"/>
    <w:rsid w:val="00840DF9"/>
    <w:rsid w:val="00841573"/>
    <w:rsid w:val="00841881"/>
    <w:rsid w:val="00841C40"/>
    <w:rsid w:val="008434BF"/>
    <w:rsid w:val="00851DD7"/>
    <w:rsid w:val="00852EE0"/>
    <w:rsid w:val="00853F3A"/>
    <w:rsid w:val="0085670F"/>
    <w:rsid w:val="00857D49"/>
    <w:rsid w:val="00860094"/>
    <w:rsid w:val="0086021C"/>
    <w:rsid w:val="00861252"/>
    <w:rsid w:val="00861F82"/>
    <w:rsid w:val="00864947"/>
    <w:rsid w:val="00864E0B"/>
    <w:rsid w:val="00866CC7"/>
    <w:rsid w:val="008719DE"/>
    <w:rsid w:val="008724D2"/>
    <w:rsid w:val="00872E55"/>
    <w:rsid w:val="0087389E"/>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37D5"/>
    <w:rsid w:val="008A7A08"/>
    <w:rsid w:val="008B1659"/>
    <w:rsid w:val="008B1ACA"/>
    <w:rsid w:val="008B1FB3"/>
    <w:rsid w:val="008B246E"/>
    <w:rsid w:val="008B2D9D"/>
    <w:rsid w:val="008B3314"/>
    <w:rsid w:val="008B34E2"/>
    <w:rsid w:val="008B588F"/>
    <w:rsid w:val="008B5AC8"/>
    <w:rsid w:val="008B5DFE"/>
    <w:rsid w:val="008B6558"/>
    <w:rsid w:val="008B7A88"/>
    <w:rsid w:val="008C20F5"/>
    <w:rsid w:val="008C413E"/>
    <w:rsid w:val="008C54CD"/>
    <w:rsid w:val="008C5CF4"/>
    <w:rsid w:val="008C62EF"/>
    <w:rsid w:val="008D051B"/>
    <w:rsid w:val="008D0F52"/>
    <w:rsid w:val="008D10BA"/>
    <w:rsid w:val="008D593F"/>
    <w:rsid w:val="008D6C3B"/>
    <w:rsid w:val="008E0DA3"/>
    <w:rsid w:val="008E2346"/>
    <w:rsid w:val="008E30CB"/>
    <w:rsid w:val="008E3F32"/>
    <w:rsid w:val="008E57CA"/>
    <w:rsid w:val="008F14D1"/>
    <w:rsid w:val="008F3584"/>
    <w:rsid w:val="008F35FC"/>
    <w:rsid w:val="008F4144"/>
    <w:rsid w:val="008F4C72"/>
    <w:rsid w:val="008F5225"/>
    <w:rsid w:val="008F74CC"/>
    <w:rsid w:val="00900249"/>
    <w:rsid w:val="0090131B"/>
    <w:rsid w:val="00901D90"/>
    <w:rsid w:val="00905E13"/>
    <w:rsid w:val="00906B6E"/>
    <w:rsid w:val="00911AC3"/>
    <w:rsid w:val="00916144"/>
    <w:rsid w:val="00920BC1"/>
    <w:rsid w:val="009216AD"/>
    <w:rsid w:val="00923DA8"/>
    <w:rsid w:val="00926018"/>
    <w:rsid w:val="00927C46"/>
    <w:rsid w:val="009307A0"/>
    <w:rsid w:val="009375FB"/>
    <w:rsid w:val="00940C3B"/>
    <w:rsid w:val="009430AB"/>
    <w:rsid w:val="00943813"/>
    <w:rsid w:val="009457D2"/>
    <w:rsid w:val="00950CCB"/>
    <w:rsid w:val="00951F24"/>
    <w:rsid w:val="00954AC3"/>
    <w:rsid w:val="009622DF"/>
    <w:rsid w:val="009637D4"/>
    <w:rsid w:val="0096584D"/>
    <w:rsid w:val="0096674D"/>
    <w:rsid w:val="00967497"/>
    <w:rsid w:val="009767CE"/>
    <w:rsid w:val="00976D38"/>
    <w:rsid w:val="00977FF6"/>
    <w:rsid w:val="00982527"/>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589"/>
    <w:rsid w:val="009D0B3B"/>
    <w:rsid w:val="009E02CD"/>
    <w:rsid w:val="009E4B59"/>
    <w:rsid w:val="009E50A0"/>
    <w:rsid w:val="009E5217"/>
    <w:rsid w:val="009E7723"/>
    <w:rsid w:val="009E7B23"/>
    <w:rsid w:val="009F07E4"/>
    <w:rsid w:val="009F0EFC"/>
    <w:rsid w:val="009F149F"/>
    <w:rsid w:val="009F3633"/>
    <w:rsid w:val="009F5BDE"/>
    <w:rsid w:val="009F6F72"/>
    <w:rsid w:val="00A02051"/>
    <w:rsid w:val="00A020F5"/>
    <w:rsid w:val="00A036CD"/>
    <w:rsid w:val="00A03826"/>
    <w:rsid w:val="00A040F5"/>
    <w:rsid w:val="00A05B0D"/>
    <w:rsid w:val="00A07462"/>
    <w:rsid w:val="00A131C2"/>
    <w:rsid w:val="00A16831"/>
    <w:rsid w:val="00A21776"/>
    <w:rsid w:val="00A22D50"/>
    <w:rsid w:val="00A231E3"/>
    <w:rsid w:val="00A2351C"/>
    <w:rsid w:val="00A24030"/>
    <w:rsid w:val="00A275A9"/>
    <w:rsid w:val="00A339B5"/>
    <w:rsid w:val="00A35611"/>
    <w:rsid w:val="00A37C37"/>
    <w:rsid w:val="00A40E82"/>
    <w:rsid w:val="00A437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6B1F"/>
    <w:rsid w:val="00A77460"/>
    <w:rsid w:val="00A80ADC"/>
    <w:rsid w:val="00A82C13"/>
    <w:rsid w:val="00A841EE"/>
    <w:rsid w:val="00A85971"/>
    <w:rsid w:val="00A917A6"/>
    <w:rsid w:val="00A91D4D"/>
    <w:rsid w:val="00A941EF"/>
    <w:rsid w:val="00A95D4C"/>
    <w:rsid w:val="00A96511"/>
    <w:rsid w:val="00A97C69"/>
    <w:rsid w:val="00AA06E8"/>
    <w:rsid w:val="00AA4990"/>
    <w:rsid w:val="00AC538D"/>
    <w:rsid w:val="00AC6284"/>
    <w:rsid w:val="00AC6C18"/>
    <w:rsid w:val="00AD17BE"/>
    <w:rsid w:val="00AD1B27"/>
    <w:rsid w:val="00AD25DC"/>
    <w:rsid w:val="00AD349E"/>
    <w:rsid w:val="00AD45E9"/>
    <w:rsid w:val="00AD5D99"/>
    <w:rsid w:val="00AE2803"/>
    <w:rsid w:val="00AE3577"/>
    <w:rsid w:val="00AE496A"/>
    <w:rsid w:val="00AE4E1B"/>
    <w:rsid w:val="00AE5FD3"/>
    <w:rsid w:val="00AF05D2"/>
    <w:rsid w:val="00AF143E"/>
    <w:rsid w:val="00AF2BE5"/>
    <w:rsid w:val="00AF45A2"/>
    <w:rsid w:val="00AF5F6B"/>
    <w:rsid w:val="00AF6BE6"/>
    <w:rsid w:val="00AF7722"/>
    <w:rsid w:val="00B04151"/>
    <w:rsid w:val="00B06433"/>
    <w:rsid w:val="00B102A3"/>
    <w:rsid w:val="00B11149"/>
    <w:rsid w:val="00B11A69"/>
    <w:rsid w:val="00B11F6A"/>
    <w:rsid w:val="00B12821"/>
    <w:rsid w:val="00B13D2B"/>
    <w:rsid w:val="00B1434A"/>
    <w:rsid w:val="00B16F4D"/>
    <w:rsid w:val="00B21CD9"/>
    <w:rsid w:val="00B24F63"/>
    <w:rsid w:val="00B26718"/>
    <w:rsid w:val="00B275DB"/>
    <w:rsid w:val="00B30D10"/>
    <w:rsid w:val="00B31A69"/>
    <w:rsid w:val="00B32250"/>
    <w:rsid w:val="00B3306B"/>
    <w:rsid w:val="00B350BC"/>
    <w:rsid w:val="00B366DA"/>
    <w:rsid w:val="00B373AA"/>
    <w:rsid w:val="00B45B54"/>
    <w:rsid w:val="00B514AA"/>
    <w:rsid w:val="00B52687"/>
    <w:rsid w:val="00B567E2"/>
    <w:rsid w:val="00B60623"/>
    <w:rsid w:val="00B6281F"/>
    <w:rsid w:val="00B6666E"/>
    <w:rsid w:val="00B66D4A"/>
    <w:rsid w:val="00B67A7F"/>
    <w:rsid w:val="00B70349"/>
    <w:rsid w:val="00B71BA2"/>
    <w:rsid w:val="00B71FB0"/>
    <w:rsid w:val="00B73E5B"/>
    <w:rsid w:val="00B7550A"/>
    <w:rsid w:val="00B7605D"/>
    <w:rsid w:val="00B76289"/>
    <w:rsid w:val="00B771BA"/>
    <w:rsid w:val="00B82AEA"/>
    <w:rsid w:val="00B86F1C"/>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9B1"/>
    <w:rsid w:val="00BC7EF1"/>
    <w:rsid w:val="00BD0219"/>
    <w:rsid w:val="00BD0339"/>
    <w:rsid w:val="00BD1D37"/>
    <w:rsid w:val="00BD4488"/>
    <w:rsid w:val="00BD4883"/>
    <w:rsid w:val="00BD7370"/>
    <w:rsid w:val="00BE22AF"/>
    <w:rsid w:val="00BE2FE8"/>
    <w:rsid w:val="00BE5B00"/>
    <w:rsid w:val="00BE5BC4"/>
    <w:rsid w:val="00BE711B"/>
    <w:rsid w:val="00BE7C2C"/>
    <w:rsid w:val="00BF0467"/>
    <w:rsid w:val="00BF4D5F"/>
    <w:rsid w:val="00BF638B"/>
    <w:rsid w:val="00C019EC"/>
    <w:rsid w:val="00C04707"/>
    <w:rsid w:val="00C06CB6"/>
    <w:rsid w:val="00C077DF"/>
    <w:rsid w:val="00C10E9C"/>
    <w:rsid w:val="00C122D2"/>
    <w:rsid w:val="00C16628"/>
    <w:rsid w:val="00C17141"/>
    <w:rsid w:val="00C22C4A"/>
    <w:rsid w:val="00C23E6D"/>
    <w:rsid w:val="00C24013"/>
    <w:rsid w:val="00C24204"/>
    <w:rsid w:val="00C25282"/>
    <w:rsid w:val="00C25411"/>
    <w:rsid w:val="00C340C8"/>
    <w:rsid w:val="00C35CF7"/>
    <w:rsid w:val="00C36629"/>
    <w:rsid w:val="00C37E0D"/>
    <w:rsid w:val="00C408AE"/>
    <w:rsid w:val="00C44FEE"/>
    <w:rsid w:val="00C454C9"/>
    <w:rsid w:val="00C46B02"/>
    <w:rsid w:val="00C46BA8"/>
    <w:rsid w:val="00C477E9"/>
    <w:rsid w:val="00C609EE"/>
    <w:rsid w:val="00C63AF0"/>
    <w:rsid w:val="00C64C4E"/>
    <w:rsid w:val="00C65DF9"/>
    <w:rsid w:val="00C70D9C"/>
    <w:rsid w:val="00C85D70"/>
    <w:rsid w:val="00C863D7"/>
    <w:rsid w:val="00C9379B"/>
    <w:rsid w:val="00C949B7"/>
    <w:rsid w:val="00C95BB3"/>
    <w:rsid w:val="00CA2CD7"/>
    <w:rsid w:val="00CA63AE"/>
    <w:rsid w:val="00CA68EA"/>
    <w:rsid w:val="00CA7960"/>
    <w:rsid w:val="00CA7AB9"/>
    <w:rsid w:val="00CB2212"/>
    <w:rsid w:val="00CB2D22"/>
    <w:rsid w:val="00CB3876"/>
    <w:rsid w:val="00CB4771"/>
    <w:rsid w:val="00CB49A5"/>
    <w:rsid w:val="00CB5EC3"/>
    <w:rsid w:val="00CB7C44"/>
    <w:rsid w:val="00CC5EA1"/>
    <w:rsid w:val="00CD0541"/>
    <w:rsid w:val="00CD06B6"/>
    <w:rsid w:val="00CD0A74"/>
    <w:rsid w:val="00CD12D6"/>
    <w:rsid w:val="00CD26D2"/>
    <w:rsid w:val="00CD4A86"/>
    <w:rsid w:val="00CD5E7A"/>
    <w:rsid w:val="00CE0F66"/>
    <w:rsid w:val="00CE2E18"/>
    <w:rsid w:val="00CE48F1"/>
    <w:rsid w:val="00CF200B"/>
    <w:rsid w:val="00CF6BAE"/>
    <w:rsid w:val="00D01500"/>
    <w:rsid w:val="00D036EA"/>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661"/>
    <w:rsid w:val="00D3475F"/>
    <w:rsid w:val="00D34B84"/>
    <w:rsid w:val="00D37C43"/>
    <w:rsid w:val="00D461E2"/>
    <w:rsid w:val="00D5013E"/>
    <w:rsid w:val="00D5255E"/>
    <w:rsid w:val="00D525E2"/>
    <w:rsid w:val="00D5279B"/>
    <w:rsid w:val="00D52A9D"/>
    <w:rsid w:val="00D52B33"/>
    <w:rsid w:val="00D54D88"/>
    <w:rsid w:val="00D5504E"/>
    <w:rsid w:val="00D60FDC"/>
    <w:rsid w:val="00D61DAB"/>
    <w:rsid w:val="00D63EA4"/>
    <w:rsid w:val="00D6782A"/>
    <w:rsid w:val="00D7105E"/>
    <w:rsid w:val="00D711B4"/>
    <w:rsid w:val="00D736F1"/>
    <w:rsid w:val="00D77BAA"/>
    <w:rsid w:val="00D77C86"/>
    <w:rsid w:val="00D8177D"/>
    <w:rsid w:val="00D81B1C"/>
    <w:rsid w:val="00D83DD2"/>
    <w:rsid w:val="00D85D89"/>
    <w:rsid w:val="00D866A7"/>
    <w:rsid w:val="00D87290"/>
    <w:rsid w:val="00D97790"/>
    <w:rsid w:val="00DA07C7"/>
    <w:rsid w:val="00DA3E82"/>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D67"/>
    <w:rsid w:val="00DD2335"/>
    <w:rsid w:val="00DD38CD"/>
    <w:rsid w:val="00DE2C38"/>
    <w:rsid w:val="00DE5EAF"/>
    <w:rsid w:val="00DE69FF"/>
    <w:rsid w:val="00DF2273"/>
    <w:rsid w:val="00DF2FD5"/>
    <w:rsid w:val="00DF602C"/>
    <w:rsid w:val="00DF6842"/>
    <w:rsid w:val="00E00D76"/>
    <w:rsid w:val="00E05EB5"/>
    <w:rsid w:val="00E07B7E"/>
    <w:rsid w:val="00E10AA1"/>
    <w:rsid w:val="00E10D33"/>
    <w:rsid w:val="00E12485"/>
    <w:rsid w:val="00E14208"/>
    <w:rsid w:val="00E14277"/>
    <w:rsid w:val="00E15D14"/>
    <w:rsid w:val="00E210B3"/>
    <w:rsid w:val="00E2124D"/>
    <w:rsid w:val="00E21ACE"/>
    <w:rsid w:val="00E246D7"/>
    <w:rsid w:val="00E2481C"/>
    <w:rsid w:val="00E33B1D"/>
    <w:rsid w:val="00E415F2"/>
    <w:rsid w:val="00E440D0"/>
    <w:rsid w:val="00E44FF8"/>
    <w:rsid w:val="00E45354"/>
    <w:rsid w:val="00E50953"/>
    <w:rsid w:val="00E54A0D"/>
    <w:rsid w:val="00E56074"/>
    <w:rsid w:val="00E56F8F"/>
    <w:rsid w:val="00E57139"/>
    <w:rsid w:val="00E60F81"/>
    <w:rsid w:val="00E63007"/>
    <w:rsid w:val="00E66C8A"/>
    <w:rsid w:val="00E7302F"/>
    <w:rsid w:val="00E73641"/>
    <w:rsid w:val="00E751E7"/>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60C0"/>
    <w:rsid w:val="00EB7194"/>
    <w:rsid w:val="00EB7F32"/>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2E3"/>
    <w:rsid w:val="00F31B3E"/>
    <w:rsid w:val="00F4025C"/>
    <w:rsid w:val="00F40516"/>
    <w:rsid w:val="00F40984"/>
    <w:rsid w:val="00F41165"/>
    <w:rsid w:val="00F41DC3"/>
    <w:rsid w:val="00F42B65"/>
    <w:rsid w:val="00F44812"/>
    <w:rsid w:val="00F47843"/>
    <w:rsid w:val="00F47F51"/>
    <w:rsid w:val="00F50666"/>
    <w:rsid w:val="00F53E71"/>
    <w:rsid w:val="00F55AEE"/>
    <w:rsid w:val="00F570AF"/>
    <w:rsid w:val="00F57CB4"/>
    <w:rsid w:val="00F616B6"/>
    <w:rsid w:val="00F65158"/>
    <w:rsid w:val="00F65DCA"/>
    <w:rsid w:val="00F666A8"/>
    <w:rsid w:val="00F671F4"/>
    <w:rsid w:val="00F67379"/>
    <w:rsid w:val="00F71357"/>
    <w:rsid w:val="00F714C0"/>
    <w:rsid w:val="00F723EA"/>
    <w:rsid w:val="00F73CE6"/>
    <w:rsid w:val="00F74ACA"/>
    <w:rsid w:val="00F74F41"/>
    <w:rsid w:val="00F750C5"/>
    <w:rsid w:val="00F75F3B"/>
    <w:rsid w:val="00F76886"/>
    <w:rsid w:val="00F774FD"/>
    <w:rsid w:val="00F8409F"/>
    <w:rsid w:val="00F87765"/>
    <w:rsid w:val="00F91576"/>
    <w:rsid w:val="00F937C8"/>
    <w:rsid w:val="00F945B7"/>
    <w:rsid w:val="00F954BF"/>
    <w:rsid w:val="00F9648A"/>
    <w:rsid w:val="00F97214"/>
    <w:rsid w:val="00F97504"/>
    <w:rsid w:val="00F978C9"/>
    <w:rsid w:val="00FA1148"/>
    <w:rsid w:val="00FA114F"/>
    <w:rsid w:val="00FA1D23"/>
    <w:rsid w:val="00FA361B"/>
    <w:rsid w:val="00FA58C4"/>
    <w:rsid w:val="00FA7B75"/>
    <w:rsid w:val="00FB049B"/>
    <w:rsid w:val="00FB16AA"/>
    <w:rsid w:val="00FB2808"/>
    <w:rsid w:val="00FB2AE7"/>
    <w:rsid w:val="00FB3762"/>
    <w:rsid w:val="00FB454E"/>
    <w:rsid w:val="00FB6077"/>
    <w:rsid w:val="00FB737F"/>
    <w:rsid w:val="00FC62EE"/>
    <w:rsid w:val="00FC68BD"/>
    <w:rsid w:val="00FC7F7F"/>
    <w:rsid w:val="00FD05FF"/>
    <w:rsid w:val="00FD2DD4"/>
    <w:rsid w:val="00FD3064"/>
    <w:rsid w:val="00FD3D37"/>
    <w:rsid w:val="00FD619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34"/>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 w:type="paragraph" w:styleId="FootnoteText">
    <w:name w:val="footnote text"/>
    <w:basedOn w:val="Normal"/>
    <w:link w:val="FootnoteTextChar"/>
    <w:uiPriority w:val="99"/>
    <w:semiHidden/>
    <w:unhideWhenUsed/>
    <w:rsid w:val="00A21776"/>
    <w:rPr>
      <w:sz w:val="20"/>
      <w:szCs w:val="20"/>
    </w:rPr>
  </w:style>
  <w:style w:type="character" w:customStyle="1" w:styleId="FootnoteTextChar">
    <w:name w:val="Footnote Text Char"/>
    <w:basedOn w:val="DefaultParagraphFont"/>
    <w:link w:val="FootnoteText"/>
    <w:uiPriority w:val="99"/>
    <w:semiHidden/>
    <w:rsid w:val="00A21776"/>
    <w:rPr>
      <w:rFonts w:ascii="Book Antiqua" w:hAnsi="Book Antiqua"/>
      <w:sz w:val="20"/>
      <w:szCs w:val="20"/>
      <w:lang w:val="es-PR"/>
    </w:rPr>
  </w:style>
  <w:style w:type="character" w:styleId="FootnoteReference">
    <w:name w:val="footnote reference"/>
    <w:basedOn w:val="DefaultParagraphFont"/>
    <w:uiPriority w:val="99"/>
    <w:semiHidden/>
    <w:unhideWhenUsed/>
    <w:rsid w:val="00A21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16319">
      <w:bodyDiv w:val="1"/>
      <w:marLeft w:val="0"/>
      <w:marRight w:val="0"/>
      <w:marTop w:val="0"/>
      <w:marBottom w:val="0"/>
      <w:divBdr>
        <w:top w:val="none" w:sz="0" w:space="0" w:color="auto"/>
        <w:left w:val="none" w:sz="0" w:space="0" w:color="auto"/>
        <w:bottom w:val="none" w:sz="0" w:space="0" w:color="auto"/>
        <w:right w:val="none" w:sz="0" w:space="0" w:color="auto"/>
      </w:divBdr>
    </w:div>
    <w:div w:id="1176924903">
      <w:bodyDiv w:val="1"/>
      <w:marLeft w:val="0"/>
      <w:marRight w:val="0"/>
      <w:marTop w:val="0"/>
      <w:marBottom w:val="0"/>
      <w:divBdr>
        <w:top w:val="none" w:sz="0" w:space="0" w:color="auto"/>
        <w:left w:val="none" w:sz="0" w:space="0" w:color="auto"/>
        <w:bottom w:val="none" w:sz="0" w:space="0" w:color="auto"/>
        <w:right w:val="none" w:sz="0" w:space="0" w:color="auto"/>
      </w:divBdr>
    </w:div>
    <w:div w:id="1596743891">
      <w:bodyDiv w:val="1"/>
      <w:marLeft w:val="0"/>
      <w:marRight w:val="0"/>
      <w:marTop w:val="0"/>
      <w:marBottom w:val="0"/>
      <w:divBdr>
        <w:top w:val="none" w:sz="0" w:space="0" w:color="auto"/>
        <w:left w:val="none" w:sz="0" w:space="0" w:color="auto"/>
        <w:bottom w:val="none" w:sz="0" w:space="0" w:color="auto"/>
        <w:right w:val="none" w:sz="0" w:space="0" w:color="auto"/>
      </w:divBdr>
    </w:div>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 w:id="212121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4SQX5P7U7WPY-958212181-822560</_dlc_DocId>
    <_dlc_DocIdUrl xmlns="c890fddd-4e87-4e08-8b51-545f2a3f7b06">
      <Url>https://senpr.sharepoint.com/sites/obralegislativa/_layouts/15/DocIdRedir.aspx?ID=4SQX5P7U7WPY-958212181-822560</Url>
      <Description>4SQX5P7U7WPY-958212181-822560</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2.xml><?xml version="1.0" encoding="utf-8"?>
<ds:datastoreItem xmlns:ds="http://schemas.openxmlformats.org/officeDocument/2006/customXml" ds:itemID="{2E5D742A-3BFA-4B98-B276-9A1A3EB6D07C}"/>
</file>

<file path=customXml/itemProps3.xml><?xml version="1.0" encoding="utf-8"?>
<ds:datastoreItem xmlns:ds="http://schemas.openxmlformats.org/officeDocument/2006/customXml" ds:itemID="{6BA74233-5472-4EA5-BB1C-E407625AB91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customXml/itemProps5.xml><?xml version="1.0" encoding="utf-8"?>
<ds:datastoreItem xmlns:ds="http://schemas.openxmlformats.org/officeDocument/2006/customXml" ds:itemID="{FD14B44E-FC66-4211-8DE1-B8C643558DED}"/>
</file>

<file path=docProps/app.xml><?xml version="1.0" encoding="utf-8"?>
<Properties xmlns="http://schemas.openxmlformats.org/officeDocument/2006/extended-properties" xmlns:vt="http://schemas.openxmlformats.org/officeDocument/2006/docPropsVTypes">
  <Template>Normal</Template>
  <TotalTime>1</TotalTime>
  <Pages>9</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D. Quintero Gonzalez</dc:creator>
  <cp:keywords/>
  <dc:description/>
  <cp:lastModifiedBy>Monica Maldonado Gonzalez (Trámites y Récords)</cp:lastModifiedBy>
  <cp:revision>2</cp:revision>
  <cp:lastPrinted>2025-08-25T20:28:00Z</cp:lastPrinted>
  <dcterms:created xsi:type="dcterms:W3CDTF">2026-01-21T15:26:00Z</dcterms:created>
  <dcterms:modified xsi:type="dcterms:W3CDTF">2026-01-21T15:26:00Z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36200</vt:r8>
  </property>
  <property fmtid="{D5CDD505-2E9C-101B-9397-08002B2CF9AE}" pid="3" name="ContentTypeId">
    <vt:lpwstr>0x0101008C58FC75B682744FB4A53C756BEDC3A3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_dlc_DocIdItemGuid">
    <vt:lpwstr>5ba47de8-d565-49ad-8efc-3dfc26319526</vt:lpwstr>
  </property>
</Properties>
</file>