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59EEF0" w14:textId="59603C10" w:rsidR="00E67A14" w:rsidRPr="0033402A" w:rsidRDefault="00B47C49" w:rsidP="00850547">
      <w:pPr>
        <w:spacing w:after="0" w:line="240" w:lineRule="auto"/>
        <w:jc w:val="center"/>
        <w:rPr>
          <w:rFonts w:ascii="Book Antiqua" w:eastAsia="Times New Roman" w:hAnsi="Book Antiqua" w:cs="Times New Roman"/>
          <w:sz w:val="28"/>
          <w:szCs w:val="28"/>
          <w:lang w:val="es-ES"/>
        </w:rPr>
      </w:pPr>
      <w:r>
        <w:rPr>
          <w:rFonts w:ascii="Book Antiqua" w:eastAsia="Times New Roman" w:hAnsi="Book Antiqua" w:cs="Times New Roman"/>
          <w:sz w:val="28"/>
          <w:szCs w:val="28"/>
          <w:lang w:val="es-ES"/>
        </w:rPr>
        <w:t xml:space="preserve">GOBIERNO </w:t>
      </w:r>
      <w:r w:rsidR="00E67A14" w:rsidRPr="0033402A">
        <w:rPr>
          <w:rFonts w:ascii="Book Antiqua" w:eastAsia="Times New Roman" w:hAnsi="Book Antiqua" w:cs="Times New Roman"/>
          <w:sz w:val="28"/>
          <w:szCs w:val="28"/>
          <w:lang w:val="es-ES"/>
        </w:rPr>
        <w:t>DE PUERTO RICO</w:t>
      </w:r>
    </w:p>
    <w:p w14:paraId="78303112" w14:textId="77777777" w:rsidR="00E67A14" w:rsidRPr="0033402A" w:rsidRDefault="00E67A14" w:rsidP="00850547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4"/>
          <w:lang w:val="es-ES"/>
        </w:rPr>
      </w:pPr>
    </w:p>
    <w:p w14:paraId="6BD76F1B" w14:textId="23A9FE87" w:rsidR="00E67A14" w:rsidRPr="00464CC7" w:rsidRDefault="00EC5D29" w:rsidP="00850547">
      <w:pPr>
        <w:tabs>
          <w:tab w:val="left" w:pos="648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464CC7">
        <w:rPr>
          <w:rFonts w:ascii="Book Antiqua" w:eastAsia="Times New Roman" w:hAnsi="Book Antiqua" w:cs="Times New Roman"/>
          <w:sz w:val="24"/>
          <w:szCs w:val="20"/>
          <w:lang w:val="es-PR"/>
        </w:rPr>
        <w:t>20ma.</w:t>
      </w:r>
      <w:r w:rsidR="0033402A" w:rsidRPr="00464CC7">
        <w:rPr>
          <w:rFonts w:ascii="Book Antiqua" w:eastAsia="Times New Roman" w:hAnsi="Book Antiqua" w:cs="Times New Roman"/>
          <w:sz w:val="24"/>
          <w:szCs w:val="20"/>
          <w:vertAlign w:val="superscript"/>
          <w:lang w:val="es-PR"/>
        </w:rPr>
        <w:t xml:space="preserve"> </w:t>
      </w:r>
      <w:r w:rsidR="00E67A14" w:rsidRPr="00464CC7">
        <w:rPr>
          <w:rFonts w:ascii="Book Antiqua" w:eastAsia="Times New Roman" w:hAnsi="Book Antiqua" w:cs="Times New Roman"/>
          <w:sz w:val="24"/>
          <w:szCs w:val="20"/>
          <w:lang w:val="es-PR"/>
        </w:rPr>
        <w:t>Asamblea</w:t>
      </w:r>
      <w:r w:rsidR="00E67A14" w:rsidRPr="00464CC7">
        <w:rPr>
          <w:rFonts w:ascii="Book Antiqua" w:eastAsia="Times New Roman" w:hAnsi="Book Antiqua" w:cs="Times New Roman"/>
          <w:sz w:val="24"/>
          <w:szCs w:val="20"/>
          <w:lang w:val="es-PR"/>
        </w:rPr>
        <w:tab/>
      </w:r>
      <w:r w:rsidRPr="00464CC7">
        <w:rPr>
          <w:rFonts w:ascii="Book Antiqua" w:eastAsia="Times New Roman" w:hAnsi="Book Antiqua" w:cs="Times New Roman"/>
          <w:sz w:val="24"/>
          <w:szCs w:val="20"/>
          <w:lang w:val="es-PR"/>
        </w:rPr>
        <w:t>1ra.</w:t>
      </w:r>
      <w:r w:rsidR="0033402A" w:rsidRPr="00464CC7">
        <w:rPr>
          <w:rFonts w:ascii="Book Antiqua" w:eastAsia="Times New Roman" w:hAnsi="Book Antiqua" w:cs="Times New Roman"/>
          <w:sz w:val="24"/>
          <w:szCs w:val="20"/>
          <w:vertAlign w:val="superscript"/>
          <w:lang w:val="es-PR"/>
        </w:rPr>
        <w:t xml:space="preserve"> </w:t>
      </w:r>
      <w:r w:rsidR="00E67A14" w:rsidRPr="00464CC7">
        <w:rPr>
          <w:rFonts w:ascii="Book Antiqua" w:eastAsia="Times New Roman" w:hAnsi="Book Antiqua" w:cs="Times New Roman"/>
          <w:sz w:val="24"/>
          <w:szCs w:val="20"/>
          <w:lang w:val="es-PR"/>
        </w:rPr>
        <w:t>Sesión</w:t>
      </w:r>
    </w:p>
    <w:p w14:paraId="42CE4A7B" w14:textId="3C498368" w:rsidR="00E67A14" w:rsidRPr="00464CC7" w:rsidRDefault="00EC5D29" w:rsidP="00EC5D29">
      <w:pPr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464CC7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           </w:t>
      </w:r>
      <w:r w:rsidR="00E67A14" w:rsidRPr="00464CC7">
        <w:rPr>
          <w:rFonts w:ascii="Book Antiqua" w:eastAsia="Times New Roman" w:hAnsi="Book Antiqua" w:cs="Times New Roman"/>
          <w:sz w:val="24"/>
          <w:szCs w:val="20"/>
          <w:lang w:val="es-PR"/>
        </w:rPr>
        <w:t>Legislativa</w:t>
      </w:r>
      <w:r w:rsidR="00E67A14" w:rsidRPr="00464CC7">
        <w:rPr>
          <w:rFonts w:ascii="Book Antiqua" w:eastAsia="Times New Roman" w:hAnsi="Book Antiqua" w:cs="Times New Roman"/>
          <w:sz w:val="24"/>
          <w:szCs w:val="20"/>
          <w:lang w:val="es-PR"/>
        </w:rPr>
        <w:tab/>
      </w:r>
      <w:r w:rsidR="00E67A14" w:rsidRPr="00464CC7">
        <w:rPr>
          <w:rFonts w:ascii="Book Antiqua" w:eastAsia="Times New Roman" w:hAnsi="Book Antiqua" w:cs="Times New Roman"/>
          <w:sz w:val="24"/>
          <w:szCs w:val="20"/>
          <w:lang w:val="es-PR"/>
        </w:rPr>
        <w:tab/>
      </w:r>
      <w:r w:rsidR="0033402A" w:rsidRPr="00464CC7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     </w:t>
      </w:r>
      <w:r w:rsidRPr="00464CC7">
        <w:rPr>
          <w:rFonts w:ascii="Book Antiqua" w:eastAsia="Times New Roman" w:hAnsi="Book Antiqua" w:cs="Times New Roman"/>
          <w:sz w:val="24"/>
          <w:szCs w:val="20"/>
          <w:lang w:val="es-PR"/>
        </w:rPr>
        <w:tab/>
      </w:r>
      <w:r w:rsidRPr="00464CC7">
        <w:rPr>
          <w:rFonts w:ascii="Book Antiqua" w:eastAsia="Times New Roman" w:hAnsi="Book Antiqua" w:cs="Times New Roman"/>
          <w:sz w:val="24"/>
          <w:szCs w:val="20"/>
          <w:lang w:val="es-PR"/>
        </w:rPr>
        <w:tab/>
      </w:r>
      <w:r w:rsidRPr="00464CC7">
        <w:rPr>
          <w:rFonts w:ascii="Book Antiqua" w:eastAsia="Times New Roman" w:hAnsi="Book Antiqua" w:cs="Times New Roman"/>
          <w:sz w:val="24"/>
          <w:szCs w:val="20"/>
          <w:lang w:val="es-PR"/>
        </w:rPr>
        <w:tab/>
      </w:r>
      <w:r w:rsidRPr="00464CC7">
        <w:rPr>
          <w:rFonts w:ascii="Book Antiqua" w:eastAsia="Times New Roman" w:hAnsi="Book Antiqua" w:cs="Times New Roman"/>
          <w:sz w:val="24"/>
          <w:szCs w:val="20"/>
          <w:lang w:val="es-PR"/>
        </w:rPr>
        <w:tab/>
      </w:r>
      <w:r w:rsidRPr="00464CC7">
        <w:rPr>
          <w:rFonts w:ascii="Book Antiqua" w:eastAsia="Times New Roman" w:hAnsi="Book Antiqua" w:cs="Times New Roman"/>
          <w:sz w:val="24"/>
          <w:szCs w:val="20"/>
          <w:lang w:val="es-PR"/>
        </w:rPr>
        <w:tab/>
      </w:r>
      <w:r w:rsidRPr="00464CC7">
        <w:rPr>
          <w:rFonts w:ascii="Book Antiqua" w:eastAsia="Times New Roman" w:hAnsi="Book Antiqua" w:cs="Times New Roman"/>
          <w:sz w:val="24"/>
          <w:szCs w:val="20"/>
          <w:lang w:val="es-PR"/>
        </w:rPr>
        <w:tab/>
      </w:r>
      <w:r w:rsidRPr="00464CC7">
        <w:rPr>
          <w:rFonts w:ascii="Book Antiqua" w:eastAsia="Times New Roman" w:hAnsi="Book Antiqua" w:cs="Times New Roman"/>
          <w:sz w:val="24"/>
          <w:szCs w:val="20"/>
          <w:lang w:val="es-PR"/>
        </w:rPr>
        <w:tab/>
        <w:t xml:space="preserve">      </w:t>
      </w:r>
      <w:r w:rsidR="00E67A14" w:rsidRPr="00464CC7">
        <w:rPr>
          <w:rFonts w:ascii="Book Antiqua" w:eastAsia="Times New Roman" w:hAnsi="Book Antiqua" w:cs="Times New Roman"/>
          <w:sz w:val="24"/>
          <w:szCs w:val="20"/>
          <w:lang w:val="es-PR"/>
        </w:rPr>
        <w:t>Ordinaria</w:t>
      </w:r>
    </w:p>
    <w:p w14:paraId="7F0C2B45" w14:textId="77777777" w:rsidR="00E67A14" w:rsidRPr="00464CC7" w:rsidRDefault="00E67A14" w:rsidP="00850547">
      <w:pPr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241CDF3B" w14:textId="77777777" w:rsidR="00977EDB" w:rsidRPr="00977EDB" w:rsidRDefault="00977EDB" w:rsidP="00EC5D29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36"/>
          <w:szCs w:val="20"/>
          <w:lang w:val="es-ES_tradnl"/>
        </w:rPr>
      </w:pPr>
      <w:r w:rsidRPr="00977EDB">
        <w:rPr>
          <w:rFonts w:ascii="Book Antiqua" w:eastAsia="Times New Roman" w:hAnsi="Book Antiqua" w:cs="Times New Roman"/>
          <w:b/>
          <w:sz w:val="36"/>
          <w:szCs w:val="20"/>
          <w:lang w:val="es-ES_tradnl"/>
        </w:rPr>
        <w:t>CÁMARA DE REPRESENTANTES</w:t>
      </w:r>
    </w:p>
    <w:p w14:paraId="02ACA238" w14:textId="77777777" w:rsidR="00977EDB" w:rsidRPr="00977EDB" w:rsidRDefault="00977EDB" w:rsidP="00850547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ES_tradnl"/>
        </w:rPr>
      </w:pPr>
    </w:p>
    <w:p w14:paraId="33D7F245" w14:textId="268D6EA6" w:rsidR="00977EDB" w:rsidRPr="00977EDB" w:rsidRDefault="00977EDB" w:rsidP="00850547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52"/>
          <w:szCs w:val="20"/>
          <w:lang w:val="es-ES_tradnl"/>
        </w:rPr>
      </w:pPr>
      <w:r w:rsidRPr="00977EDB">
        <w:rPr>
          <w:rFonts w:ascii="Book Antiqua" w:eastAsia="Times New Roman" w:hAnsi="Book Antiqua" w:cs="Times New Roman"/>
          <w:b/>
          <w:sz w:val="52"/>
          <w:szCs w:val="20"/>
          <w:lang w:val="es-ES_tradnl"/>
        </w:rPr>
        <w:t>R. de la C.</w:t>
      </w:r>
      <w:r w:rsidR="00A87A6D">
        <w:rPr>
          <w:rFonts w:ascii="Book Antiqua" w:eastAsia="Times New Roman" w:hAnsi="Book Antiqua" w:cs="Times New Roman"/>
          <w:b/>
          <w:sz w:val="52"/>
          <w:szCs w:val="20"/>
          <w:lang w:val="es-ES_tradnl"/>
        </w:rPr>
        <w:t xml:space="preserve"> </w:t>
      </w:r>
      <w:r w:rsidR="000813F1">
        <w:rPr>
          <w:rFonts w:ascii="Book Antiqua" w:eastAsia="Times New Roman" w:hAnsi="Book Antiqua" w:cs="Times New Roman"/>
          <w:b/>
          <w:sz w:val="52"/>
          <w:szCs w:val="20"/>
          <w:lang w:val="es-ES_tradnl"/>
        </w:rPr>
        <w:t>346</w:t>
      </w:r>
    </w:p>
    <w:p w14:paraId="0C1B5330" w14:textId="77777777" w:rsidR="00977EDB" w:rsidRDefault="00977EDB" w:rsidP="00850547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ES_tradnl"/>
        </w:rPr>
      </w:pPr>
    </w:p>
    <w:p w14:paraId="6728DDE4" w14:textId="413FEFC5" w:rsidR="00977EDB" w:rsidRDefault="000813F1" w:rsidP="00850547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ES_tradnl"/>
        </w:rPr>
      </w:pPr>
      <w:r>
        <w:rPr>
          <w:rFonts w:ascii="Book Antiqua" w:eastAsia="Times New Roman" w:hAnsi="Book Antiqua" w:cs="Times New Roman"/>
          <w:sz w:val="24"/>
          <w:szCs w:val="20"/>
          <w:lang w:val="es-ES_tradnl"/>
        </w:rPr>
        <w:t>28</w:t>
      </w:r>
      <w:r w:rsidR="00A87A6D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 </w:t>
      </w:r>
      <w:r w:rsidR="00977EDB" w:rsidRPr="00977EDB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DE </w:t>
      </w:r>
      <w:r w:rsidR="00B47C49">
        <w:rPr>
          <w:rFonts w:ascii="Book Antiqua" w:eastAsia="Times New Roman" w:hAnsi="Book Antiqua" w:cs="Times New Roman"/>
          <w:sz w:val="24"/>
          <w:szCs w:val="20"/>
          <w:lang w:val="es-ES_tradnl"/>
        </w:rPr>
        <w:t>MAYO</w:t>
      </w:r>
      <w:r w:rsidR="00977EDB" w:rsidRPr="00977EDB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 DE 202</w:t>
      </w:r>
      <w:r w:rsidR="00B47C49">
        <w:rPr>
          <w:rFonts w:ascii="Book Antiqua" w:eastAsia="Times New Roman" w:hAnsi="Book Antiqua" w:cs="Times New Roman"/>
          <w:sz w:val="24"/>
          <w:szCs w:val="20"/>
          <w:lang w:val="es-ES_tradnl"/>
        </w:rPr>
        <w:t>5</w:t>
      </w:r>
    </w:p>
    <w:p w14:paraId="1BE7616E" w14:textId="77777777" w:rsidR="00977EDB" w:rsidRPr="00977EDB" w:rsidRDefault="00977EDB" w:rsidP="00850547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ES_tradnl"/>
        </w:rPr>
      </w:pPr>
    </w:p>
    <w:p w14:paraId="246759CA" w14:textId="67099CCB" w:rsidR="00E67A14" w:rsidRPr="00E67A14" w:rsidRDefault="00E67A14" w:rsidP="00850547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E67A14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Presentada por la </w:t>
      </w:r>
      <w:r w:rsidR="0033402A">
        <w:rPr>
          <w:rFonts w:ascii="Book Antiqua" w:eastAsia="Times New Roman" w:hAnsi="Book Antiqua" w:cs="Times New Roman"/>
          <w:sz w:val="24"/>
          <w:szCs w:val="20"/>
          <w:lang w:val="es-PR"/>
        </w:rPr>
        <w:t>representante</w:t>
      </w:r>
      <w:r w:rsidRPr="00E67A14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977EDB">
        <w:rPr>
          <w:rFonts w:ascii="Book Antiqua" w:eastAsia="Times New Roman" w:hAnsi="Book Antiqua" w:cs="Times New Roman"/>
          <w:i/>
          <w:sz w:val="24"/>
          <w:szCs w:val="20"/>
          <w:lang w:val="es-PR"/>
        </w:rPr>
        <w:t>Martínez Soto</w:t>
      </w:r>
      <w:r w:rsidRPr="00E67A14">
        <w:rPr>
          <w:rFonts w:ascii="Book Antiqua" w:eastAsia="Times New Roman" w:hAnsi="Book Antiqua" w:cs="Times New Roman"/>
          <w:i/>
          <w:sz w:val="24"/>
          <w:szCs w:val="20"/>
          <w:lang w:val="es-PR"/>
        </w:rPr>
        <w:t xml:space="preserve"> </w:t>
      </w:r>
    </w:p>
    <w:p w14:paraId="481C4558" w14:textId="77777777" w:rsidR="00977EDB" w:rsidRDefault="00977EDB" w:rsidP="00850547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ES_tradnl"/>
        </w:rPr>
      </w:pPr>
    </w:p>
    <w:p w14:paraId="494D9905" w14:textId="5D8E4C6D" w:rsidR="00977EDB" w:rsidRPr="00977EDB" w:rsidRDefault="00977EDB" w:rsidP="00850547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419"/>
        </w:rPr>
      </w:pPr>
      <w:r w:rsidRPr="00977EDB">
        <w:rPr>
          <w:rFonts w:ascii="Book Antiqua" w:eastAsia="Times New Roman" w:hAnsi="Book Antiqua" w:cs="Times New Roman"/>
          <w:sz w:val="24"/>
          <w:szCs w:val="20"/>
          <w:lang w:val="es-ES_tradnl"/>
        </w:rPr>
        <w:t>Referid</w:t>
      </w:r>
      <w:r w:rsidR="00EC5D29">
        <w:rPr>
          <w:rFonts w:ascii="Book Antiqua" w:eastAsia="Times New Roman" w:hAnsi="Book Antiqua" w:cs="Times New Roman"/>
          <w:sz w:val="24"/>
          <w:szCs w:val="20"/>
          <w:lang w:val="es-ES_tradnl"/>
        </w:rPr>
        <w:t>a</w:t>
      </w:r>
      <w:r w:rsidRPr="00977EDB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 a la </w:t>
      </w:r>
      <w:r w:rsidR="00EC5D29">
        <w:rPr>
          <w:rFonts w:ascii="Book Antiqua" w:eastAsia="Times New Roman" w:hAnsi="Book Antiqua" w:cs="Times New Roman"/>
          <w:sz w:val="24"/>
          <w:szCs w:val="20"/>
          <w:lang w:val="es-ES_tradnl"/>
        </w:rPr>
        <w:t>Comisión de Asuntos Internos</w:t>
      </w:r>
    </w:p>
    <w:p w14:paraId="2BEC5820" w14:textId="677331E2" w:rsidR="00E67A14" w:rsidRPr="00977EDB" w:rsidRDefault="00E67A14" w:rsidP="00850547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2EABC5A1" w14:textId="77777777" w:rsidR="00E67A14" w:rsidRPr="00977EDB" w:rsidRDefault="00E67A14" w:rsidP="00850547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8"/>
          <w:szCs w:val="28"/>
          <w:lang w:val="es-PR"/>
        </w:rPr>
      </w:pPr>
      <w:r w:rsidRPr="00977EDB">
        <w:rPr>
          <w:rFonts w:ascii="Book Antiqua" w:eastAsia="Times New Roman" w:hAnsi="Book Antiqua" w:cs="Times New Roman"/>
          <w:b/>
          <w:sz w:val="28"/>
          <w:szCs w:val="28"/>
          <w:lang w:val="es-PR"/>
        </w:rPr>
        <w:t>RESOLUCIÓN</w:t>
      </w:r>
    </w:p>
    <w:p w14:paraId="0EC98CAE" w14:textId="77777777" w:rsidR="00E67A14" w:rsidRPr="00E67A14" w:rsidRDefault="00E67A14" w:rsidP="00850547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6526A4DC" w14:textId="1863F241" w:rsidR="00E67A14" w:rsidRPr="00E67A14" w:rsidRDefault="00E67A14" w:rsidP="00EC5D29">
      <w:pPr>
        <w:spacing w:after="0" w:line="240" w:lineRule="auto"/>
        <w:ind w:left="720" w:hanging="720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E67A14">
        <w:rPr>
          <w:rFonts w:ascii="Book Antiqua" w:eastAsia="Times New Roman" w:hAnsi="Book Antiqua" w:cs="Times New Roman"/>
          <w:sz w:val="24"/>
          <w:szCs w:val="20"/>
          <w:lang w:val="es-PR"/>
        </w:rPr>
        <w:t>Para ordenar</w:t>
      </w:r>
      <w:r w:rsidRPr="00E67A14">
        <w:rPr>
          <w:rFonts w:ascii="Book Antiqua" w:eastAsia="Times New Roman" w:hAnsi="Book Antiqua" w:cs="Times New Roman"/>
          <w:spacing w:val="-13"/>
          <w:sz w:val="24"/>
          <w:szCs w:val="20"/>
          <w:lang w:val="es-PR"/>
        </w:rPr>
        <w:t xml:space="preserve"> </w:t>
      </w:r>
      <w:r w:rsidRPr="00E67A14">
        <w:rPr>
          <w:rFonts w:ascii="Book Antiqua" w:eastAsia="Times New Roman" w:hAnsi="Book Antiqua" w:cs="Times New Roman"/>
          <w:sz w:val="24"/>
          <w:szCs w:val="20"/>
          <w:lang w:val="es-PR"/>
        </w:rPr>
        <w:t>a</w:t>
      </w:r>
      <w:r w:rsidRPr="00E67A14">
        <w:rPr>
          <w:rFonts w:ascii="Book Antiqua" w:eastAsia="Times New Roman" w:hAnsi="Book Antiqua" w:cs="Times New Roman"/>
          <w:spacing w:val="-11"/>
          <w:sz w:val="24"/>
          <w:szCs w:val="20"/>
          <w:lang w:val="es-PR"/>
        </w:rPr>
        <w:t xml:space="preserve"> </w:t>
      </w:r>
      <w:bookmarkStart w:id="0" w:name="_Hlk62303735"/>
      <w:r w:rsidRPr="00E67A14">
        <w:rPr>
          <w:rFonts w:ascii="Book Antiqua" w:eastAsia="Times New Roman" w:hAnsi="Book Antiqua" w:cs="Times New Roman"/>
          <w:sz w:val="24"/>
          <w:szCs w:val="20"/>
          <w:lang w:val="es-PR"/>
        </w:rPr>
        <w:t>la</w:t>
      </w:r>
      <w:r w:rsidRPr="00E67A14">
        <w:rPr>
          <w:rFonts w:ascii="Book Antiqua" w:eastAsia="Times New Roman" w:hAnsi="Book Antiqua" w:cs="Times New Roman"/>
          <w:spacing w:val="-12"/>
          <w:sz w:val="24"/>
          <w:szCs w:val="20"/>
          <w:lang w:val="es-PR"/>
        </w:rPr>
        <w:t xml:space="preserve"> </w:t>
      </w:r>
      <w:bookmarkStart w:id="1" w:name="_Hlk63068163"/>
      <w:r w:rsidRPr="00E67A14">
        <w:rPr>
          <w:rFonts w:ascii="Book Antiqua" w:eastAsia="Times New Roman" w:hAnsi="Book Antiqua" w:cs="Times New Roman"/>
          <w:sz w:val="24"/>
          <w:szCs w:val="20"/>
          <w:lang w:val="es-PR"/>
        </w:rPr>
        <w:t>Comisión</w:t>
      </w:r>
      <w:r w:rsidRPr="00E67A14">
        <w:rPr>
          <w:rFonts w:ascii="Book Antiqua" w:eastAsia="Times New Roman" w:hAnsi="Book Antiqua" w:cs="Times New Roman"/>
          <w:spacing w:val="-12"/>
          <w:sz w:val="24"/>
          <w:szCs w:val="20"/>
          <w:lang w:val="es-PR"/>
        </w:rPr>
        <w:t xml:space="preserve"> </w:t>
      </w:r>
      <w:r w:rsidRPr="00E67A14">
        <w:rPr>
          <w:rFonts w:ascii="Book Antiqua" w:eastAsia="Times New Roman" w:hAnsi="Book Antiqua" w:cs="Times New Roman"/>
          <w:sz w:val="24"/>
          <w:szCs w:val="20"/>
          <w:lang w:val="es-PR"/>
        </w:rPr>
        <w:t>d</w:t>
      </w:r>
      <w:r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e </w:t>
      </w:r>
      <w:bookmarkStart w:id="2" w:name="_Hlk62303755"/>
      <w:bookmarkEnd w:id="0"/>
      <w:r w:rsidR="00977EDB">
        <w:rPr>
          <w:rFonts w:ascii="Book Antiqua" w:eastAsia="Times New Roman" w:hAnsi="Book Antiqua" w:cs="Times New Roman"/>
          <w:sz w:val="24"/>
          <w:szCs w:val="20"/>
          <w:lang w:val="es-PR"/>
        </w:rPr>
        <w:t>la Región Sur de la Cámara de Representantes</w:t>
      </w:r>
      <w:r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Puerto Rico</w:t>
      </w:r>
      <w:r w:rsidR="00B47C49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B47C49" w:rsidRPr="00464CC7">
        <w:rPr>
          <w:rFonts w:ascii="Book Antiqua" w:eastAsia="Times New Roman" w:hAnsi="Book Antiqua" w:cs="Times New Roman"/>
          <w:strike/>
          <w:sz w:val="24"/>
          <w:szCs w:val="20"/>
          <w:lang w:val="es-PR"/>
        </w:rPr>
        <w:t>a</w:t>
      </w:r>
      <w:r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bookmarkEnd w:id="1"/>
      <w:r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realizar una investigación </w:t>
      </w:r>
      <w:r w:rsidR="003172D0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sobre las gestiones </w:t>
      </w:r>
      <w:bookmarkStart w:id="3" w:name="_Hlk62303774"/>
      <w:bookmarkEnd w:id="2"/>
      <w:r w:rsidR="003172D0">
        <w:rPr>
          <w:rFonts w:ascii="Book Antiqua" w:eastAsia="Times New Roman" w:hAnsi="Book Antiqua" w:cs="Times New Roman"/>
          <w:sz w:val="24"/>
          <w:szCs w:val="20"/>
          <w:lang w:val="es-PR"/>
        </w:rPr>
        <w:t>llevadas a cabo por la</w:t>
      </w:r>
      <w:r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37770A" w:rsidRPr="00BC33C8">
        <w:rPr>
          <w:rFonts w:ascii="Book Antiqua" w:eastAsia="Times New Roman" w:hAnsi="Book Antiqua" w:cs="Times New Roman"/>
          <w:sz w:val="24"/>
          <w:szCs w:val="20"/>
          <w:lang w:val="es-PR"/>
        </w:rPr>
        <w:t>Administración</w:t>
      </w:r>
      <w:r w:rsidRPr="00BC33C8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</w:t>
      </w:r>
      <w:r w:rsidR="0037770A" w:rsidRPr="00BC33C8">
        <w:rPr>
          <w:rFonts w:ascii="Book Antiqua" w:eastAsia="Times New Roman" w:hAnsi="Book Antiqua" w:cs="Times New Roman"/>
          <w:sz w:val="24"/>
          <w:szCs w:val="20"/>
          <w:lang w:val="es-PR"/>
        </w:rPr>
        <w:t>Terrenos</w:t>
      </w:r>
      <w:r w:rsidRPr="00BC33C8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Puerto Rico</w:t>
      </w:r>
      <w:r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respecto a la </w:t>
      </w:r>
      <w:bookmarkStart w:id="4" w:name="_Hlk62303795"/>
      <w:bookmarkEnd w:id="3"/>
      <w:r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reconstrucción y redesarrollo del Hotel Baños de Coamo; evaluar el proceso </w:t>
      </w:r>
      <w:r w:rsidR="003172D0">
        <w:rPr>
          <w:rFonts w:ascii="Book Antiqua" w:eastAsia="Times New Roman" w:hAnsi="Book Antiqua" w:cs="Times New Roman"/>
          <w:sz w:val="24"/>
          <w:szCs w:val="20"/>
          <w:lang w:val="es-PR"/>
        </w:rPr>
        <w:t>utilizado</w:t>
      </w:r>
      <w:r w:rsidR="00D56083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bookmarkStart w:id="5" w:name="_Hlk62303810"/>
      <w:bookmarkEnd w:id="4"/>
      <w:r w:rsidR="006303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por la Oficina de Desarrollo y Administración de Propiedades (ODAP), adscrita a la </w:t>
      </w:r>
      <w:bookmarkStart w:id="6" w:name="_Hlk62303838"/>
      <w:bookmarkEnd w:id="5"/>
      <w:r w:rsidR="006303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Administración, </w:t>
      </w:r>
      <w:r w:rsidR="003172D0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para seleccionar y recomendar </w:t>
      </w:r>
      <w:r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el arrendamiento del </w:t>
      </w:r>
      <w:r w:rsidR="009419E1">
        <w:rPr>
          <w:rFonts w:ascii="Book Antiqua" w:eastAsia="Times New Roman" w:hAnsi="Book Antiqua" w:cs="Times New Roman"/>
          <w:sz w:val="24"/>
          <w:szCs w:val="20"/>
          <w:lang w:val="es-PR"/>
        </w:rPr>
        <w:t>hotel</w:t>
      </w:r>
      <w:r w:rsidR="006303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>
        <w:rPr>
          <w:rFonts w:ascii="Book Antiqua" w:eastAsia="Times New Roman" w:hAnsi="Book Antiqua" w:cs="Times New Roman"/>
          <w:sz w:val="24"/>
          <w:szCs w:val="20"/>
          <w:lang w:val="es-PR"/>
        </w:rPr>
        <w:t>a Coamo</w:t>
      </w:r>
      <w:bookmarkEnd w:id="6"/>
      <w:r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bookmarkStart w:id="7" w:name="_Hlk62303857"/>
      <w:r>
        <w:rPr>
          <w:rFonts w:ascii="Book Antiqua" w:eastAsia="Times New Roman" w:hAnsi="Book Antiqua" w:cs="Times New Roman"/>
          <w:sz w:val="24"/>
          <w:szCs w:val="20"/>
          <w:lang w:val="es-PR"/>
        </w:rPr>
        <w:t>Springs Investments, LLC</w:t>
      </w:r>
      <w:r w:rsidR="009B7A7B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; y para </w:t>
      </w:r>
      <w:r w:rsidR="00D668BC">
        <w:rPr>
          <w:rFonts w:ascii="Book Antiqua" w:eastAsia="Times New Roman" w:hAnsi="Book Antiqua" w:cs="Times New Roman"/>
          <w:sz w:val="24"/>
          <w:szCs w:val="20"/>
          <w:lang w:val="es-PR"/>
        </w:rPr>
        <w:t>conocer</w:t>
      </w:r>
      <w:r w:rsidR="009B7A7B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D668BC">
        <w:rPr>
          <w:rFonts w:ascii="Book Antiqua" w:eastAsia="Times New Roman" w:hAnsi="Book Antiqua" w:cs="Times New Roman"/>
          <w:sz w:val="24"/>
          <w:szCs w:val="20"/>
          <w:lang w:val="es-PR"/>
        </w:rPr>
        <w:t>la</w:t>
      </w:r>
      <w:r w:rsidR="00134959" w:rsidRPr="00134959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etapa </w:t>
      </w:r>
      <w:r w:rsidR="00D668BC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en que </w:t>
      </w:r>
      <w:r w:rsidR="00134959" w:rsidRPr="00134959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se encuentra el proceso </w:t>
      </w:r>
      <w:r w:rsidR="00D56083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reclamación, </w:t>
      </w:r>
      <w:bookmarkStart w:id="8" w:name="_Hlk62303883"/>
      <w:bookmarkEnd w:id="7"/>
      <w:r w:rsidR="00D56083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desembolso y </w:t>
      </w:r>
      <w:r w:rsidR="0037770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utilización de los fondos asignados por </w:t>
      </w:r>
      <w:r w:rsidR="00D56083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la </w:t>
      </w:r>
      <w:r w:rsidR="00D56083" w:rsidRPr="00D56083">
        <w:rPr>
          <w:rFonts w:ascii="Book Antiqua" w:eastAsia="Times New Roman" w:hAnsi="Book Antiqua" w:cs="Times New Roman"/>
          <w:i/>
          <w:iCs/>
          <w:sz w:val="24"/>
          <w:szCs w:val="20"/>
          <w:lang w:val="es-PR"/>
        </w:rPr>
        <w:t xml:space="preserve">Federal Emergency Managment </w:t>
      </w:r>
      <w:bookmarkStart w:id="9" w:name="_Hlk62303997"/>
      <w:bookmarkEnd w:id="8"/>
      <w:r w:rsidR="00D56083" w:rsidRPr="00D56083">
        <w:rPr>
          <w:rFonts w:ascii="Book Antiqua" w:eastAsia="Times New Roman" w:hAnsi="Book Antiqua" w:cs="Times New Roman"/>
          <w:i/>
          <w:iCs/>
          <w:sz w:val="24"/>
          <w:szCs w:val="20"/>
          <w:lang w:val="es-PR"/>
        </w:rPr>
        <w:t>Agency (</w:t>
      </w:r>
      <w:r w:rsidR="0037770A" w:rsidRPr="00D56083">
        <w:rPr>
          <w:rFonts w:ascii="Book Antiqua" w:eastAsia="Times New Roman" w:hAnsi="Book Antiqua" w:cs="Times New Roman"/>
          <w:i/>
          <w:iCs/>
          <w:sz w:val="24"/>
          <w:szCs w:val="20"/>
          <w:lang w:val="es-PR"/>
        </w:rPr>
        <w:t>FEMA</w:t>
      </w:r>
      <w:r w:rsidR="00D56083" w:rsidRPr="00D56083">
        <w:rPr>
          <w:rFonts w:ascii="Book Antiqua" w:eastAsia="Times New Roman" w:hAnsi="Book Antiqua" w:cs="Times New Roman"/>
          <w:i/>
          <w:iCs/>
          <w:sz w:val="24"/>
          <w:szCs w:val="20"/>
          <w:lang w:val="es-PR"/>
        </w:rPr>
        <w:t>)</w:t>
      </w:r>
      <w:r w:rsidR="0037770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para </w:t>
      </w:r>
      <w:r w:rsidR="003172D0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las obras y trabajos de </w:t>
      </w:r>
      <w:r w:rsidR="0037770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restauración y </w:t>
      </w:r>
      <w:r w:rsidR="009419E1">
        <w:rPr>
          <w:rFonts w:ascii="Book Antiqua" w:eastAsia="Times New Roman" w:hAnsi="Book Antiqua" w:cs="Times New Roman"/>
          <w:sz w:val="24"/>
          <w:szCs w:val="20"/>
          <w:lang w:val="es-PR"/>
        </w:rPr>
        <w:t>reconstrucción</w:t>
      </w:r>
      <w:r w:rsidR="003172D0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en el </w:t>
      </w:r>
      <w:r w:rsidR="0037770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hotel. </w:t>
      </w:r>
      <w:bookmarkEnd w:id="9"/>
    </w:p>
    <w:p w14:paraId="168F67DD" w14:textId="77777777" w:rsidR="00E67A14" w:rsidRPr="00E67A14" w:rsidRDefault="00E67A14" w:rsidP="0033402A">
      <w:pPr>
        <w:spacing w:after="0" w:line="240" w:lineRule="auto"/>
        <w:ind w:left="360" w:hanging="360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169037E5" w14:textId="77777777" w:rsidR="00E67A14" w:rsidRPr="0033402A" w:rsidRDefault="00E67A14" w:rsidP="00850547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33402A">
        <w:rPr>
          <w:rFonts w:ascii="Book Antiqua" w:eastAsia="Times New Roman" w:hAnsi="Book Antiqua" w:cs="Times New Roman"/>
          <w:sz w:val="24"/>
          <w:szCs w:val="20"/>
          <w:lang w:val="es-PR"/>
        </w:rPr>
        <w:t>EXPOSICIÓN DE MOTIVOS</w:t>
      </w:r>
    </w:p>
    <w:p w14:paraId="35BCFEEB" w14:textId="5075A717" w:rsidR="00E67A14" w:rsidRDefault="00E67A14" w:rsidP="0033402A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24"/>
          <w:szCs w:val="20"/>
          <w:lang w:val="es-PR"/>
        </w:rPr>
      </w:pPr>
    </w:p>
    <w:p w14:paraId="1A8647D8" w14:textId="3EFF7B74" w:rsidR="0033402A" w:rsidRDefault="006670F7" w:rsidP="00EC5D2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bCs/>
          <w:sz w:val="24"/>
          <w:szCs w:val="20"/>
          <w:lang w:val="es-PR"/>
        </w:rPr>
      </w:pP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Coamo </w:t>
      </w:r>
      <w:r w:rsidR="00896F4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goza de un exclusivo y privilegiado atractivo natural en Puerto Rico</w:t>
      </w:r>
      <w:r w:rsidR="00492BFD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.  </w:t>
      </w:r>
      <w:r w:rsidR="00896F4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Se trata de sus aguas termales, comúnmente conocidas como “</w:t>
      </w:r>
      <w:r w:rsidR="00505156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B</w:t>
      </w:r>
      <w:r w:rsidR="00896F4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años de Coamo”</w:t>
      </w:r>
      <w:r w:rsidR="008462E0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o “piscinas de aguas termales”</w:t>
      </w:r>
      <w:r w:rsidR="00896F4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, que </w:t>
      </w:r>
      <w:r w:rsidR="002D43FE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a su vez </w:t>
      </w:r>
      <w:r w:rsidR="00492BFD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son producto del discurrir </w:t>
      </w:r>
      <w:r w:rsidR="00896F4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de las</w:t>
      </w:r>
      <w:r w:rsidR="00492BFD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aguas </w:t>
      </w:r>
      <w:r w:rsidR="00896F4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del </w:t>
      </w:r>
      <w:r w:rsidR="00896F43" w:rsidRPr="009B7A7B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Río </w:t>
      </w:r>
      <w:r w:rsidR="009B7A7B" w:rsidRPr="009B7A7B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Jueyes </w:t>
      </w:r>
      <w:r w:rsidR="009B7A7B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sobre</w:t>
      </w:r>
      <w:r w:rsidR="00492BFD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las grietas de lo que </w:t>
      </w:r>
      <w:r w:rsidR="002D43FE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en </w:t>
      </w:r>
      <w:r w:rsidR="00492BFD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algún momento </w:t>
      </w:r>
      <w:r w:rsidR="009B7A7B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fue </w:t>
      </w:r>
      <w:r w:rsidR="002D43FE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un </w:t>
      </w:r>
      <w:r w:rsidR="00F9137C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volcán.  </w:t>
      </w:r>
      <w:r w:rsidR="00896F4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Anualmente, sobre cien mil (100,000) personas visitan</w:t>
      </w:r>
      <w:r w:rsidR="00492BFD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el </w:t>
      </w:r>
      <w:r w:rsidR="00B47C49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lugar inspirado</w:t>
      </w:r>
      <w:r w:rsidR="002D43FE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por sus beneficios</w:t>
      </w:r>
      <w:r w:rsidR="00896F4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. </w:t>
      </w:r>
    </w:p>
    <w:p w14:paraId="7CDA8B79" w14:textId="2C7EE94F" w:rsidR="00E27642" w:rsidRDefault="00896F43" w:rsidP="0033402A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bCs/>
          <w:sz w:val="24"/>
          <w:szCs w:val="20"/>
          <w:lang w:val="es-PR"/>
        </w:rPr>
      </w:pP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</w:t>
      </w:r>
    </w:p>
    <w:p w14:paraId="1F679D37" w14:textId="764894A4" w:rsidR="006670F7" w:rsidRDefault="008462E0" w:rsidP="00EC5D2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bCs/>
          <w:sz w:val="24"/>
          <w:szCs w:val="20"/>
          <w:lang w:val="es-PR"/>
        </w:rPr>
      </w:pP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En </w:t>
      </w:r>
      <w:r w:rsidR="00F9137C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1857</w:t>
      </w: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, c</w:t>
      </w:r>
      <w:r w:rsidR="00896F4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on el objetivo de convertir el lugar en un epicentro económico</w:t>
      </w:r>
      <w:r w:rsidR="00E27642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de impacto regional</w:t>
      </w:r>
      <w:r w:rsidR="00896F4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, se </w:t>
      </w:r>
      <w:r w:rsidR="00505156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construyó </w:t>
      </w:r>
      <w:r w:rsidR="00896F4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el Hotel Baños de Coamo,</w:t>
      </w: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</w:t>
      </w:r>
      <w:r w:rsidR="00E27642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en una finca </w:t>
      </w: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a</w:t>
      </w:r>
      <w:r w:rsidR="00F9137C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dyacente a las aguas termales.  </w:t>
      </w:r>
      <w:r w:rsidR="00505156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Por muchos años el hotel fue administrado por diferentes dueños</w:t>
      </w:r>
      <w:r w:rsidR="00F9137C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, pero al encontrarse ya para el 2015 </w:t>
      </w:r>
      <w:r w:rsidR="00505156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en un deterioro estructural </w:t>
      </w:r>
      <w:r w:rsidR="00F9137C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y</w:t>
      </w:r>
      <w:r w:rsidR="00505156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fiscal</w:t>
      </w:r>
      <w:r w:rsidR="00F9137C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,</w:t>
      </w:r>
      <w:r w:rsidR="00505156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e</w:t>
      </w: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l hotel </w:t>
      </w:r>
      <w:r w:rsidR="00F9137C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pasó</w:t>
      </w:r>
      <w:r w:rsidR="00505156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a </w:t>
      </w:r>
      <w:r w:rsidR="00F9137C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ser co-administrado</w:t>
      </w:r>
      <w:r w:rsidR="00896F4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</w:t>
      </w:r>
      <w:r w:rsidR="00505156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por el Municipio de </w:t>
      </w:r>
      <w:r w:rsidR="00F9137C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Coamo, por</w:t>
      </w:r>
      <w:r w:rsidR="00505156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</w:t>
      </w:r>
      <w:r w:rsidR="00134959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medio de</w:t>
      </w: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un contrato </w:t>
      </w:r>
      <w:r w:rsidR="00896F4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entre el Municipio </w:t>
      </w:r>
      <w:r w:rsidR="00896F4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lastRenderedPageBreak/>
        <w:t>y la Administración de Terrenos de Puerto Rico.</w:t>
      </w:r>
      <w:r w:rsidR="00E27642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 </w:t>
      </w:r>
      <w:r w:rsidR="00896F4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Esta última expropió la finca colindante </w:t>
      </w:r>
      <w:r w:rsidR="00E27642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para dar paso</w:t>
      </w:r>
      <w:r w:rsidR="00896F4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al hotel</w:t>
      </w: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, poseyendo así su </w:t>
      </w:r>
      <w:r w:rsidR="00E27642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pleno </w:t>
      </w: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dominio. </w:t>
      </w:r>
    </w:p>
    <w:p w14:paraId="464210C3" w14:textId="77777777" w:rsidR="0033402A" w:rsidRDefault="0033402A" w:rsidP="0033402A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bCs/>
          <w:sz w:val="24"/>
          <w:szCs w:val="20"/>
          <w:lang w:val="es-PR"/>
        </w:rPr>
      </w:pPr>
    </w:p>
    <w:p w14:paraId="06C91A20" w14:textId="287E93CF" w:rsidR="00DC054F" w:rsidRDefault="00F9137C" w:rsidP="00EC5D2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bCs/>
          <w:sz w:val="24"/>
          <w:szCs w:val="20"/>
          <w:lang w:val="es-PR"/>
        </w:rPr>
      </w:pP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Tras</w:t>
      </w:r>
      <w:r w:rsidR="003172D0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el paso de los </w:t>
      </w:r>
      <w:r w:rsidR="009419E1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huracanes Irma y </w:t>
      </w:r>
      <w:r w:rsidR="00DC054F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María el</w:t>
      </w:r>
      <w:r w:rsidR="00896F4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hotel </w:t>
      </w:r>
      <w:r w:rsidR="00FF393B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sufrió severos daños en su planta física, quedando por tanto </w:t>
      </w:r>
      <w:r w:rsidR="00DC054F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inoperante.</w:t>
      </w:r>
      <w:r w:rsidR="00F85345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L</w:t>
      </w:r>
      <w:r w:rsidR="00DC054F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a Administración de Terrenos</w:t>
      </w:r>
      <w:r w:rsidR="00F85345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, por poseer</w:t>
      </w:r>
      <w:r w:rsidR="00DC054F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el </w:t>
      </w:r>
      <w:r w:rsidR="00505156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pleno </w:t>
      </w:r>
      <w:r w:rsidR="00DC054F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dominio </w:t>
      </w:r>
      <w:r w:rsidR="00F85345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sobre el</w:t>
      </w:r>
      <w:r w:rsidR="00DC054F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inmueble</w:t>
      </w:r>
      <w:r w:rsidR="003172D0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,</w:t>
      </w:r>
      <w:r w:rsidR="00DC054F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reclamó ante la </w:t>
      </w:r>
      <w:r w:rsidR="00DC054F" w:rsidRPr="00DC054F">
        <w:rPr>
          <w:rFonts w:ascii="Book Antiqua" w:eastAsia="Times New Roman" w:hAnsi="Book Antiqua" w:cs="Times New Roman"/>
          <w:bCs/>
          <w:i/>
          <w:iCs/>
          <w:sz w:val="24"/>
          <w:szCs w:val="20"/>
          <w:lang w:val="es-PR"/>
        </w:rPr>
        <w:t>Federal Emergency Management Angency</w:t>
      </w:r>
      <w:r w:rsidR="00DC054F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</w:t>
      </w:r>
      <w:bookmarkStart w:id="10" w:name="_Hlk62303949"/>
      <w:r w:rsidR="00DC054F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(FEMA, siglas en inglés) los daños ocasionados </w:t>
      </w:r>
      <w:bookmarkEnd w:id="10"/>
      <w:r w:rsidR="00DC054F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por </w:t>
      </w:r>
      <w:r w:rsidR="003172D0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los</w:t>
      </w:r>
      <w:r w:rsidR="00DC054F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</w:t>
      </w:r>
      <w:r w:rsidR="003172D0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huracanes</w:t>
      </w:r>
      <w:r w:rsidR="00DC054F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.</w:t>
      </w:r>
      <w:r w:rsidR="009419E1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Sin embargo, transcurrido poco más de tres (3) años</w:t>
      </w:r>
      <w:r w:rsidR="00F85345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desde </w:t>
      </w:r>
      <w:r w:rsidR="00E27642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estos eventos</w:t>
      </w:r>
      <w:r w:rsidR="003172D0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, </w:t>
      </w:r>
      <w:r w:rsidR="00B82C9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el hotel continúa devastado, </w:t>
      </w:r>
      <w:r w:rsidR="00F85345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y </w:t>
      </w:r>
      <w:r w:rsidR="00B82C9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deteriorándose </w:t>
      </w:r>
      <w:r w:rsidR="00F85345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a un ritmo acelerado por su desuso</w:t>
      </w:r>
      <w:r w:rsidR="00505156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, lo que ha ocasionado que este lugar</w:t>
      </w: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,</w:t>
      </w:r>
      <w:r w:rsidR="00505156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que en algún </w:t>
      </w:r>
      <w:r w:rsidR="00134959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momento</w:t>
      </w:r>
      <w:r w:rsidR="00505156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fue eje de desarrollo económico</w:t>
      </w: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,</w:t>
      </w:r>
      <w:r w:rsidR="00505156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no tan solo para Coamo sino para toda la región sur de Puerto Rico, hoy en día sea un lugar que atenta contra la seguridad, salud y bienestar de los </w:t>
      </w: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coameños y el público que le visita</w:t>
      </w:r>
      <w:r w:rsidR="00B82C9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.  El cierre de sus operaciones </w:t>
      </w:r>
      <w:r w:rsidR="00F85345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produjo un impacto</w:t>
      </w:r>
      <w:r w:rsidR="00B82C9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negativ</w:t>
      </w:r>
      <w:r w:rsidR="00F85345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o en</w:t>
      </w:r>
      <w:r w:rsidR="00B82C9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la economía </w:t>
      </w: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local</w:t>
      </w:r>
      <w:r w:rsidR="00B82C9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y </w:t>
      </w: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en </w:t>
      </w:r>
      <w:r w:rsidR="00B82C9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los municipios</w:t>
      </w:r>
      <w:r w:rsidR="00E27642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de la periferia.</w:t>
      </w:r>
    </w:p>
    <w:p w14:paraId="0DC5620F" w14:textId="77777777" w:rsidR="0033402A" w:rsidRDefault="0033402A" w:rsidP="0033402A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bCs/>
          <w:sz w:val="24"/>
          <w:szCs w:val="20"/>
          <w:lang w:val="es-PR"/>
        </w:rPr>
      </w:pPr>
    </w:p>
    <w:p w14:paraId="1351ED4F" w14:textId="65341017" w:rsidR="00B82C93" w:rsidRDefault="00B82C93" w:rsidP="00EC5D2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bCs/>
          <w:sz w:val="24"/>
          <w:szCs w:val="20"/>
          <w:lang w:val="es-PR"/>
        </w:rPr>
      </w:pP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Seducidos por</w:t>
      </w:r>
      <w:r w:rsidR="00F85345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los beneficios de las aguas termales </w:t>
      </w:r>
      <w:r w:rsidR="000861E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a</w:t>
      </w:r>
      <w:r w:rsidR="00F85345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la salud física</w:t>
      </w:r>
      <w:r w:rsidR="00E27642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, m</w:t>
      </w:r>
      <w:r w:rsidR="00F85345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ental</w:t>
      </w:r>
      <w:r w:rsidR="00E27642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y emocional</w:t>
      </w: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, miles de turistas, extranjeros y locales, solían </w:t>
      </w:r>
      <w:r w:rsidR="000861E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planificar sus </w:t>
      </w:r>
      <w:r w:rsidR="00E27642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visitas o </w:t>
      </w:r>
      <w:r w:rsidR="000861E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vacaciones </w:t>
      </w:r>
      <w:r w:rsidR="00BC33C8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en el</w:t>
      </w: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luga</w:t>
      </w:r>
      <w:r w:rsidR="000861E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r, </w:t>
      </w: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promoviendo </w:t>
      </w:r>
      <w:r w:rsidR="00E27642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de esta forma</w:t>
      </w: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la economía regional</w:t>
      </w:r>
      <w:r w:rsidR="00E27642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</w:t>
      </w:r>
      <w:r w:rsidR="00BC33C8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por medio del</w:t>
      </w:r>
      <w:r w:rsidR="00E27642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</w:t>
      </w: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consumo en garajes de gasolina, restaurantes, supermercados, pequeños comercios, entre otros.  El cierre </w:t>
      </w:r>
      <w:r w:rsidR="000861E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del hotel </w:t>
      </w: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provocó </w:t>
      </w:r>
      <w:r w:rsidR="00E27642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además </w:t>
      </w:r>
      <w:r w:rsidR="000861E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un </w:t>
      </w:r>
      <w:r w:rsidR="00982201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impacto</w:t>
      </w:r>
      <w:r w:rsidR="000861E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directo </w:t>
      </w:r>
      <w:r w:rsidR="00E27642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sobre</w:t>
      </w:r>
      <w:r w:rsidR="000861E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d</w:t>
      </w: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ecenas de familias, </w:t>
      </w:r>
      <w:r w:rsidR="000861E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tras perder su sustento.  </w:t>
      </w:r>
    </w:p>
    <w:p w14:paraId="684F9683" w14:textId="77777777" w:rsidR="0033402A" w:rsidRDefault="0033402A" w:rsidP="0033402A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bCs/>
          <w:sz w:val="24"/>
          <w:szCs w:val="20"/>
          <w:lang w:val="es-PR"/>
        </w:rPr>
      </w:pPr>
    </w:p>
    <w:p w14:paraId="1660867C" w14:textId="77868764" w:rsidR="000861E3" w:rsidRPr="00CA0EB4" w:rsidRDefault="000861E3" w:rsidP="00EC5D2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bCs/>
          <w:sz w:val="24"/>
          <w:szCs w:val="20"/>
          <w:lang w:val="es-PR"/>
        </w:rPr>
      </w:pP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Por todo lo cual, </w:t>
      </w:r>
      <w:r w:rsidR="00977EDB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la Cámara de Representantes</w:t>
      </w:r>
      <w:r w:rsidR="00BC33C8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de Puerto Rico</w:t>
      </w: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, </w:t>
      </w:r>
      <w:r w:rsidR="00BC33C8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encontrándose </w:t>
      </w: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comprometido con la revitalización social y económica </w:t>
      </w:r>
      <w:r w:rsidRPr="00464CC7">
        <w:rPr>
          <w:rFonts w:ascii="Book Antiqua" w:eastAsia="Times New Roman" w:hAnsi="Book Antiqua" w:cs="Times New Roman"/>
          <w:bCs/>
          <w:strike/>
          <w:sz w:val="24"/>
          <w:szCs w:val="20"/>
          <w:lang w:val="es-PR"/>
        </w:rPr>
        <w:t>de</w:t>
      </w:r>
      <w:r w:rsidR="00BC33C8" w:rsidRPr="00464CC7">
        <w:rPr>
          <w:rFonts w:ascii="Book Antiqua" w:eastAsia="Times New Roman" w:hAnsi="Book Antiqua" w:cs="Times New Roman"/>
          <w:bCs/>
          <w:strike/>
          <w:sz w:val="24"/>
          <w:szCs w:val="20"/>
          <w:lang w:val="es-PR"/>
        </w:rPr>
        <w:t>l país</w:t>
      </w:r>
      <w:r w:rsidR="00464CC7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</w:t>
      </w:r>
      <w:r w:rsidR="00464CC7">
        <w:rPr>
          <w:rFonts w:ascii="Book Antiqua" w:eastAsia="Times New Roman" w:hAnsi="Book Antiqua" w:cs="Times New Roman"/>
          <w:bCs/>
          <w:i/>
          <w:iCs/>
          <w:sz w:val="24"/>
          <w:szCs w:val="20"/>
          <w:u w:val="single"/>
          <w:lang w:val="es-PR"/>
        </w:rPr>
        <w:t>de nuestra Isla</w:t>
      </w: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, y convencido </w:t>
      </w:r>
      <w:r w:rsidR="00E27642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de </w:t>
      </w: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que el Hotel Baños de Coamo </w:t>
      </w:r>
      <w:r w:rsidR="00BC33C8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constituye</w:t>
      </w: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un proyecto necesario y </w:t>
      </w:r>
      <w:r w:rsidR="00BC33C8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de </w:t>
      </w: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urgente </w:t>
      </w:r>
      <w:r w:rsidR="00BC33C8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redesarrollo </w:t>
      </w: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para</w:t>
      </w:r>
      <w:r w:rsidR="00BC33C8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</w:t>
      </w:r>
      <w:r w:rsidR="00F9137C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los municipios </w:t>
      </w:r>
      <w:r w:rsidR="00BC33C8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de la región</w:t>
      </w:r>
      <w:r w:rsidR="00F9137C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, </w:t>
      </w:r>
      <w:r w:rsidR="00982201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el cual puede ser un eje para fomentar empleos, desarrollo económico, atractivos turísticos y de esta forma ayudar </w:t>
      </w:r>
      <w:r w:rsidR="00F9137C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a</w:t>
      </w:r>
      <w:r w:rsidR="00982201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la creación de riqueza para Coamo y toda la región Sur</w:t>
      </w: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, entiende conveniente realizar una investigación </w:t>
      </w:r>
      <w:r w:rsidR="00FD3341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con el propósito de identificar </w:t>
      </w:r>
      <w:r w:rsidR="00982201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y proponer soluciones viables y concretas para atender </w:t>
      </w:r>
      <w:r w:rsidR="00FD3341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aquellas barreras u obstáculos que impiden su restauración</w:t>
      </w:r>
      <w:r w:rsidR="00982201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, </w:t>
      </w:r>
      <w:r w:rsidR="00FD3341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redesarrollo</w:t>
      </w:r>
      <w:r w:rsidR="00982201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y pronta puesta en operación de tan importante activo turístico</w:t>
      </w:r>
      <w:r w:rsidR="00FD3341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. </w:t>
      </w:r>
      <w:r w:rsidR="00BC33C8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 </w:t>
      </w:r>
    </w:p>
    <w:p w14:paraId="12DD81BE" w14:textId="77777777" w:rsidR="00F65D1F" w:rsidRDefault="00F65D1F" w:rsidP="0033402A">
      <w:pPr>
        <w:spacing w:after="0" w:line="240" w:lineRule="auto"/>
        <w:rPr>
          <w:rFonts w:ascii="Book Antiqua" w:eastAsia="Times New Roman" w:hAnsi="Book Antiqua" w:cs="Times New Roman"/>
          <w:i/>
          <w:sz w:val="24"/>
          <w:szCs w:val="20"/>
          <w:lang w:val="es-ES_tradnl"/>
        </w:rPr>
      </w:pPr>
    </w:p>
    <w:p w14:paraId="2EC05B9F" w14:textId="0A9E271C" w:rsidR="00F65D1F" w:rsidRPr="00F65D1F" w:rsidRDefault="00F65D1F" w:rsidP="0033402A">
      <w:pPr>
        <w:spacing w:after="0" w:line="480" w:lineRule="auto"/>
        <w:rPr>
          <w:rFonts w:ascii="Book Antiqua" w:eastAsia="Times New Roman" w:hAnsi="Book Antiqua" w:cs="Times New Roman"/>
          <w:i/>
          <w:sz w:val="24"/>
          <w:szCs w:val="20"/>
          <w:lang w:val="es-ES_tradnl"/>
        </w:rPr>
      </w:pPr>
      <w:r w:rsidRPr="00F65D1F">
        <w:rPr>
          <w:rFonts w:ascii="Book Antiqua" w:eastAsia="Times New Roman" w:hAnsi="Book Antiqua" w:cs="Times New Roman"/>
          <w:i/>
          <w:sz w:val="24"/>
          <w:szCs w:val="20"/>
          <w:lang w:val="es-ES_tradnl"/>
        </w:rPr>
        <w:t xml:space="preserve">RESUÉLVESE POR LA </w:t>
      </w:r>
      <w:r w:rsidR="001E57E7">
        <w:rPr>
          <w:rFonts w:ascii="Book Antiqua" w:eastAsia="Times New Roman" w:hAnsi="Book Antiqua" w:cs="Times New Roman"/>
          <w:i/>
          <w:sz w:val="24"/>
          <w:szCs w:val="20"/>
          <w:lang w:val="es-ES_tradnl"/>
        </w:rPr>
        <w:t>CAMARA DE REPRESENTANTES</w:t>
      </w:r>
      <w:r w:rsidRPr="00F65D1F">
        <w:rPr>
          <w:rFonts w:ascii="Book Antiqua" w:eastAsia="Times New Roman" w:hAnsi="Book Antiqua" w:cs="Times New Roman"/>
          <w:i/>
          <w:sz w:val="24"/>
          <w:szCs w:val="20"/>
          <w:lang w:val="es-ES_tradnl"/>
        </w:rPr>
        <w:t xml:space="preserve"> DE PUERTO RICO:</w:t>
      </w:r>
    </w:p>
    <w:p w14:paraId="440A6E66" w14:textId="77777777" w:rsidR="00E67A14" w:rsidRPr="00F65D1F" w:rsidRDefault="00E67A14" w:rsidP="00E67A14">
      <w:pPr>
        <w:spacing w:after="0" w:line="480" w:lineRule="auto"/>
        <w:jc w:val="both"/>
        <w:rPr>
          <w:rFonts w:ascii="Book Antiqua" w:eastAsia="Times New Roman" w:hAnsi="Book Antiqua" w:cs="Times New Roman"/>
          <w:sz w:val="24"/>
          <w:szCs w:val="20"/>
          <w:lang w:val="es-ES_tradnl"/>
        </w:rPr>
        <w:sectPr w:rsidR="00E67A14" w:rsidRPr="00F65D1F" w:rsidSect="007F580E">
          <w:headerReference w:type="default" r:id="rId7"/>
          <w:headerReference w:type="first" r:id="rId8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5F3A2A33" w14:textId="78C0DE93" w:rsidR="00E67A14" w:rsidRPr="00E67A14" w:rsidRDefault="00E67A14" w:rsidP="00EC5D29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E67A14">
        <w:rPr>
          <w:rFonts w:ascii="Book Antiqua" w:eastAsia="Times New Roman" w:hAnsi="Book Antiqua" w:cs="Times New Roman"/>
          <w:sz w:val="24"/>
          <w:szCs w:val="20"/>
          <w:lang w:val="es-PR"/>
        </w:rPr>
        <w:t>Sección 1.-Se ordena a</w:t>
      </w:r>
      <w:r w:rsidR="003172D0">
        <w:rPr>
          <w:rFonts w:ascii="Book Antiqua" w:eastAsia="Times New Roman" w:hAnsi="Book Antiqua" w:cs="Times New Roman"/>
          <w:spacing w:val="-11"/>
          <w:sz w:val="24"/>
          <w:szCs w:val="20"/>
          <w:lang w:val="es-PR"/>
        </w:rPr>
        <w:t xml:space="preserve"> </w:t>
      </w:r>
      <w:r w:rsidR="003172D0" w:rsidRPr="00E67A14">
        <w:rPr>
          <w:rFonts w:ascii="Book Antiqua" w:eastAsia="Times New Roman" w:hAnsi="Book Antiqua" w:cs="Times New Roman"/>
          <w:sz w:val="24"/>
          <w:szCs w:val="20"/>
          <w:lang w:val="es-PR"/>
        </w:rPr>
        <w:t>la</w:t>
      </w:r>
      <w:r w:rsidR="003172D0" w:rsidRPr="00E67A14">
        <w:rPr>
          <w:rFonts w:ascii="Book Antiqua" w:eastAsia="Times New Roman" w:hAnsi="Book Antiqua" w:cs="Times New Roman"/>
          <w:spacing w:val="-12"/>
          <w:sz w:val="24"/>
          <w:szCs w:val="20"/>
          <w:lang w:val="es-PR"/>
        </w:rPr>
        <w:t xml:space="preserve"> </w:t>
      </w:r>
      <w:r w:rsidR="00977EDB" w:rsidRPr="00977EDB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Comisión de </w:t>
      </w:r>
      <w:r w:rsidR="007C0A71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la </w:t>
      </w:r>
      <w:r w:rsidR="00977EDB" w:rsidRPr="00977EDB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Región Sur de la Cámara de Representantes de Puerto Rico </w:t>
      </w:r>
      <w:r w:rsidR="003172D0">
        <w:rPr>
          <w:rFonts w:ascii="Book Antiqua" w:eastAsia="Times New Roman" w:hAnsi="Book Antiqua" w:cs="Times New Roman"/>
          <w:sz w:val="24"/>
          <w:szCs w:val="20"/>
          <w:lang w:val="es-PR"/>
        </w:rPr>
        <w:t>realizar una investigación sobre las gestiones</w:t>
      </w:r>
      <w:r w:rsidR="003172D0" w:rsidRPr="003172D0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3172D0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llevadas a cabo por la </w:t>
      </w:r>
      <w:r w:rsidR="003172D0" w:rsidRPr="00E27642">
        <w:rPr>
          <w:rFonts w:ascii="Book Antiqua" w:eastAsia="Times New Roman" w:hAnsi="Book Antiqua" w:cs="Times New Roman"/>
          <w:sz w:val="24"/>
          <w:szCs w:val="20"/>
          <w:lang w:val="es-PR"/>
        </w:rPr>
        <w:t>Administración de Terrenos de Puerto Rico</w:t>
      </w:r>
      <w:r w:rsidR="007C0A71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con</w:t>
      </w:r>
      <w:r w:rsidR="003172D0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respecto a la</w:t>
      </w:r>
      <w:r w:rsidR="003172D0" w:rsidRPr="003172D0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3172D0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reconstrucción y redesarrollo del Hotel Baños de Coamo; y para </w:t>
      </w:r>
      <w:r w:rsidR="00F9137C">
        <w:rPr>
          <w:rFonts w:ascii="Book Antiqua" w:eastAsia="Times New Roman" w:hAnsi="Book Antiqua" w:cs="Times New Roman"/>
          <w:sz w:val="24"/>
          <w:szCs w:val="20"/>
          <w:lang w:val="es-PR"/>
        </w:rPr>
        <w:t>conocer la etapa</w:t>
      </w:r>
      <w:r w:rsidR="003172D0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134959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en </w:t>
      </w:r>
      <w:r w:rsidR="00F9137C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que se encuentra el proceso </w:t>
      </w:r>
      <w:r w:rsidR="003172D0">
        <w:rPr>
          <w:rFonts w:ascii="Book Antiqua" w:eastAsia="Times New Roman" w:hAnsi="Book Antiqua" w:cs="Times New Roman"/>
          <w:sz w:val="24"/>
          <w:szCs w:val="20"/>
          <w:lang w:val="es-PR"/>
        </w:rPr>
        <w:t>de reclamación,</w:t>
      </w:r>
      <w:r w:rsidR="003172D0" w:rsidRPr="003172D0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3172D0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desembolso y utilización de los fondos asignados por la </w:t>
      </w:r>
      <w:r w:rsidR="003172D0" w:rsidRPr="00D56083">
        <w:rPr>
          <w:rFonts w:ascii="Book Antiqua" w:eastAsia="Times New Roman" w:hAnsi="Book Antiqua" w:cs="Times New Roman"/>
          <w:i/>
          <w:iCs/>
          <w:sz w:val="24"/>
          <w:szCs w:val="20"/>
          <w:lang w:val="es-PR"/>
        </w:rPr>
        <w:t xml:space="preserve">Federal </w:t>
      </w:r>
      <w:r w:rsidR="003172D0" w:rsidRPr="00D56083">
        <w:rPr>
          <w:rFonts w:ascii="Book Antiqua" w:eastAsia="Times New Roman" w:hAnsi="Book Antiqua" w:cs="Times New Roman"/>
          <w:i/>
          <w:iCs/>
          <w:sz w:val="24"/>
          <w:szCs w:val="20"/>
          <w:lang w:val="es-PR"/>
        </w:rPr>
        <w:lastRenderedPageBreak/>
        <w:t>Emergency Managment</w:t>
      </w:r>
      <w:r w:rsidR="003172D0" w:rsidRPr="003172D0">
        <w:rPr>
          <w:rFonts w:ascii="Book Antiqua" w:eastAsia="Times New Roman" w:hAnsi="Book Antiqua" w:cs="Times New Roman"/>
          <w:i/>
          <w:iCs/>
          <w:sz w:val="24"/>
          <w:szCs w:val="20"/>
          <w:lang w:val="es-PR"/>
        </w:rPr>
        <w:t xml:space="preserve"> </w:t>
      </w:r>
      <w:r w:rsidR="003172D0" w:rsidRPr="00D56083">
        <w:rPr>
          <w:rFonts w:ascii="Book Antiqua" w:eastAsia="Times New Roman" w:hAnsi="Book Antiqua" w:cs="Times New Roman"/>
          <w:i/>
          <w:iCs/>
          <w:sz w:val="24"/>
          <w:szCs w:val="20"/>
          <w:lang w:val="es-PR"/>
        </w:rPr>
        <w:t>Agency (FEMA)</w:t>
      </w:r>
      <w:r w:rsidR="003172D0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para las obras y trabajos de restauración y reconstrucción en el hotel.</w:t>
      </w:r>
    </w:p>
    <w:p w14:paraId="7D2E5E07" w14:textId="5181DF23" w:rsidR="00B03D15" w:rsidRPr="000464E2" w:rsidRDefault="00E67A14" w:rsidP="00EC5D29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i/>
          <w:iCs/>
          <w:sz w:val="24"/>
          <w:szCs w:val="20"/>
          <w:u w:val="single"/>
          <w:lang w:val="es-ES_tradnl"/>
        </w:rPr>
      </w:pPr>
      <w:r w:rsidRPr="00E67A14">
        <w:rPr>
          <w:rFonts w:ascii="Book Antiqua" w:eastAsia="Times New Roman" w:hAnsi="Book Antiqua" w:cs="Times New Roman"/>
          <w:sz w:val="24"/>
          <w:szCs w:val="20"/>
          <w:lang w:val="es-PR"/>
        </w:rPr>
        <w:t>Sección 2.-La</w:t>
      </w:r>
      <w:r w:rsidR="00FF393B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Pr="00E67A14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Comisión rendirá un informe con sus hallazgos, </w:t>
      </w:r>
      <w:r w:rsidR="00D668BC" w:rsidRPr="00E67A14">
        <w:rPr>
          <w:rFonts w:ascii="Book Antiqua" w:eastAsia="Times New Roman" w:hAnsi="Book Antiqua" w:cs="Times New Roman"/>
          <w:sz w:val="24"/>
          <w:szCs w:val="20"/>
          <w:lang w:val="es-ES_tradnl"/>
        </w:rPr>
        <w:t>conclusiones</w:t>
      </w:r>
      <w:r w:rsidR="00D668BC" w:rsidRPr="000464E2">
        <w:rPr>
          <w:rFonts w:ascii="Book Antiqua" w:eastAsia="Times New Roman" w:hAnsi="Book Antiqua" w:cs="Times New Roman"/>
          <w:strike/>
          <w:sz w:val="24"/>
          <w:szCs w:val="20"/>
          <w:lang w:val="es-ES_tradnl"/>
        </w:rPr>
        <w:t>,</w:t>
      </w:r>
      <w:r w:rsidR="00D668BC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 </w:t>
      </w:r>
      <w:r w:rsidR="000464E2">
        <w:rPr>
          <w:rFonts w:ascii="Book Antiqua" w:eastAsia="Times New Roman" w:hAnsi="Book Antiqua" w:cs="Times New Roman"/>
          <w:i/>
          <w:iCs/>
          <w:sz w:val="24"/>
          <w:szCs w:val="20"/>
          <w:u w:val="single"/>
          <w:lang w:val="es-ES_tradnl"/>
        </w:rPr>
        <w:t xml:space="preserve">y </w:t>
      </w:r>
      <w:r w:rsidR="00D668BC" w:rsidRPr="00E67A14">
        <w:rPr>
          <w:rFonts w:ascii="Book Antiqua" w:eastAsia="Times New Roman" w:hAnsi="Book Antiqua" w:cs="Times New Roman"/>
          <w:sz w:val="24"/>
          <w:szCs w:val="20"/>
          <w:lang w:val="es-ES_tradnl"/>
        </w:rPr>
        <w:t>recomendaciones</w:t>
      </w:r>
      <w:r w:rsidRPr="00E67A14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 </w:t>
      </w:r>
      <w:r w:rsidR="00134959" w:rsidRPr="000464E2">
        <w:rPr>
          <w:rFonts w:ascii="Book Antiqua" w:eastAsia="Times New Roman" w:hAnsi="Book Antiqua" w:cs="Times New Roman"/>
          <w:strike/>
          <w:sz w:val="24"/>
          <w:szCs w:val="20"/>
          <w:lang w:val="es-ES_tradnl"/>
        </w:rPr>
        <w:t xml:space="preserve">y posible plan de acción, </w:t>
      </w:r>
      <w:r w:rsidRPr="000464E2">
        <w:rPr>
          <w:rFonts w:ascii="Book Antiqua" w:eastAsia="Times New Roman" w:hAnsi="Book Antiqua" w:cs="Times New Roman"/>
          <w:strike/>
          <w:sz w:val="24"/>
          <w:szCs w:val="20"/>
          <w:lang w:val="es-ES_tradnl"/>
        </w:rPr>
        <w:t xml:space="preserve">dentro </w:t>
      </w:r>
      <w:r w:rsidR="00B03D15" w:rsidRPr="000464E2">
        <w:rPr>
          <w:rFonts w:ascii="Book Antiqua" w:eastAsia="Times New Roman" w:hAnsi="Book Antiqua" w:cs="Times New Roman"/>
          <w:strike/>
          <w:sz w:val="24"/>
          <w:szCs w:val="20"/>
          <w:lang w:val="es-PR"/>
        </w:rPr>
        <w:t>dentro de la duodécima Asamblea Legislativa.</w:t>
      </w:r>
      <w:r w:rsidR="000464E2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0464E2">
        <w:rPr>
          <w:rFonts w:ascii="Book Antiqua" w:eastAsia="Times New Roman" w:hAnsi="Book Antiqua" w:cs="Times New Roman"/>
          <w:i/>
          <w:iCs/>
          <w:sz w:val="24"/>
          <w:szCs w:val="20"/>
          <w:u w:val="single"/>
          <w:lang w:val="es-PR"/>
        </w:rPr>
        <w:t>dentro del término de ciento ochenta (180) días, contados a partir de la aprobación de esta Resolución.</w:t>
      </w:r>
    </w:p>
    <w:p w14:paraId="4CAD8B94" w14:textId="0BB6479F" w:rsidR="008B63FF" w:rsidRPr="00E67A14" w:rsidRDefault="00E67A14" w:rsidP="00EC5D29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E67A14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Sección </w:t>
      </w:r>
      <w:r w:rsidR="00FF393B">
        <w:rPr>
          <w:rFonts w:ascii="Book Antiqua" w:eastAsia="Times New Roman" w:hAnsi="Book Antiqua" w:cs="Times New Roman"/>
          <w:sz w:val="24"/>
          <w:szCs w:val="20"/>
          <w:lang w:val="es-PR"/>
        </w:rPr>
        <w:t>3</w:t>
      </w:r>
      <w:r w:rsidRPr="00E67A14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.-Esta Resolución comenzará a regir inmediatamente después de su aprobación. </w:t>
      </w:r>
    </w:p>
    <w:sectPr w:rsidR="008B63FF" w:rsidRPr="00E67A14" w:rsidSect="008F75A3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007CE5" w14:textId="77777777" w:rsidR="00BD32E9" w:rsidRDefault="00BD32E9" w:rsidP="00E67A14">
      <w:pPr>
        <w:spacing w:after="0" w:line="240" w:lineRule="auto"/>
      </w:pPr>
      <w:r>
        <w:separator/>
      </w:r>
    </w:p>
  </w:endnote>
  <w:endnote w:type="continuationSeparator" w:id="0">
    <w:p w14:paraId="088E07EA" w14:textId="77777777" w:rsidR="00BD32E9" w:rsidRDefault="00BD32E9" w:rsidP="00E67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E30BED" w14:textId="77777777" w:rsidR="00BD32E9" w:rsidRDefault="00BD32E9" w:rsidP="00E67A14">
      <w:pPr>
        <w:spacing w:after="0" w:line="240" w:lineRule="auto"/>
      </w:pPr>
      <w:r>
        <w:separator/>
      </w:r>
    </w:p>
  </w:footnote>
  <w:footnote w:type="continuationSeparator" w:id="0">
    <w:p w14:paraId="21FBD479" w14:textId="77777777" w:rsidR="00BD32E9" w:rsidRDefault="00BD32E9" w:rsidP="00E67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98C66" w14:textId="0EC79EEA" w:rsidR="00E67A14" w:rsidRDefault="00E67A14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E57E7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75C0B" w14:textId="31517BA2" w:rsidR="00464CC7" w:rsidRPr="00464CC7" w:rsidRDefault="00464CC7" w:rsidP="00464CC7">
    <w:pPr>
      <w:pStyle w:val="Header"/>
      <w:jc w:val="center"/>
      <w:rPr>
        <w:rFonts w:ascii="Book Antiqua" w:hAnsi="Book Antiqua"/>
        <w:sz w:val="24"/>
        <w:szCs w:val="24"/>
      </w:rPr>
    </w:pPr>
    <w:r>
      <w:rPr>
        <w:rFonts w:ascii="Book Antiqua" w:hAnsi="Book Antiqua"/>
        <w:sz w:val="24"/>
        <w:szCs w:val="24"/>
      </w:rPr>
      <w:t>ENTIRILLADO ELECTRÓNICO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A14"/>
    <w:rsid w:val="00033AF3"/>
    <w:rsid w:val="000464E2"/>
    <w:rsid w:val="000813F1"/>
    <w:rsid w:val="000861E3"/>
    <w:rsid w:val="000C329A"/>
    <w:rsid w:val="00134959"/>
    <w:rsid w:val="001521D9"/>
    <w:rsid w:val="001E57E7"/>
    <w:rsid w:val="002701F0"/>
    <w:rsid w:val="002C4549"/>
    <w:rsid w:val="002D43FE"/>
    <w:rsid w:val="003172D0"/>
    <w:rsid w:val="0033402A"/>
    <w:rsid w:val="0037770A"/>
    <w:rsid w:val="003909AE"/>
    <w:rsid w:val="004008A5"/>
    <w:rsid w:val="00464CC7"/>
    <w:rsid w:val="00492BFD"/>
    <w:rsid w:val="00505156"/>
    <w:rsid w:val="005965A2"/>
    <w:rsid w:val="00623C43"/>
    <w:rsid w:val="006303C6"/>
    <w:rsid w:val="006670F7"/>
    <w:rsid w:val="006C369A"/>
    <w:rsid w:val="00725C46"/>
    <w:rsid w:val="007C0A71"/>
    <w:rsid w:val="008462E0"/>
    <w:rsid w:val="00850547"/>
    <w:rsid w:val="00896F43"/>
    <w:rsid w:val="008B63FF"/>
    <w:rsid w:val="008F75A3"/>
    <w:rsid w:val="009419E1"/>
    <w:rsid w:val="00977EDB"/>
    <w:rsid w:val="00982201"/>
    <w:rsid w:val="009B19A2"/>
    <w:rsid w:val="009B7A7B"/>
    <w:rsid w:val="009F466E"/>
    <w:rsid w:val="00A53EF3"/>
    <w:rsid w:val="00A87A6D"/>
    <w:rsid w:val="00AC0AE1"/>
    <w:rsid w:val="00AE3DE3"/>
    <w:rsid w:val="00B03D15"/>
    <w:rsid w:val="00B10AC3"/>
    <w:rsid w:val="00B47C49"/>
    <w:rsid w:val="00B82C93"/>
    <w:rsid w:val="00BC33C8"/>
    <w:rsid w:val="00BD32E9"/>
    <w:rsid w:val="00C91F88"/>
    <w:rsid w:val="00CA0EB4"/>
    <w:rsid w:val="00D56083"/>
    <w:rsid w:val="00D668BC"/>
    <w:rsid w:val="00DC054F"/>
    <w:rsid w:val="00DD6797"/>
    <w:rsid w:val="00E27642"/>
    <w:rsid w:val="00E67A14"/>
    <w:rsid w:val="00EC5D29"/>
    <w:rsid w:val="00F65D1F"/>
    <w:rsid w:val="00F85345"/>
    <w:rsid w:val="00F9137C"/>
    <w:rsid w:val="00FD3341"/>
    <w:rsid w:val="00FF3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24B5D8"/>
  <w15:chartTrackingRefBased/>
  <w15:docId w15:val="{7CB37C3C-B9F8-4C81-B833-7FC4142D2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7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7A14"/>
  </w:style>
  <w:style w:type="character" w:styleId="PageNumber">
    <w:name w:val="page number"/>
    <w:basedOn w:val="DefaultParagraphFont"/>
    <w:rsid w:val="00E67A14"/>
  </w:style>
  <w:style w:type="paragraph" w:styleId="FootnoteText">
    <w:name w:val="footnote text"/>
    <w:basedOn w:val="Normal"/>
    <w:link w:val="FootnoteTextChar"/>
    <w:uiPriority w:val="99"/>
    <w:semiHidden/>
    <w:unhideWhenUsed/>
    <w:rsid w:val="00E67A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67A14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E67A14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E67A14"/>
  </w:style>
  <w:style w:type="paragraph" w:styleId="BalloonText">
    <w:name w:val="Balloon Text"/>
    <w:basedOn w:val="Normal"/>
    <w:link w:val="BalloonTextChar"/>
    <w:uiPriority w:val="99"/>
    <w:semiHidden/>
    <w:unhideWhenUsed/>
    <w:rsid w:val="00725C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C46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464C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4C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3EF89E-7429-4D58-AF26-54A0A0311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773</Words>
  <Characters>4257</Characters>
  <Application>Microsoft Office Word</Application>
  <DocSecurity>0</DocSecurity>
  <Lines>35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Sulianis Reyes</dc:creator>
  <cp:keywords/>
  <dc:description/>
  <cp:lastModifiedBy>Miguel A. Candelario Piñeiro</cp:lastModifiedBy>
  <cp:revision>6</cp:revision>
  <cp:lastPrinted>2025-05-28T19:01:00Z</cp:lastPrinted>
  <dcterms:created xsi:type="dcterms:W3CDTF">2025-05-28T17:52:00Z</dcterms:created>
  <dcterms:modified xsi:type="dcterms:W3CDTF">2025-10-11T14:39:00Z</dcterms:modified>
</cp:coreProperties>
</file>