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95943" w14:textId="77777777" w:rsidR="009E1EB9" w:rsidRPr="00490AA2" w:rsidRDefault="009E1EB9" w:rsidP="009E1EB9">
      <w:pPr>
        <w:tabs>
          <w:tab w:val="right" w:pos="709"/>
        </w:tabs>
        <w:spacing w:line="360" w:lineRule="auto"/>
        <w:jc w:val="center"/>
        <w:rPr>
          <w:rFonts w:ascii="Book Antiqua" w:hAnsi="Book Antiqua"/>
          <w:b/>
          <w:sz w:val="28"/>
          <w:szCs w:val="28"/>
          <w:lang w:val="es-PR"/>
        </w:rPr>
      </w:pPr>
      <w:r w:rsidRPr="00490AA2">
        <w:rPr>
          <w:rFonts w:ascii="Book Antiqua" w:hAnsi="Book Antiqua"/>
          <w:b/>
          <w:sz w:val="28"/>
          <w:szCs w:val="28"/>
          <w:lang w:val="es-PR"/>
        </w:rPr>
        <w:t>GOBIERNO DE PUERTO RICO</w:t>
      </w:r>
    </w:p>
    <w:p w14:paraId="63121669" w14:textId="51EB0918" w:rsidR="009E1EB9" w:rsidRPr="00490AA2" w:rsidRDefault="009E1EB9" w:rsidP="009E1EB9">
      <w:pPr>
        <w:suppressLineNumbers/>
        <w:tabs>
          <w:tab w:val="left" w:pos="7560"/>
        </w:tabs>
        <w:jc w:val="both"/>
        <w:rPr>
          <w:rFonts w:ascii="Book Antiqua" w:hAnsi="Book Antiqua"/>
          <w:szCs w:val="24"/>
          <w:lang w:val="es-PR"/>
        </w:rPr>
      </w:pPr>
      <w:r w:rsidRPr="00490AA2">
        <w:rPr>
          <w:rFonts w:ascii="Book Antiqua" w:hAnsi="Book Antiqua"/>
          <w:szCs w:val="24"/>
          <w:lang w:val="es-PR"/>
        </w:rPr>
        <w:t>20</w:t>
      </w:r>
      <w:r w:rsidRPr="00490AA2">
        <w:rPr>
          <w:rFonts w:ascii="Book Antiqua" w:hAnsi="Book Antiqua"/>
          <w:szCs w:val="24"/>
          <w:vertAlign w:val="superscript"/>
          <w:lang w:val="es-PR"/>
        </w:rPr>
        <w:t>ma.</w:t>
      </w:r>
      <w:r w:rsidRPr="00490AA2">
        <w:rPr>
          <w:rFonts w:ascii="Book Antiqua" w:hAnsi="Book Antiqua"/>
          <w:szCs w:val="24"/>
          <w:lang w:val="es-PR"/>
        </w:rPr>
        <w:t xml:space="preserve"> Asamblea</w:t>
      </w:r>
      <w:r w:rsidRPr="00490AA2">
        <w:rPr>
          <w:rFonts w:ascii="Book Antiqua" w:hAnsi="Book Antiqua"/>
          <w:szCs w:val="24"/>
          <w:lang w:val="es-PR"/>
        </w:rPr>
        <w:tab/>
        <w:t xml:space="preserve"> </w:t>
      </w:r>
      <w:r>
        <w:rPr>
          <w:rFonts w:ascii="Book Antiqua" w:hAnsi="Book Antiqua"/>
          <w:szCs w:val="24"/>
          <w:lang w:val="es-PR"/>
        </w:rPr>
        <w:t>2</w:t>
      </w:r>
      <w:r>
        <w:rPr>
          <w:rFonts w:ascii="Book Antiqua" w:hAnsi="Book Antiqua"/>
          <w:szCs w:val="24"/>
          <w:vertAlign w:val="superscript"/>
          <w:lang w:val="es-PR"/>
        </w:rPr>
        <w:t>da.</w:t>
      </w:r>
      <w:r w:rsidRPr="00490AA2">
        <w:rPr>
          <w:rFonts w:ascii="Book Antiqua" w:hAnsi="Book Antiqua"/>
          <w:szCs w:val="24"/>
          <w:lang w:val="es-PR"/>
        </w:rPr>
        <w:t xml:space="preserve">   Sesión </w:t>
      </w:r>
    </w:p>
    <w:p w14:paraId="47F2A764" w14:textId="0402FE64" w:rsidR="009E1EB9" w:rsidRPr="00490AA2" w:rsidRDefault="009E1EB9" w:rsidP="009E1EB9">
      <w:pPr>
        <w:rPr>
          <w:rFonts w:ascii="Book Antiqua" w:hAnsi="Book Antiqua"/>
          <w:b/>
          <w:szCs w:val="24"/>
          <w:lang w:val="es-PR"/>
        </w:rPr>
      </w:pPr>
      <w:r w:rsidRPr="00490AA2">
        <w:rPr>
          <w:rFonts w:ascii="Book Antiqua" w:hAnsi="Book Antiqua"/>
          <w:szCs w:val="24"/>
          <w:lang w:val="es-PR"/>
        </w:rPr>
        <w:t xml:space="preserve">      </w:t>
      </w:r>
      <w:r w:rsidR="00B07119">
        <w:rPr>
          <w:rFonts w:ascii="Book Antiqua" w:hAnsi="Book Antiqua"/>
          <w:szCs w:val="24"/>
          <w:lang w:val="es-PR"/>
        </w:rPr>
        <w:t xml:space="preserve">  </w:t>
      </w:r>
      <w:r w:rsidRPr="00490AA2">
        <w:rPr>
          <w:rFonts w:ascii="Book Antiqua" w:hAnsi="Book Antiqua"/>
          <w:szCs w:val="24"/>
          <w:lang w:val="es-PR"/>
        </w:rPr>
        <w:t xml:space="preserve"> Legislativa</w:t>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t xml:space="preserve">      Ordinaria</w:t>
      </w:r>
    </w:p>
    <w:p w14:paraId="430C7AB9" w14:textId="77777777" w:rsidR="009E1EB9" w:rsidRPr="00490AA2" w:rsidRDefault="009E1EB9" w:rsidP="009E1EB9">
      <w:pPr>
        <w:spacing w:line="360" w:lineRule="auto"/>
        <w:jc w:val="center"/>
        <w:rPr>
          <w:rFonts w:ascii="Book Antiqua" w:hAnsi="Book Antiqua"/>
          <w:b/>
          <w:sz w:val="36"/>
          <w:szCs w:val="36"/>
          <w:lang w:val="es-PR"/>
        </w:rPr>
      </w:pPr>
    </w:p>
    <w:p w14:paraId="50CCEB6A" w14:textId="77777777" w:rsidR="009E1EB9" w:rsidRPr="00490AA2" w:rsidRDefault="009E1EB9" w:rsidP="009E1EB9">
      <w:pPr>
        <w:spacing w:line="360" w:lineRule="auto"/>
        <w:jc w:val="center"/>
        <w:rPr>
          <w:rFonts w:ascii="Book Antiqua" w:hAnsi="Book Antiqua"/>
          <w:b/>
          <w:sz w:val="36"/>
          <w:szCs w:val="36"/>
          <w:lang w:val="es-PR"/>
        </w:rPr>
      </w:pPr>
      <w:r w:rsidRPr="00490AA2">
        <w:rPr>
          <w:rFonts w:ascii="Book Antiqua" w:hAnsi="Book Antiqua"/>
          <w:b/>
          <w:sz w:val="36"/>
          <w:szCs w:val="36"/>
          <w:lang w:val="es-PR"/>
        </w:rPr>
        <w:t>CÁMARA DE REPRESENTANTES</w:t>
      </w:r>
    </w:p>
    <w:p w14:paraId="60702409" w14:textId="6E1286BE" w:rsidR="009E1EB9" w:rsidRPr="00490AA2" w:rsidRDefault="009E1EB9" w:rsidP="0A1A92D6">
      <w:pPr>
        <w:spacing w:line="360" w:lineRule="auto"/>
        <w:jc w:val="center"/>
        <w:rPr>
          <w:rFonts w:ascii="Book Antiqua" w:hAnsi="Book Antiqua"/>
          <w:b/>
          <w:bCs/>
          <w:sz w:val="52"/>
          <w:szCs w:val="52"/>
          <w:lang w:val="es-PR"/>
        </w:rPr>
      </w:pPr>
      <w:r w:rsidRPr="0A1A92D6">
        <w:rPr>
          <w:rFonts w:ascii="Book Antiqua" w:hAnsi="Book Antiqua"/>
          <w:b/>
          <w:bCs/>
          <w:sz w:val="52"/>
          <w:szCs w:val="52"/>
          <w:lang w:val="es-PR"/>
        </w:rPr>
        <w:t>P. de</w:t>
      </w:r>
      <w:r w:rsidR="132747DA" w:rsidRPr="0A1A92D6">
        <w:rPr>
          <w:rFonts w:ascii="Book Antiqua" w:hAnsi="Book Antiqua"/>
          <w:b/>
          <w:bCs/>
          <w:sz w:val="52"/>
          <w:szCs w:val="52"/>
          <w:lang w:val="es-PR"/>
        </w:rPr>
        <w:t xml:space="preserve"> la C</w:t>
      </w:r>
      <w:r w:rsidRPr="0A1A92D6">
        <w:rPr>
          <w:rFonts w:ascii="Book Antiqua" w:hAnsi="Book Antiqua"/>
          <w:b/>
          <w:bCs/>
          <w:sz w:val="52"/>
          <w:szCs w:val="52"/>
          <w:lang w:val="es-PR"/>
        </w:rPr>
        <w:t xml:space="preserve">. </w:t>
      </w:r>
      <w:r w:rsidR="3F414E14" w:rsidRPr="0A1A92D6">
        <w:rPr>
          <w:rFonts w:ascii="Book Antiqua" w:hAnsi="Book Antiqua"/>
          <w:b/>
          <w:bCs/>
          <w:sz w:val="52"/>
          <w:szCs w:val="52"/>
          <w:lang w:val="es-PR"/>
        </w:rPr>
        <w:t>700</w:t>
      </w:r>
    </w:p>
    <w:p w14:paraId="49236800" w14:textId="292A9E4A" w:rsidR="009E1EB9" w:rsidRPr="00490AA2" w:rsidRDefault="009E1EB9" w:rsidP="0A1A92D6">
      <w:pPr>
        <w:contextualSpacing/>
        <w:jc w:val="center"/>
        <w:rPr>
          <w:rFonts w:ascii="Book Antiqua" w:hAnsi="Book Antiqua"/>
          <w:b/>
          <w:bCs/>
          <w:sz w:val="28"/>
          <w:szCs w:val="28"/>
          <w:lang w:val="es-PR"/>
        </w:rPr>
      </w:pPr>
      <w:r w:rsidRPr="0A1A92D6">
        <w:rPr>
          <w:rFonts w:ascii="Book Antiqua" w:hAnsi="Book Antiqua"/>
          <w:b/>
          <w:bCs/>
          <w:sz w:val="28"/>
          <w:szCs w:val="28"/>
          <w:lang w:val="es-PR"/>
        </w:rPr>
        <w:t xml:space="preserve">INFORME </w:t>
      </w:r>
      <w:r w:rsidR="1CECFA56" w:rsidRPr="0A1A92D6">
        <w:rPr>
          <w:rFonts w:ascii="Book Antiqua" w:hAnsi="Book Antiqua"/>
          <w:b/>
          <w:bCs/>
          <w:sz w:val="28"/>
          <w:szCs w:val="28"/>
          <w:lang w:val="es-PR"/>
        </w:rPr>
        <w:t>NEGATIVO</w:t>
      </w:r>
    </w:p>
    <w:p w14:paraId="2491420A" w14:textId="77777777" w:rsidR="00B07119" w:rsidRDefault="00B07119" w:rsidP="009E1EB9">
      <w:pPr>
        <w:contextualSpacing/>
        <w:jc w:val="center"/>
        <w:rPr>
          <w:rFonts w:ascii="Book Antiqua" w:hAnsi="Book Antiqua"/>
          <w:szCs w:val="24"/>
          <w:lang w:val="es-PR"/>
        </w:rPr>
      </w:pPr>
    </w:p>
    <w:p w14:paraId="02AAA3DD" w14:textId="68E9A9DF" w:rsidR="009E1EB9" w:rsidRPr="00490AA2" w:rsidRDefault="00143E73" w:rsidP="009E1EB9">
      <w:pPr>
        <w:contextualSpacing/>
        <w:jc w:val="center"/>
        <w:rPr>
          <w:rFonts w:ascii="Book Antiqua" w:hAnsi="Book Antiqua"/>
          <w:szCs w:val="24"/>
          <w:lang w:val="es-PR"/>
        </w:rPr>
      </w:pPr>
      <w:r>
        <w:rPr>
          <w:rFonts w:ascii="Book Antiqua" w:hAnsi="Book Antiqua"/>
          <w:szCs w:val="24"/>
          <w:lang w:val="es-PR"/>
        </w:rPr>
        <w:t>26</w:t>
      </w:r>
      <w:r w:rsidR="009E1EB9">
        <w:rPr>
          <w:rFonts w:ascii="Book Antiqua" w:hAnsi="Book Antiqua"/>
          <w:szCs w:val="24"/>
          <w:lang w:val="es-PR"/>
        </w:rPr>
        <w:t xml:space="preserve"> de agosto </w:t>
      </w:r>
      <w:r w:rsidR="009E1EB9" w:rsidRPr="00490AA2">
        <w:rPr>
          <w:rFonts w:ascii="Book Antiqua" w:hAnsi="Book Antiqua"/>
          <w:szCs w:val="24"/>
          <w:lang w:val="es-PR"/>
        </w:rPr>
        <w:t>de 2025</w:t>
      </w:r>
    </w:p>
    <w:p w14:paraId="675D0829" w14:textId="77777777" w:rsidR="009E1EB9" w:rsidRDefault="009E1EB9" w:rsidP="009E1EB9">
      <w:pPr>
        <w:contextualSpacing/>
        <w:rPr>
          <w:rFonts w:ascii="Book Antiqua" w:hAnsi="Book Antiqua"/>
          <w:b/>
          <w:szCs w:val="24"/>
          <w:lang w:val="es-PR"/>
        </w:rPr>
      </w:pPr>
    </w:p>
    <w:p w14:paraId="770EF38C" w14:textId="77777777" w:rsidR="009E1EB9" w:rsidRPr="00490AA2" w:rsidRDefault="009E1EB9" w:rsidP="009E1EB9">
      <w:pPr>
        <w:contextualSpacing/>
        <w:rPr>
          <w:rFonts w:ascii="Book Antiqua" w:hAnsi="Book Antiqua"/>
          <w:b/>
          <w:szCs w:val="24"/>
          <w:lang w:val="es-PR"/>
        </w:rPr>
      </w:pPr>
    </w:p>
    <w:p w14:paraId="13A22CDC" w14:textId="77777777" w:rsidR="009E1EB9" w:rsidRPr="00490AA2" w:rsidRDefault="009E1EB9" w:rsidP="001A666E">
      <w:pPr>
        <w:contextualSpacing/>
        <w:jc w:val="both"/>
        <w:rPr>
          <w:rFonts w:ascii="Book Antiqua" w:hAnsi="Book Antiqua"/>
          <w:b/>
          <w:szCs w:val="24"/>
          <w:lang w:val="es-PR"/>
        </w:rPr>
      </w:pPr>
      <w:r w:rsidRPr="00490AA2">
        <w:rPr>
          <w:rFonts w:ascii="Book Antiqua" w:hAnsi="Book Antiqua"/>
          <w:b/>
          <w:szCs w:val="24"/>
          <w:lang w:val="es-PR"/>
        </w:rPr>
        <w:t>A LA CÁMARA DE REPRESENTANTES DE PUERTO RICO:</w:t>
      </w:r>
    </w:p>
    <w:p w14:paraId="4F9FB615" w14:textId="77777777" w:rsidR="009E1EB9" w:rsidRPr="00490AA2" w:rsidRDefault="009E1EB9" w:rsidP="001A666E">
      <w:pPr>
        <w:contextualSpacing/>
        <w:jc w:val="both"/>
        <w:rPr>
          <w:rFonts w:ascii="Book Antiqua" w:hAnsi="Book Antiqua"/>
          <w:szCs w:val="24"/>
          <w:lang w:val="es-PR"/>
        </w:rPr>
      </w:pPr>
    </w:p>
    <w:p w14:paraId="08C96DD0" w14:textId="528792D1" w:rsidR="009E1EB9" w:rsidRPr="009E1EB9" w:rsidRDefault="009E1EB9" w:rsidP="001A666E">
      <w:pPr>
        <w:ind w:firstLine="708"/>
        <w:contextualSpacing/>
        <w:jc w:val="both"/>
        <w:rPr>
          <w:rFonts w:ascii="Book Antiqua" w:eastAsia="Book Antiqua" w:hAnsi="Book Antiqua" w:cs="Book Antiqua"/>
          <w:lang w:val="es-PR"/>
        </w:rPr>
      </w:pPr>
      <w:r w:rsidRPr="0A1A92D6">
        <w:rPr>
          <w:rFonts w:ascii="Book Antiqua" w:eastAsia="Book Antiqua" w:hAnsi="Book Antiqua" w:cs="Book Antiqua"/>
          <w:lang w:val="es-PR"/>
        </w:rPr>
        <w:t>La Comisión de Gobierno de la Cámara de Representantes, previo estudio y consideración</w:t>
      </w:r>
      <w:r w:rsidR="32CB7E42" w:rsidRPr="0A1A92D6">
        <w:rPr>
          <w:rFonts w:ascii="Book Antiqua" w:eastAsia="Book Antiqua" w:hAnsi="Book Antiqua" w:cs="Book Antiqua"/>
          <w:lang w:val="es-PR"/>
        </w:rPr>
        <w:t xml:space="preserve"> del </w:t>
      </w:r>
      <w:r w:rsidR="53723372" w:rsidRPr="0A1A92D6">
        <w:rPr>
          <w:rFonts w:ascii="Book Antiqua" w:eastAsia="Book Antiqua" w:hAnsi="Book Antiqua" w:cs="Book Antiqua"/>
          <w:color w:val="000000" w:themeColor="text1"/>
          <w:szCs w:val="24"/>
          <w:lang w:val="es-PR"/>
        </w:rPr>
        <w:t>Proyecto de la Cámara 700, no recomienda a este Alto Cuerpo su aprobación.</w:t>
      </w:r>
    </w:p>
    <w:p w14:paraId="09C85C89" w14:textId="77777777" w:rsidR="009E1EB9" w:rsidRPr="00490AA2" w:rsidRDefault="009E1EB9" w:rsidP="001A666E">
      <w:pPr>
        <w:ind w:firstLine="720"/>
        <w:contextualSpacing/>
        <w:jc w:val="both"/>
        <w:rPr>
          <w:rFonts w:ascii="Book Antiqua" w:eastAsia="Book Antiqua" w:hAnsi="Book Antiqua" w:cs="Book Antiqua"/>
          <w:lang w:val="es-PR"/>
        </w:rPr>
      </w:pPr>
    </w:p>
    <w:p w14:paraId="20EAE74C" w14:textId="709C22C5" w:rsidR="009E1EB9" w:rsidRPr="00490AA2" w:rsidRDefault="009E1EB9" w:rsidP="001A666E">
      <w:pPr>
        <w:contextualSpacing/>
        <w:jc w:val="center"/>
        <w:outlineLvl w:val="0"/>
        <w:rPr>
          <w:rFonts w:ascii="Book Antiqua" w:hAnsi="Book Antiqua"/>
          <w:b/>
          <w:bCs/>
          <w:caps/>
          <w:lang w:val="es-PR"/>
        </w:rPr>
      </w:pPr>
      <w:r w:rsidRPr="0A1A92D6">
        <w:rPr>
          <w:rFonts w:ascii="Book Antiqua" w:hAnsi="Book Antiqua"/>
          <w:b/>
          <w:bCs/>
          <w:caps/>
          <w:lang w:val="es-PR"/>
        </w:rPr>
        <w:t>ALCANCE DE LA MEDIDA</w:t>
      </w:r>
    </w:p>
    <w:p w14:paraId="166AF050" w14:textId="77777777" w:rsidR="001A666E" w:rsidRDefault="0CEE72AE" w:rsidP="001A666E">
      <w:pPr>
        <w:contextualSpacing/>
        <w:jc w:val="both"/>
        <w:rPr>
          <w:lang w:val="es-ES"/>
        </w:rPr>
      </w:pPr>
      <w:r w:rsidRPr="0A1A92D6">
        <w:rPr>
          <w:rFonts w:ascii="Book Antiqua" w:hAnsi="Book Antiqua"/>
          <w:lang w:val="es-PR"/>
        </w:rPr>
        <w:t xml:space="preserve"> </w:t>
      </w:r>
      <w:r w:rsidRPr="001A666E">
        <w:rPr>
          <w:lang w:val="es-ES"/>
        </w:rPr>
        <w:tab/>
      </w:r>
    </w:p>
    <w:p w14:paraId="27FAAD82" w14:textId="58823653" w:rsidR="0CEE72AE" w:rsidRDefault="6238B851" w:rsidP="001A666E">
      <w:pPr>
        <w:ind w:firstLine="708"/>
        <w:contextualSpacing/>
        <w:jc w:val="both"/>
        <w:rPr>
          <w:rFonts w:ascii="Book Antiqua" w:eastAsia="Book Antiqua" w:hAnsi="Book Antiqua" w:cs="Book Antiqua"/>
          <w:szCs w:val="24"/>
          <w:lang w:val="es-PR"/>
        </w:rPr>
      </w:pPr>
      <w:r w:rsidRPr="0A1A92D6">
        <w:rPr>
          <w:rFonts w:ascii="Book Antiqua" w:eastAsia="Book Antiqua" w:hAnsi="Book Antiqua" w:cs="Book Antiqua"/>
          <w:szCs w:val="24"/>
          <w:lang w:val="es-PR"/>
        </w:rPr>
        <w:t xml:space="preserve">El Proyecto de la Cámara 700 tiene como propósito enmendar el Artículo 48 de la Ley Núm. 73-2019, según enmendada, conocida como la </w:t>
      </w:r>
      <w:r w:rsidRPr="0A1A92D6">
        <w:rPr>
          <w:rFonts w:ascii="Book Antiqua" w:eastAsia="Book Antiqua" w:hAnsi="Book Antiqua" w:cs="Book Antiqua"/>
          <w:i/>
          <w:iCs/>
          <w:szCs w:val="24"/>
          <w:lang w:val="es-PR"/>
        </w:rPr>
        <w:t>“Ley de la Administración de Servicios Generales para la Centralización de las Compras del Gobierno de Puerto Rico”</w:t>
      </w:r>
      <w:r w:rsidRPr="0A1A92D6">
        <w:rPr>
          <w:rFonts w:ascii="Book Antiqua" w:eastAsia="Book Antiqua" w:hAnsi="Book Antiqua" w:cs="Book Antiqua"/>
          <w:szCs w:val="24"/>
          <w:lang w:val="es-PR"/>
        </w:rPr>
        <w:t>, a los fines de modificar la composición y el proceso de nombramiento de los miembros de la Junta de Subastas.</w:t>
      </w:r>
      <w:r w:rsidRPr="0A1A92D6">
        <w:rPr>
          <w:rFonts w:ascii="Book Antiqua" w:hAnsi="Book Antiqua"/>
          <w:lang w:val="es-PR"/>
        </w:rPr>
        <w:t xml:space="preserve"> </w:t>
      </w:r>
    </w:p>
    <w:p w14:paraId="66313B14" w14:textId="77777777" w:rsidR="009E1EB9" w:rsidRPr="001D58EF" w:rsidRDefault="009E1EB9" w:rsidP="001A666E">
      <w:pPr>
        <w:contextualSpacing/>
        <w:jc w:val="both"/>
        <w:rPr>
          <w:rFonts w:ascii="Book Antiqua" w:hAnsi="Book Antiqua"/>
          <w:szCs w:val="24"/>
          <w:lang w:val="es-PR"/>
        </w:rPr>
      </w:pPr>
    </w:p>
    <w:p w14:paraId="09B450A6" w14:textId="77777777" w:rsidR="009E1EB9" w:rsidRPr="00490AA2" w:rsidRDefault="009E1EB9" w:rsidP="001A666E">
      <w:pPr>
        <w:contextualSpacing/>
        <w:jc w:val="center"/>
        <w:rPr>
          <w:rFonts w:ascii="Book Antiqua" w:hAnsi="Book Antiqua"/>
          <w:b/>
          <w:szCs w:val="24"/>
          <w:lang w:val="es-PR"/>
        </w:rPr>
      </w:pPr>
      <w:r w:rsidRPr="0A1A92D6">
        <w:rPr>
          <w:rFonts w:ascii="Book Antiqua" w:hAnsi="Book Antiqua"/>
          <w:b/>
          <w:bCs/>
          <w:lang w:val="es-PR"/>
        </w:rPr>
        <w:t>INTRODUCCIÓN</w:t>
      </w:r>
    </w:p>
    <w:p w14:paraId="5F6667E3" w14:textId="10D1E1D4" w:rsidR="0A1A92D6" w:rsidRDefault="0A1A92D6" w:rsidP="001A666E">
      <w:pPr>
        <w:contextualSpacing/>
        <w:jc w:val="both"/>
        <w:rPr>
          <w:rFonts w:ascii="Book Antiqua" w:eastAsia="Book Antiqua" w:hAnsi="Book Antiqua" w:cs="Book Antiqua"/>
          <w:szCs w:val="24"/>
          <w:lang w:val="es-PR"/>
        </w:rPr>
      </w:pPr>
    </w:p>
    <w:p w14:paraId="6A803FDB" w14:textId="424BD279" w:rsidR="00BB6266" w:rsidRDefault="1009DECE" w:rsidP="001A666E">
      <w:pPr>
        <w:ind w:firstLine="708"/>
        <w:contextualSpacing/>
        <w:jc w:val="both"/>
        <w:rPr>
          <w:rFonts w:ascii="Book Antiqua" w:hAnsi="Book Antiqua"/>
          <w:lang w:val="es-PR"/>
        </w:rPr>
      </w:pPr>
      <w:r w:rsidRPr="0A1A92D6">
        <w:rPr>
          <w:rFonts w:ascii="Book Antiqua" w:eastAsia="Book Antiqua" w:hAnsi="Book Antiqua" w:cs="Book Antiqua"/>
          <w:szCs w:val="24"/>
          <w:lang w:val="es-PR"/>
        </w:rPr>
        <w:t>La Exposición de Motivos del proyecto identifica adecuadamente como problema la falta de uniformidad en los procesos de compras del gobierno, consecuencia de la existencia de más de 188 reglamentos distintos aplicables a diversas entidades gubernamentales. Esa situación dio origen a la aprobación de la Ley Núm. 73-2019, según enmendada, que centraliza las compras gubernamentales bajo la Administración de Servicios Generales.</w:t>
      </w:r>
    </w:p>
    <w:p w14:paraId="25B1A497" w14:textId="77777777" w:rsidR="00AB0448" w:rsidRDefault="00AB0448" w:rsidP="001A666E">
      <w:pPr>
        <w:contextualSpacing/>
        <w:jc w:val="both"/>
        <w:rPr>
          <w:rFonts w:ascii="Book Antiqua" w:eastAsia="Book Antiqua" w:hAnsi="Book Antiqua" w:cs="Book Antiqua"/>
          <w:szCs w:val="24"/>
          <w:lang w:val="es-PR"/>
        </w:rPr>
      </w:pPr>
    </w:p>
    <w:p w14:paraId="30B059F5" w14:textId="5FE31536" w:rsidR="00BB6266" w:rsidRDefault="1009DECE" w:rsidP="001A666E">
      <w:pPr>
        <w:contextualSpacing/>
        <w:jc w:val="both"/>
        <w:rPr>
          <w:rFonts w:ascii="Book Antiqua" w:eastAsia="Book Antiqua" w:hAnsi="Book Antiqua" w:cs="Book Antiqua"/>
          <w:szCs w:val="24"/>
          <w:lang w:val="es-PR"/>
        </w:rPr>
      </w:pPr>
      <w:r w:rsidRPr="0A1A92D6">
        <w:rPr>
          <w:rFonts w:ascii="Book Antiqua" w:eastAsia="Book Antiqua" w:hAnsi="Book Antiqua" w:cs="Book Antiqua"/>
          <w:szCs w:val="24"/>
          <w:lang w:val="es-PR"/>
        </w:rPr>
        <w:t xml:space="preserve">Sin embargo, tras el análisis legislativo correspondiente, esta Comisión concluye que el Proyecto de la Cámara 700 </w:t>
      </w:r>
      <w:r w:rsidRPr="0A1A92D6">
        <w:rPr>
          <w:rFonts w:ascii="Book Antiqua" w:eastAsia="Book Antiqua" w:hAnsi="Book Antiqua" w:cs="Book Antiqua"/>
          <w:b/>
          <w:bCs/>
          <w:szCs w:val="24"/>
          <w:lang w:val="es-PR"/>
        </w:rPr>
        <w:t>r</w:t>
      </w:r>
      <w:r w:rsidRPr="0A1A92D6">
        <w:rPr>
          <w:rFonts w:ascii="Book Antiqua" w:eastAsia="Book Antiqua" w:hAnsi="Book Antiqua" w:cs="Book Antiqua"/>
          <w:szCs w:val="24"/>
          <w:lang w:val="es-PR"/>
        </w:rPr>
        <w:t xml:space="preserve">esulta innecesario, ya que una legislación sustancialmente idéntica fue recientemente aprobada por la Asamblea Legislativa y convertida en ley: la Ley Núm. 59-2025, la cual enmendó los Artículos 4 y 48 de la Ley Núm. 73-2019, </w:t>
      </w:r>
      <w:r w:rsidRPr="0A1A92D6">
        <w:rPr>
          <w:rFonts w:ascii="Book Antiqua" w:eastAsia="Book Antiqua" w:hAnsi="Book Antiqua" w:cs="Book Antiqua"/>
          <w:szCs w:val="24"/>
          <w:lang w:val="es-PR"/>
        </w:rPr>
        <w:lastRenderedPageBreak/>
        <w:t>precisamente para atender los mismos asuntos medulares que contempla este proyecto, incluyendo:</w:t>
      </w:r>
    </w:p>
    <w:p w14:paraId="45F3785B" w14:textId="63E3B706" w:rsidR="00BB6266" w:rsidRDefault="1009DECE" w:rsidP="001A666E">
      <w:pPr>
        <w:pStyle w:val="ListParagraph"/>
        <w:numPr>
          <w:ilvl w:val="0"/>
          <w:numId w:val="1"/>
        </w:numPr>
        <w:jc w:val="both"/>
        <w:rPr>
          <w:rFonts w:ascii="Book Antiqua" w:eastAsia="Book Antiqua" w:hAnsi="Book Antiqua" w:cs="Book Antiqua"/>
          <w:szCs w:val="24"/>
          <w:lang w:val="es-PR"/>
        </w:rPr>
      </w:pPr>
      <w:r w:rsidRPr="0A1A92D6">
        <w:rPr>
          <w:rFonts w:ascii="Book Antiqua" w:eastAsia="Book Antiqua" w:hAnsi="Book Antiqua" w:cs="Book Antiqua"/>
          <w:szCs w:val="24"/>
          <w:lang w:val="es-PR"/>
        </w:rPr>
        <w:t>La modificación de la composición de la Junta de Subastas;</w:t>
      </w:r>
    </w:p>
    <w:p w14:paraId="4E09B21C" w14:textId="00E0AC1B" w:rsidR="00BB6266" w:rsidRDefault="1009DECE" w:rsidP="001A666E">
      <w:pPr>
        <w:pStyle w:val="ListParagraph"/>
        <w:numPr>
          <w:ilvl w:val="0"/>
          <w:numId w:val="1"/>
        </w:numPr>
        <w:jc w:val="both"/>
        <w:rPr>
          <w:rFonts w:ascii="Book Antiqua" w:eastAsia="Book Antiqua" w:hAnsi="Book Antiqua" w:cs="Book Antiqua"/>
          <w:szCs w:val="24"/>
          <w:lang w:val="es-PR"/>
        </w:rPr>
      </w:pPr>
      <w:r w:rsidRPr="0A1A92D6">
        <w:rPr>
          <w:rFonts w:ascii="Book Antiqua" w:eastAsia="Book Antiqua" w:hAnsi="Book Antiqua" w:cs="Book Antiqua"/>
          <w:szCs w:val="24"/>
          <w:lang w:val="es-PR"/>
        </w:rPr>
        <w:t>El establecimiento del proceso de nombramiento y confirmación de sus miembros;</w:t>
      </w:r>
    </w:p>
    <w:p w14:paraId="5871867C" w14:textId="0DDF4CA6" w:rsidR="00BB6266" w:rsidRDefault="1009DECE" w:rsidP="001A666E">
      <w:pPr>
        <w:pStyle w:val="ListParagraph"/>
        <w:numPr>
          <w:ilvl w:val="0"/>
          <w:numId w:val="1"/>
        </w:numPr>
        <w:jc w:val="both"/>
        <w:rPr>
          <w:rFonts w:ascii="Book Antiqua" w:eastAsia="Book Antiqua" w:hAnsi="Book Antiqua" w:cs="Book Antiqua"/>
          <w:szCs w:val="24"/>
          <w:lang w:val="es-PR"/>
        </w:rPr>
      </w:pPr>
      <w:r w:rsidRPr="0A1A92D6">
        <w:rPr>
          <w:rFonts w:ascii="Book Antiqua" w:eastAsia="Book Antiqua" w:hAnsi="Book Antiqua" w:cs="Book Antiqua"/>
          <w:szCs w:val="24"/>
          <w:lang w:val="es-PR"/>
        </w:rPr>
        <w:t>Y la aclaración de la exención de la Oficina del Gobernador del proceso de centralización de compras.</w:t>
      </w:r>
    </w:p>
    <w:p w14:paraId="6F83B83B" w14:textId="09130CD4" w:rsidR="00BB6266" w:rsidRDefault="00BB6266" w:rsidP="001A666E">
      <w:pPr>
        <w:ind w:firstLine="540"/>
        <w:contextualSpacing/>
        <w:jc w:val="both"/>
        <w:rPr>
          <w:rFonts w:ascii="Book Antiqua" w:eastAsia="Book Antiqua" w:hAnsi="Book Antiqua" w:cs="Book Antiqua"/>
          <w:b/>
          <w:bCs/>
          <w:color w:val="000000" w:themeColor="text1"/>
          <w:szCs w:val="24"/>
          <w:lang w:val="es-PR"/>
        </w:rPr>
      </w:pPr>
    </w:p>
    <w:p w14:paraId="33434617" w14:textId="7090AE72" w:rsidR="00BB6266" w:rsidRDefault="7D1C13AF" w:rsidP="001A666E">
      <w:pPr>
        <w:ind w:firstLine="540"/>
        <w:contextualSpacing/>
        <w:jc w:val="center"/>
        <w:rPr>
          <w:rFonts w:ascii="Book Antiqua" w:eastAsia="Book Antiqua" w:hAnsi="Book Antiqua" w:cs="Book Antiqua"/>
          <w:b/>
          <w:bCs/>
          <w:color w:val="000000" w:themeColor="text1"/>
          <w:szCs w:val="24"/>
          <w:lang w:val="es-PR"/>
        </w:rPr>
      </w:pPr>
      <w:r w:rsidRPr="0A1A92D6">
        <w:rPr>
          <w:rFonts w:ascii="Book Antiqua" w:eastAsia="Book Antiqua" w:hAnsi="Book Antiqua" w:cs="Book Antiqua"/>
          <w:b/>
          <w:bCs/>
          <w:color w:val="000000" w:themeColor="text1"/>
          <w:szCs w:val="24"/>
          <w:lang w:val="es-PR"/>
        </w:rPr>
        <w:t>ANÁLISIS DE LA MEDIDA</w:t>
      </w:r>
    </w:p>
    <w:p w14:paraId="72A5230B" w14:textId="77777777" w:rsidR="001A666E" w:rsidRDefault="001A666E" w:rsidP="001A666E">
      <w:pPr>
        <w:contextualSpacing/>
        <w:jc w:val="both"/>
        <w:rPr>
          <w:rFonts w:ascii="Book Antiqua" w:eastAsia="Book Antiqua" w:hAnsi="Book Antiqua" w:cs="Book Antiqua"/>
          <w:szCs w:val="24"/>
          <w:lang w:val="es-PR"/>
        </w:rPr>
      </w:pPr>
    </w:p>
    <w:p w14:paraId="59668DF3" w14:textId="44545747" w:rsidR="00BB6266" w:rsidRDefault="0CADD113" w:rsidP="001A666E">
      <w:pPr>
        <w:ind w:firstLine="540"/>
        <w:contextualSpacing/>
        <w:jc w:val="both"/>
        <w:rPr>
          <w:rFonts w:ascii="Book Antiqua" w:eastAsia="Book Antiqua" w:hAnsi="Book Antiqua" w:cs="Book Antiqua"/>
          <w:b/>
          <w:bCs/>
          <w:color w:val="000000" w:themeColor="text1"/>
          <w:szCs w:val="24"/>
          <w:lang w:val="es-PR"/>
        </w:rPr>
      </w:pPr>
      <w:r w:rsidRPr="0A1A92D6">
        <w:rPr>
          <w:rFonts w:ascii="Book Antiqua" w:eastAsia="Book Antiqua" w:hAnsi="Book Antiqua" w:cs="Book Antiqua"/>
          <w:szCs w:val="24"/>
          <w:lang w:val="es-PR"/>
        </w:rPr>
        <w:t xml:space="preserve">En cumplimiento con su deber legislativo, la Comisión de Gobierno comparó el contenido del Proyecto de la Cámara 700 con la legislación vigente y determinó que ambos son </w:t>
      </w:r>
      <w:r w:rsidRPr="0A1A92D6">
        <w:rPr>
          <w:rFonts w:ascii="Book Antiqua" w:eastAsia="Book Antiqua" w:hAnsi="Book Antiqua" w:cs="Book Antiqua"/>
          <w:b/>
          <w:bCs/>
          <w:szCs w:val="24"/>
          <w:lang w:val="es-PR"/>
        </w:rPr>
        <w:t>sustancialmente idénticos</w:t>
      </w:r>
      <w:r w:rsidRPr="0A1A92D6">
        <w:rPr>
          <w:rFonts w:ascii="Book Antiqua" w:eastAsia="Book Antiqua" w:hAnsi="Book Antiqua" w:cs="Book Antiqua"/>
          <w:szCs w:val="24"/>
          <w:lang w:val="es-PR"/>
        </w:rPr>
        <w:t xml:space="preserve">, tanto en su alcance como en sus disposiciones normativas. Por tanto, su aprobación representaría una duplicidad innecesaria y redundante dentro del marco jurídico actual. </w:t>
      </w:r>
    </w:p>
    <w:p w14:paraId="3DD68D17" w14:textId="7C728E70" w:rsidR="00BB6266" w:rsidRDefault="00BB6266" w:rsidP="001A666E">
      <w:pPr>
        <w:contextualSpacing/>
        <w:jc w:val="center"/>
        <w:rPr>
          <w:rFonts w:ascii="Book Antiqua" w:eastAsia="Book Antiqua" w:hAnsi="Book Antiqua" w:cs="Book Antiqua"/>
          <w:b/>
          <w:bCs/>
          <w:color w:val="000000" w:themeColor="text1"/>
          <w:szCs w:val="24"/>
          <w:lang w:val="es-PR"/>
        </w:rPr>
      </w:pPr>
    </w:p>
    <w:p w14:paraId="0F96F7E6" w14:textId="3C5203C8" w:rsidR="00BB6266" w:rsidRDefault="7D1C13AF" w:rsidP="001A666E">
      <w:pPr>
        <w:contextualSpacing/>
        <w:jc w:val="center"/>
        <w:rPr>
          <w:rFonts w:ascii="Book Antiqua" w:eastAsia="Book Antiqua" w:hAnsi="Book Antiqua" w:cs="Book Antiqua"/>
          <w:b/>
          <w:bCs/>
          <w:color w:val="000000" w:themeColor="text1"/>
          <w:szCs w:val="24"/>
          <w:lang w:val="es-PR"/>
        </w:rPr>
      </w:pPr>
      <w:r w:rsidRPr="0A1A92D6">
        <w:rPr>
          <w:rFonts w:ascii="Book Antiqua" w:eastAsia="Book Antiqua" w:hAnsi="Book Antiqua" w:cs="Book Antiqua"/>
          <w:b/>
          <w:bCs/>
          <w:color w:val="000000" w:themeColor="text1"/>
          <w:szCs w:val="24"/>
          <w:lang w:val="es-PR"/>
        </w:rPr>
        <w:t>CONCLUSIÓN</w:t>
      </w:r>
    </w:p>
    <w:p w14:paraId="05B76133" w14:textId="77777777" w:rsidR="001A666E" w:rsidRDefault="001A666E" w:rsidP="001A666E">
      <w:pPr>
        <w:ind w:firstLine="708"/>
        <w:contextualSpacing/>
        <w:jc w:val="both"/>
        <w:rPr>
          <w:rFonts w:ascii="Book Antiqua" w:eastAsia="Book Antiqua" w:hAnsi="Book Antiqua" w:cs="Book Antiqua"/>
          <w:b/>
          <w:bCs/>
          <w:szCs w:val="24"/>
          <w:lang w:val="es-PR"/>
        </w:rPr>
      </w:pPr>
    </w:p>
    <w:p w14:paraId="1BA1AA35" w14:textId="31AE45C5" w:rsidR="00BB6266" w:rsidRDefault="03FC8FB3" w:rsidP="001A666E">
      <w:pPr>
        <w:ind w:firstLine="708"/>
        <w:contextualSpacing/>
        <w:jc w:val="both"/>
        <w:rPr>
          <w:rFonts w:ascii="Book Antiqua" w:eastAsia="Book Antiqua" w:hAnsi="Book Antiqua" w:cs="Book Antiqua"/>
          <w:szCs w:val="24"/>
          <w:lang w:val="es-PR"/>
        </w:rPr>
      </w:pPr>
      <w:r w:rsidRPr="0A1A92D6">
        <w:rPr>
          <w:rFonts w:ascii="Book Antiqua" w:eastAsia="Book Antiqua" w:hAnsi="Book Antiqua" w:cs="Book Antiqua"/>
          <w:b/>
          <w:bCs/>
          <w:szCs w:val="24"/>
          <w:lang w:val="es-PR"/>
        </w:rPr>
        <w:t>POR TODO LO ANTES EXPUESTO</w:t>
      </w:r>
      <w:r w:rsidRPr="0A1A92D6">
        <w:rPr>
          <w:rFonts w:ascii="Book Antiqua" w:eastAsia="Book Antiqua" w:hAnsi="Book Antiqua" w:cs="Book Antiqua"/>
          <w:szCs w:val="24"/>
          <w:lang w:val="es-PR"/>
        </w:rPr>
        <w:t>, la Comisión de Gobierno de la Cámara de Representantes de Puerto Rico, luego del correspondiente estudio y análisis, presenta un Informe Negativo sobre el Proyecto de la Cámara 700 y recomienda que el mismo no sea aprobado.</w:t>
      </w:r>
    </w:p>
    <w:p w14:paraId="3A15232B" w14:textId="77777777" w:rsidR="001A666E" w:rsidRDefault="001A666E" w:rsidP="001A666E">
      <w:pPr>
        <w:contextualSpacing/>
        <w:jc w:val="both"/>
        <w:rPr>
          <w:rFonts w:ascii="Book Antiqua" w:hAnsi="Book Antiqua"/>
          <w:lang w:val="es-ES"/>
        </w:rPr>
      </w:pPr>
    </w:p>
    <w:p w14:paraId="1F704907" w14:textId="77777777" w:rsidR="001A666E" w:rsidRDefault="001A666E" w:rsidP="001A666E">
      <w:pPr>
        <w:contextualSpacing/>
        <w:jc w:val="both"/>
        <w:rPr>
          <w:rFonts w:ascii="Book Antiqua" w:hAnsi="Book Antiqua"/>
          <w:lang w:val="es-ES"/>
        </w:rPr>
      </w:pPr>
    </w:p>
    <w:p w14:paraId="0BB572F7" w14:textId="57F2FA11" w:rsidR="001D58EF" w:rsidRPr="001D58EF" w:rsidRDefault="001D58EF" w:rsidP="001A666E">
      <w:pPr>
        <w:contextualSpacing/>
        <w:jc w:val="both"/>
        <w:rPr>
          <w:rFonts w:ascii="Book Antiqua" w:hAnsi="Book Antiqua"/>
          <w:lang w:val="es-PR"/>
        </w:rPr>
      </w:pPr>
      <w:r w:rsidRPr="0A1A92D6">
        <w:rPr>
          <w:rFonts w:ascii="Book Antiqua" w:hAnsi="Book Antiqua"/>
          <w:lang w:val="es-ES"/>
        </w:rPr>
        <w:t>Respetuosamente sometido,</w:t>
      </w:r>
      <w:r w:rsidRPr="0A1A92D6">
        <w:rPr>
          <w:lang w:val="es-PR"/>
        </w:rPr>
        <w:t> </w:t>
      </w:r>
      <w:r w:rsidRPr="0A1A92D6">
        <w:rPr>
          <w:rFonts w:ascii="Book Antiqua" w:hAnsi="Book Antiqua"/>
          <w:lang w:val="es-PR"/>
        </w:rPr>
        <w:t> </w:t>
      </w:r>
    </w:p>
    <w:p w14:paraId="47BB627A" w14:textId="2EBD4B13" w:rsidR="001D58EF" w:rsidRPr="001D58EF" w:rsidRDefault="001D58EF" w:rsidP="001A666E">
      <w:pPr>
        <w:contextualSpacing/>
        <w:jc w:val="both"/>
        <w:rPr>
          <w:lang w:val="es-PR"/>
        </w:rPr>
      </w:pPr>
      <w:r w:rsidRPr="0A1A92D6">
        <w:rPr>
          <w:lang w:val="es-PR"/>
        </w:rPr>
        <w:t> </w:t>
      </w:r>
      <w:r w:rsidRPr="001A666E">
        <w:rPr>
          <w:lang w:val="es-ES"/>
        </w:rPr>
        <w:tab/>
      </w:r>
    </w:p>
    <w:p w14:paraId="2992E546" w14:textId="74C8620C" w:rsidR="001D58EF" w:rsidRDefault="001D58EF" w:rsidP="001A666E">
      <w:pPr>
        <w:contextualSpacing/>
        <w:jc w:val="both"/>
        <w:rPr>
          <w:rFonts w:ascii="Book Antiqua" w:hAnsi="Book Antiqua"/>
          <w:b/>
          <w:bCs/>
          <w:lang w:val="es-ES"/>
        </w:rPr>
      </w:pPr>
    </w:p>
    <w:p w14:paraId="543C0547" w14:textId="77777777" w:rsidR="00AB0448" w:rsidRDefault="00AB0448" w:rsidP="001A666E">
      <w:pPr>
        <w:contextualSpacing/>
        <w:jc w:val="both"/>
        <w:rPr>
          <w:rFonts w:ascii="Book Antiqua" w:hAnsi="Book Antiqua"/>
          <w:b/>
          <w:bCs/>
          <w:lang w:val="es-ES"/>
        </w:rPr>
      </w:pPr>
    </w:p>
    <w:p w14:paraId="27BDFCF3" w14:textId="77777777" w:rsidR="001A666E" w:rsidRPr="001D58EF" w:rsidRDefault="001A666E" w:rsidP="001A666E">
      <w:pPr>
        <w:contextualSpacing/>
        <w:jc w:val="both"/>
        <w:rPr>
          <w:rFonts w:ascii="Book Antiqua" w:hAnsi="Book Antiqua"/>
          <w:b/>
          <w:bCs/>
          <w:lang w:val="es-ES"/>
        </w:rPr>
      </w:pPr>
    </w:p>
    <w:p w14:paraId="65DFADDC" w14:textId="6089531F" w:rsidR="001D58EF" w:rsidRPr="001D58EF" w:rsidRDefault="001D58EF" w:rsidP="001A666E">
      <w:pPr>
        <w:contextualSpacing/>
        <w:jc w:val="both"/>
        <w:rPr>
          <w:rFonts w:ascii="Book Antiqua" w:hAnsi="Book Antiqua"/>
          <w:lang w:val="es-PR"/>
        </w:rPr>
      </w:pPr>
      <w:proofErr w:type="spellStart"/>
      <w:r w:rsidRPr="0A1A92D6">
        <w:rPr>
          <w:rFonts w:ascii="Book Antiqua" w:hAnsi="Book Antiqua"/>
          <w:b/>
          <w:bCs/>
          <w:lang w:val="es-ES"/>
        </w:rPr>
        <w:t>Hon</w:t>
      </w:r>
      <w:proofErr w:type="spellEnd"/>
      <w:r w:rsidRPr="0A1A92D6">
        <w:rPr>
          <w:rFonts w:ascii="Book Antiqua" w:hAnsi="Book Antiqua"/>
          <w:b/>
          <w:bCs/>
          <w:lang w:val="es-ES"/>
        </w:rPr>
        <w:t>. Víctor L. Parés-Otero</w:t>
      </w:r>
      <w:r w:rsidRPr="0A1A92D6">
        <w:rPr>
          <w:lang w:val="es-PR"/>
        </w:rPr>
        <w:t> </w:t>
      </w:r>
      <w:r w:rsidRPr="0A1A92D6">
        <w:rPr>
          <w:rFonts w:ascii="Book Antiqua" w:hAnsi="Book Antiqua"/>
          <w:lang w:val="es-PR"/>
        </w:rPr>
        <w:t> </w:t>
      </w:r>
    </w:p>
    <w:p w14:paraId="511DCE80" w14:textId="77777777" w:rsidR="001D58EF" w:rsidRPr="001D58EF" w:rsidRDefault="001D58EF" w:rsidP="001A666E">
      <w:pPr>
        <w:contextualSpacing/>
        <w:jc w:val="both"/>
        <w:rPr>
          <w:rFonts w:ascii="Book Antiqua" w:hAnsi="Book Antiqua"/>
          <w:lang w:val="es-PR"/>
        </w:rPr>
      </w:pPr>
      <w:r w:rsidRPr="00910125">
        <w:rPr>
          <w:rFonts w:ascii="Book Antiqua" w:hAnsi="Book Antiqua"/>
          <w:lang w:val="es-ES"/>
        </w:rPr>
        <w:t>Presidente</w:t>
      </w:r>
      <w:r w:rsidRPr="001D58EF">
        <w:rPr>
          <w:lang w:val="es-PR"/>
        </w:rPr>
        <w:t> </w:t>
      </w:r>
      <w:r w:rsidRPr="001D58EF">
        <w:rPr>
          <w:rFonts w:ascii="Book Antiqua" w:hAnsi="Book Antiqua"/>
          <w:lang w:val="es-PR"/>
        </w:rPr>
        <w:t> </w:t>
      </w:r>
    </w:p>
    <w:p w14:paraId="7F87EED2" w14:textId="77777777" w:rsidR="001D58EF" w:rsidRPr="001D58EF" w:rsidRDefault="001D58EF" w:rsidP="001A666E">
      <w:pPr>
        <w:contextualSpacing/>
        <w:jc w:val="both"/>
        <w:rPr>
          <w:rFonts w:ascii="Book Antiqua" w:hAnsi="Book Antiqua"/>
          <w:lang w:val="es-PR"/>
        </w:rPr>
      </w:pPr>
      <w:r w:rsidRPr="00910125">
        <w:rPr>
          <w:rFonts w:ascii="Book Antiqua" w:hAnsi="Book Antiqua"/>
          <w:lang w:val="es-ES"/>
        </w:rPr>
        <w:t>Comisión de Gobierno</w:t>
      </w:r>
      <w:r w:rsidRPr="001D58EF">
        <w:rPr>
          <w:lang w:val="es-PR"/>
        </w:rPr>
        <w:t> </w:t>
      </w:r>
      <w:r w:rsidRPr="001D58EF">
        <w:rPr>
          <w:rFonts w:ascii="Book Antiqua" w:hAnsi="Book Antiqua"/>
          <w:lang w:val="es-PR"/>
        </w:rPr>
        <w:t> </w:t>
      </w:r>
    </w:p>
    <w:p w14:paraId="1CE1E4D4" w14:textId="77777777" w:rsidR="001D58EF" w:rsidRPr="001D58EF" w:rsidRDefault="001D58EF" w:rsidP="001A666E">
      <w:pPr>
        <w:contextualSpacing/>
        <w:jc w:val="both"/>
        <w:rPr>
          <w:rFonts w:ascii="Book Antiqua" w:hAnsi="Book Antiqua"/>
          <w:lang w:val="es-PR"/>
        </w:rPr>
      </w:pPr>
      <w:r w:rsidRPr="00910125">
        <w:rPr>
          <w:rFonts w:ascii="Book Antiqua" w:hAnsi="Book Antiqua"/>
          <w:lang w:val="es-ES"/>
        </w:rPr>
        <w:t>Cámara de Representantes</w:t>
      </w:r>
      <w:r w:rsidRPr="001D58EF">
        <w:rPr>
          <w:lang w:val="es-PR"/>
        </w:rPr>
        <w:t> </w:t>
      </w:r>
      <w:r w:rsidRPr="001D58EF">
        <w:rPr>
          <w:rFonts w:ascii="Book Antiqua" w:hAnsi="Book Antiqua"/>
          <w:lang w:val="es-PR"/>
        </w:rPr>
        <w:t> </w:t>
      </w:r>
    </w:p>
    <w:p w14:paraId="21145A48" w14:textId="77777777" w:rsidR="001D58EF" w:rsidRPr="001D58EF" w:rsidRDefault="001D58EF" w:rsidP="001A666E">
      <w:pPr>
        <w:contextualSpacing/>
        <w:jc w:val="both"/>
        <w:rPr>
          <w:rFonts w:ascii="Book Antiqua" w:hAnsi="Book Antiqua"/>
          <w:lang w:val="es-PR"/>
        </w:rPr>
      </w:pPr>
      <w:r w:rsidRPr="001D58EF">
        <w:rPr>
          <w:rFonts w:ascii="Book Antiqua" w:hAnsi="Book Antiqua"/>
          <w:lang w:val="es-PR"/>
        </w:rPr>
        <w:t> </w:t>
      </w:r>
    </w:p>
    <w:p w14:paraId="15DBBDB0" w14:textId="74C0A630" w:rsidR="001D58EF" w:rsidRPr="001D58EF" w:rsidRDefault="001D58EF" w:rsidP="001A666E">
      <w:pPr>
        <w:contextualSpacing/>
        <w:jc w:val="both"/>
        <w:rPr>
          <w:rFonts w:ascii="Book Antiqua" w:hAnsi="Book Antiqua"/>
          <w:lang w:val="es-PR"/>
        </w:rPr>
      </w:pPr>
    </w:p>
    <w:p w14:paraId="0AB5E13D" w14:textId="77777777" w:rsidR="009E1EB9" w:rsidRPr="00490AA2" w:rsidRDefault="009E1EB9" w:rsidP="00B07119">
      <w:pPr>
        <w:contextualSpacing/>
        <w:jc w:val="both"/>
        <w:rPr>
          <w:rFonts w:ascii="Book Antiqua" w:hAnsi="Book Antiqua"/>
          <w:szCs w:val="24"/>
          <w:lang w:val="es-PR"/>
        </w:rPr>
      </w:pPr>
    </w:p>
    <w:p w14:paraId="6C16D739" w14:textId="77777777" w:rsidR="009E1EB9" w:rsidRPr="009E1EB9" w:rsidRDefault="009E1EB9" w:rsidP="00B07119">
      <w:pPr>
        <w:contextualSpacing/>
        <w:rPr>
          <w:lang w:val="es-PR"/>
        </w:rPr>
      </w:pPr>
    </w:p>
    <w:sectPr w:rsidR="009E1EB9" w:rsidRPr="009E1EB9" w:rsidSect="003C54B1">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AEFBF" w14:textId="77777777" w:rsidR="00770058" w:rsidRDefault="00770058" w:rsidP="003C54B1">
      <w:r>
        <w:separator/>
      </w:r>
    </w:p>
  </w:endnote>
  <w:endnote w:type="continuationSeparator" w:id="0">
    <w:p w14:paraId="4D755ACE" w14:textId="77777777" w:rsidR="00770058" w:rsidRDefault="00770058" w:rsidP="003C5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720935"/>
      <w:docPartObj>
        <w:docPartGallery w:val="Page Numbers (Bottom of Page)"/>
        <w:docPartUnique/>
      </w:docPartObj>
    </w:sdtPr>
    <w:sdtEndPr/>
    <w:sdtContent>
      <w:p w14:paraId="2A66C104" w14:textId="2AC2D34C" w:rsidR="003C54B1" w:rsidRDefault="003C54B1">
        <w:pPr>
          <w:pStyle w:val="Footer"/>
          <w:jc w:val="center"/>
        </w:pPr>
        <w:r>
          <w:fldChar w:fldCharType="begin"/>
        </w:r>
        <w:r>
          <w:instrText>PAGE   \* MERGEFORMAT</w:instrText>
        </w:r>
        <w:r>
          <w:fldChar w:fldCharType="separate"/>
        </w:r>
        <w:r>
          <w:rPr>
            <w:lang w:val="es-ES"/>
          </w:rPr>
          <w:t>2</w:t>
        </w:r>
        <w:r>
          <w:fldChar w:fldCharType="end"/>
        </w:r>
      </w:p>
    </w:sdtContent>
  </w:sdt>
  <w:p w14:paraId="2C00A51A" w14:textId="77777777" w:rsidR="003C54B1" w:rsidRDefault="003C54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A1A92D6" w14:paraId="49655D96" w14:textId="77777777" w:rsidTr="0A1A92D6">
      <w:trPr>
        <w:trHeight w:val="300"/>
      </w:trPr>
      <w:tc>
        <w:tcPr>
          <w:tcW w:w="3120" w:type="dxa"/>
        </w:tcPr>
        <w:p w14:paraId="241A7561" w14:textId="75413658" w:rsidR="0A1A92D6" w:rsidRDefault="0A1A92D6" w:rsidP="0A1A92D6">
          <w:pPr>
            <w:pStyle w:val="Header"/>
            <w:ind w:left="-115"/>
          </w:pPr>
        </w:p>
      </w:tc>
      <w:tc>
        <w:tcPr>
          <w:tcW w:w="3120" w:type="dxa"/>
        </w:tcPr>
        <w:p w14:paraId="5C3B3D39" w14:textId="1F2CFFEE" w:rsidR="0A1A92D6" w:rsidRDefault="0A1A92D6" w:rsidP="0A1A92D6">
          <w:pPr>
            <w:pStyle w:val="Header"/>
            <w:jc w:val="center"/>
          </w:pPr>
        </w:p>
      </w:tc>
      <w:tc>
        <w:tcPr>
          <w:tcW w:w="3120" w:type="dxa"/>
        </w:tcPr>
        <w:p w14:paraId="7EAE89CA" w14:textId="124FF1D1" w:rsidR="0A1A92D6" w:rsidRDefault="0A1A92D6" w:rsidP="0A1A92D6">
          <w:pPr>
            <w:pStyle w:val="Header"/>
            <w:ind w:right="-115"/>
            <w:jc w:val="right"/>
          </w:pPr>
        </w:p>
      </w:tc>
    </w:tr>
  </w:tbl>
  <w:p w14:paraId="1CD063CF" w14:textId="6D38B730" w:rsidR="0A1A92D6" w:rsidRDefault="0A1A92D6" w:rsidP="0A1A92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A961A" w14:textId="77777777" w:rsidR="00770058" w:rsidRDefault="00770058" w:rsidP="003C54B1">
      <w:r>
        <w:separator/>
      </w:r>
    </w:p>
  </w:footnote>
  <w:footnote w:type="continuationSeparator" w:id="0">
    <w:p w14:paraId="75FA1BD4" w14:textId="77777777" w:rsidR="00770058" w:rsidRDefault="00770058" w:rsidP="003C5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A614C" w14:textId="3D85BF4E" w:rsidR="003C54B1" w:rsidRPr="00B07119" w:rsidRDefault="0A1A92D6" w:rsidP="0A1A92D6">
    <w:pPr>
      <w:pStyle w:val="Header"/>
      <w:rPr>
        <w:sz w:val="20"/>
        <w:lang w:val="es-ES"/>
      </w:rPr>
    </w:pPr>
    <w:r w:rsidRPr="0A1A92D6">
      <w:rPr>
        <w:sz w:val="20"/>
        <w:lang w:val="es-ES"/>
      </w:rPr>
      <w:t>Informe Negativo</w:t>
    </w:r>
  </w:p>
  <w:p w14:paraId="70052839" w14:textId="0928E1C0" w:rsidR="003C54B1" w:rsidRPr="003C54B1" w:rsidRDefault="0A1A92D6" w:rsidP="0A1A92D6">
    <w:pPr>
      <w:pStyle w:val="Header"/>
      <w:rPr>
        <w:sz w:val="20"/>
        <w:lang w:val="es-PR"/>
      </w:rPr>
    </w:pPr>
    <w:r w:rsidRPr="0A1A92D6">
      <w:rPr>
        <w:sz w:val="20"/>
        <w:lang w:val="es-PR"/>
      </w:rPr>
      <w:t>Proyecto de la Cámara 700</w:t>
    </w:r>
  </w:p>
  <w:p w14:paraId="760ACCF5" w14:textId="19E1E977" w:rsidR="003C54B1" w:rsidRPr="003C54B1" w:rsidRDefault="003C54B1">
    <w:pPr>
      <w:pStyle w:val="Header"/>
      <w:rPr>
        <w:sz w:val="20"/>
        <w:lang w:val="es-PR"/>
      </w:rPr>
    </w:pPr>
    <w:r w:rsidRPr="003C54B1">
      <w:rPr>
        <w:sz w:val="20"/>
        <w:lang w:val="es-PR"/>
      </w:rPr>
      <w:t>Comisión de Gobierno</w:t>
    </w:r>
  </w:p>
  <w:p w14:paraId="23CABEB9" w14:textId="77777777" w:rsidR="003C54B1" w:rsidRPr="003C54B1" w:rsidRDefault="003C54B1">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A1A92D6" w14:paraId="2C9AA8C0" w14:textId="77777777" w:rsidTr="0A1A92D6">
      <w:trPr>
        <w:trHeight w:val="300"/>
      </w:trPr>
      <w:tc>
        <w:tcPr>
          <w:tcW w:w="3120" w:type="dxa"/>
        </w:tcPr>
        <w:p w14:paraId="4D887C94" w14:textId="5B446E74" w:rsidR="0A1A92D6" w:rsidRDefault="0A1A92D6" w:rsidP="0A1A92D6">
          <w:pPr>
            <w:pStyle w:val="Header"/>
            <w:ind w:left="-115"/>
          </w:pPr>
        </w:p>
      </w:tc>
      <w:tc>
        <w:tcPr>
          <w:tcW w:w="3120" w:type="dxa"/>
        </w:tcPr>
        <w:p w14:paraId="2582C3F3" w14:textId="6A06BB91" w:rsidR="0A1A92D6" w:rsidRDefault="0A1A92D6" w:rsidP="0A1A92D6">
          <w:pPr>
            <w:pStyle w:val="Header"/>
            <w:jc w:val="center"/>
          </w:pPr>
        </w:p>
      </w:tc>
      <w:tc>
        <w:tcPr>
          <w:tcW w:w="3120" w:type="dxa"/>
        </w:tcPr>
        <w:p w14:paraId="61799346" w14:textId="690AC744" w:rsidR="0A1A92D6" w:rsidRDefault="0A1A92D6" w:rsidP="0A1A92D6">
          <w:pPr>
            <w:pStyle w:val="Header"/>
            <w:ind w:right="-115"/>
            <w:jc w:val="right"/>
          </w:pPr>
        </w:p>
      </w:tc>
    </w:tr>
  </w:tbl>
  <w:p w14:paraId="7C4E3EF4" w14:textId="5E50439A" w:rsidR="0A1A92D6" w:rsidRDefault="0A1A92D6" w:rsidP="0A1A92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C66B9"/>
    <w:multiLevelType w:val="multilevel"/>
    <w:tmpl w:val="35A4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8F69B7"/>
    <w:multiLevelType w:val="multilevel"/>
    <w:tmpl w:val="9D86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BC6DBB4"/>
    <w:multiLevelType w:val="hybridMultilevel"/>
    <w:tmpl w:val="F28EB610"/>
    <w:lvl w:ilvl="0" w:tplc="36023E7C">
      <w:start w:val="1"/>
      <w:numFmt w:val="bullet"/>
      <w:lvlText w:val=""/>
      <w:lvlJc w:val="left"/>
      <w:pPr>
        <w:ind w:left="720" w:hanging="360"/>
      </w:pPr>
      <w:rPr>
        <w:rFonts w:ascii="Symbol" w:hAnsi="Symbol" w:hint="default"/>
      </w:rPr>
    </w:lvl>
    <w:lvl w:ilvl="1" w:tplc="767017EC">
      <w:start w:val="1"/>
      <w:numFmt w:val="bullet"/>
      <w:lvlText w:val="o"/>
      <w:lvlJc w:val="left"/>
      <w:pPr>
        <w:ind w:left="1440" w:hanging="360"/>
      </w:pPr>
      <w:rPr>
        <w:rFonts w:ascii="Courier New" w:hAnsi="Courier New" w:hint="default"/>
      </w:rPr>
    </w:lvl>
    <w:lvl w:ilvl="2" w:tplc="F70ABD0A">
      <w:start w:val="1"/>
      <w:numFmt w:val="bullet"/>
      <w:lvlText w:val=""/>
      <w:lvlJc w:val="left"/>
      <w:pPr>
        <w:ind w:left="2160" w:hanging="360"/>
      </w:pPr>
      <w:rPr>
        <w:rFonts w:ascii="Wingdings" w:hAnsi="Wingdings" w:hint="default"/>
      </w:rPr>
    </w:lvl>
    <w:lvl w:ilvl="3" w:tplc="C6646262">
      <w:start w:val="1"/>
      <w:numFmt w:val="bullet"/>
      <w:lvlText w:val=""/>
      <w:lvlJc w:val="left"/>
      <w:pPr>
        <w:ind w:left="2880" w:hanging="360"/>
      </w:pPr>
      <w:rPr>
        <w:rFonts w:ascii="Symbol" w:hAnsi="Symbol" w:hint="default"/>
      </w:rPr>
    </w:lvl>
    <w:lvl w:ilvl="4" w:tplc="D5E0711E">
      <w:start w:val="1"/>
      <w:numFmt w:val="bullet"/>
      <w:lvlText w:val="o"/>
      <w:lvlJc w:val="left"/>
      <w:pPr>
        <w:ind w:left="3600" w:hanging="360"/>
      </w:pPr>
      <w:rPr>
        <w:rFonts w:ascii="Courier New" w:hAnsi="Courier New" w:hint="default"/>
      </w:rPr>
    </w:lvl>
    <w:lvl w:ilvl="5" w:tplc="E86292F4">
      <w:start w:val="1"/>
      <w:numFmt w:val="bullet"/>
      <w:lvlText w:val=""/>
      <w:lvlJc w:val="left"/>
      <w:pPr>
        <w:ind w:left="4320" w:hanging="360"/>
      </w:pPr>
      <w:rPr>
        <w:rFonts w:ascii="Wingdings" w:hAnsi="Wingdings" w:hint="default"/>
      </w:rPr>
    </w:lvl>
    <w:lvl w:ilvl="6" w:tplc="455C476E">
      <w:start w:val="1"/>
      <w:numFmt w:val="bullet"/>
      <w:lvlText w:val=""/>
      <w:lvlJc w:val="left"/>
      <w:pPr>
        <w:ind w:left="5040" w:hanging="360"/>
      </w:pPr>
      <w:rPr>
        <w:rFonts w:ascii="Symbol" w:hAnsi="Symbol" w:hint="default"/>
      </w:rPr>
    </w:lvl>
    <w:lvl w:ilvl="7" w:tplc="C59A1942">
      <w:start w:val="1"/>
      <w:numFmt w:val="bullet"/>
      <w:lvlText w:val="o"/>
      <w:lvlJc w:val="left"/>
      <w:pPr>
        <w:ind w:left="5760" w:hanging="360"/>
      </w:pPr>
      <w:rPr>
        <w:rFonts w:ascii="Courier New" w:hAnsi="Courier New" w:hint="default"/>
      </w:rPr>
    </w:lvl>
    <w:lvl w:ilvl="8" w:tplc="5CDC0224">
      <w:start w:val="1"/>
      <w:numFmt w:val="bullet"/>
      <w:lvlText w:val=""/>
      <w:lvlJc w:val="left"/>
      <w:pPr>
        <w:ind w:left="6480" w:hanging="360"/>
      </w:pPr>
      <w:rPr>
        <w:rFonts w:ascii="Wingdings" w:hAnsi="Wingdings" w:hint="default"/>
      </w:rPr>
    </w:lvl>
  </w:abstractNum>
  <w:abstractNum w:abstractNumId="3" w15:restartNumberingAfterBreak="0">
    <w:nsid w:val="78952F80"/>
    <w:multiLevelType w:val="multilevel"/>
    <w:tmpl w:val="DCAE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56125475">
    <w:abstractNumId w:val="2"/>
  </w:num>
  <w:num w:numId="2" w16cid:durableId="248778559">
    <w:abstractNumId w:val="3"/>
  </w:num>
  <w:num w:numId="3" w16cid:durableId="1397970417">
    <w:abstractNumId w:val="1"/>
  </w:num>
  <w:num w:numId="4" w16cid:durableId="164133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B9"/>
    <w:rsid w:val="00006B9C"/>
    <w:rsid w:val="00037956"/>
    <w:rsid w:val="00050435"/>
    <w:rsid w:val="00051047"/>
    <w:rsid w:val="00076C9E"/>
    <w:rsid w:val="000A2BE4"/>
    <w:rsid w:val="000E3693"/>
    <w:rsid w:val="000F18BB"/>
    <w:rsid w:val="000F3015"/>
    <w:rsid w:val="00143E73"/>
    <w:rsid w:val="00147E5F"/>
    <w:rsid w:val="00171D04"/>
    <w:rsid w:val="001A666E"/>
    <w:rsid w:val="001B3695"/>
    <w:rsid w:val="001D58EF"/>
    <w:rsid w:val="00234DCF"/>
    <w:rsid w:val="00241931"/>
    <w:rsid w:val="00287210"/>
    <w:rsid w:val="002E7B56"/>
    <w:rsid w:val="00326258"/>
    <w:rsid w:val="00337269"/>
    <w:rsid w:val="00361EBB"/>
    <w:rsid w:val="00394EB6"/>
    <w:rsid w:val="003A74C8"/>
    <w:rsid w:val="003C54B1"/>
    <w:rsid w:val="003E5A26"/>
    <w:rsid w:val="00475AE3"/>
    <w:rsid w:val="00483FCF"/>
    <w:rsid w:val="004965BB"/>
    <w:rsid w:val="004B12DB"/>
    <w:rsid w:val="004C0C17"/>
    <w:rsid w:val="004C6385"/>
    <w:rsid w:val="00520827"/>
    <w:rsid w:val="005274A8"/>
    <w:rsid w:val="00545DCC"/>
    <w:rsid w:val="005511E0"/>
    <w:rsid w:val="005864EB"/>
    <w:rsid w:val="005B5952"/>
    <w:rsid w:val="005C2B49"/>
    <w:rsid w:val="005D2AB8"/>
    <w:rsid w:val="005F5473"/>
    <w:rsid w:val="0068297F"/>
    <w:rsid w:val="00722757"/>
    <w:rsid w:val="007620D2"/>
    <w:rsid w:val="00770058"/>
    <w:rsid w:val="007814DA"/>
    <w:rsid w:val="007939CD"/>
    <w:rsid w:val="00836A36"/>
    <w:rsid w:val="00866956"/>
    <w:rsid w:val="00880077"/>
    <w:rsid w:val="008F3051"/>
    <w:rsid w:val="00911404"/>
    <w:rsid w:val="00921E82"/>
    <w:rsid w:val="00954113"/>
    <w:rsid w:val="00971CD8"/>
    <w:rsid w:val="00974C3E"/>
    <w:rsid w:val="00976152"/>
    <w:rsid w:val="009817FC"/>
    <w:rsid w:val="00994682"/>
    <w:rsid w:val="009E1EB9"/>
    <w:rsid w:val="00A10390"/>
    <w:rsid w:val="00A128DB"/>
    <w:rsid w:val="00A151EA"/>
    <w:rsid w:val="00A31F96"/>
    <w:rsid w:val="00A62463"/>
    <w:rsid w:val="00AA4414"/>
    <w:rsid w:val="00AB0448"/>
    <w:rsid w:val="00AB0B38"/>
    <w:rsid w:val="00AC40EC"/>
    <w:rsid w:val="00AD0EE5"/>
    <w:rsid w:val="00AD4CC6"/>
    <w:rsid w:val="00B03AB2"/>
    <w:rsid w:val="00B07119"/>
    <w:rsid w:val="00B159A9"/>
    <w:rsid w:val="00B26304"/>
    <w:rsid w:val="00BA790F"/>
    <w:rsid w:val="00BB24E2"/>
    <w:rsid w:val="00BB6266"/>
    <w:rsid w:val="00BB6845"/>
    <w:rsid w:val="00BC7962"/>
    <w:rsid w:val="00BD6EFD"/>
    <w:rsid w:val="00BF4786"/>
    <w:rsid w:val="00C133A7"/>
    <w:rsid w:val="00C442CD"/>
    <w:rsid w:val="00CA73A1"/>
    <w:rsid w:val="00CD505A"/>
    <w:rsid w:val="00CD7006"/>
    <w:rsid w:val="00D308C5"/>
    <w:rsid w:val="00D9051C"/>
    <w:rsid w:val="00DB78B8"/>
    <w:rsid w:val="00DC6AEB"/>
    <w:rsid w:val="00DE3546"/>
    <w:rsid w:val="00DF4DC3"/>
    <w:rsid w:val="00E36D70"/>
    <w:rsid w:val="00E44908"/>
    <w:rsid w:val="00E80CCA"/>
    <w:rsid w:val="00EC4F1B"/>
    <w:rsid w:val="00F07FA9"/>
    <w:rsid w:val="00F16028"/>
    <w:rsid w:val="00F52F0A"/>
    <w:rsid w:val="00F54D60"/>
    <w:rsid w:val="00FD4230"/>
    <w:rsid w:val="01C88147"/>
    <w:rsid w:val="02D95D17"/>
    <w:rsid w:val="03FC8FB3"/>
    <w:rsid w:val="09415354"/>
    <w:rsid w:val="0A1A92D6"/>
    <w:rsid w:val="0B0311C9"/>
    <w:rsid w:val="0CADD113"/>
    <w:rsid w:val="0CEE72AE"/>
    <w:rsid w:val="1009DECE"/>
    <w:rsid w:val="111B67EE"/>
    <w:rsid w:val="1222A2BB"/>
    <w:rsid w:val="132747DA"/>
    <w:rsid w:val="15D9DCCD"/>
    <w:rsid w:val="15E6E60F"/>
    <w:rsid w:val="1690CE45"/>
    <w:rsid w:val="1A46ACD5"/>
    <w:rsid w:val="1AC047C1"/>
    <w:rsid w:val="1BC1A01C"/>
    <w:rsid w:val="1CECFA56"/>
    <w:rsid w:val="1D0A54D5"/>
    <w:rsid w:val="1D1CEAD6"/>
    <w:rsid w:val="1DEE6B35"/>
    <w:rsid w:val="212848B3"/>
    <w:rsid w:val="21BDECC1"/>
    <w:rsid w:val="22C1EBD6"/>
    <w:rsid w:val="2604F319"/>
    <w:rsid w:val="27B3ADA3"/>
    <w:rsid w:val="28AD8852"/>
    <w:rsid w:val="2AFC2914"/>
    <w:rsid w:val="2C1ECA2F"/>
    <w:rsid w:val="2EA1D765"/>
    <w:rsid w:val="3289DA08"/>
    <w:rsid w:val="32CB7E42"/>
    <w:rsid w:val="32E6BBB3"/>
    <w:rsid w:val="344F2B74"/>
    <w:rsid w:val="3F414E14"/>
    <w:rsid w:val="4C93207F"/>
    <w:rsid w:val="4CD2C8FB"/>
    <w:rsid w:val="4EF8F8AA"/>
    <w:rsid w:val="5040AEE2"/>
    <w:rsid w:val="515851D4"/>
    <w:rsid w:val="515E143F"/>
    <w:rsid w:val="53723372"/>
    <w:rsid w:val="53BABE33"/>
    <w:rsid w:val="53D2878F"/>
    <w:rsid w:val="53DE200C"/>
    <w:rsid w:val="576B9334"/>
    <w:rsid w:val="57D22AA9"/>
    <w:rsid w:val="5870C5B2"/>
    <w:rsid w:val="5C54F4D8"/>
    <w:rsid w:val="5ED28C52"/>
    <w:rsid w:val="6238B851"/>
    <w:rsid w:val="681533C3"/>
    <w:rsid w:val="6A09BD54"/>
    <w:rsid w:val="6A83E702"/>
    <w:rsid w:val="6C016644"/>
    <w:rsid w:val="6C9814BB"/>
    <w:rsid w:val="6F039F85"/>
    <w:rsid w:val="6F635AAF"/>
    <w:rsid w:val="716A6CFF"/>
    <w:rsid w:val="71B2FB8F"/>
    <w:rsid w:val="73E5554B"/>
    <w:rsid w:val="748DFFC4"/>
    <w:rsid w:val="76ED032F"/>
    <w:rsid w:val="7978D009"/>
    <w:rsid w:val="7A4CF005"/>
    <w:rsid w:val="7B6C1D54"/>
    <w:rsid w:val="7C2E2389"/>
    <w:rsid w:val="7D1C13AF"/>
    <w:rsid w:val="7D33B07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B0EA8"/>
  <w15:chartTrackingRefBased/>
  <w15:docId w15:val="{B8FD3BAE-69F7-4792-B306-44F889473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EB9"/>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9E1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1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1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1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1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1EB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EB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EB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EB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1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1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1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1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1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EB9"/>
    <w:rPr>
      <w:rFonts w:eastAsiaTheme="majorEastAsia" w:cstheme="majorBidi"/>
      <w:color w:val="272727" w:themeColor="text1" w:themeTint="D8"/>
    </w:rPr>
  </w:style>
  <w:style w:type="paragraph" w:styleId="Title">
    <w:name w:val="Title"/>
    <w:basedOn w:val="Normal"/>
    <w:next w:val="Normal"/>
    <w:link w:val="TitleChar"/>
    <w:uiPriority w:val="10"/>
    <w:qFormat/>
    <w:rsid w:val="009E1EB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EB9"/>
    <w:pPr>
      <w:spacing w:before="160"/>
      <w:jc w:val="center"/>
    </w:pPr>
    <w:rPr>
      <w:i/>
      <w:iCs/>
      <w:color w:val="404040" w:themeColor="text1" w:themeTint="BF"/>
    </w:rPr>
  </w:style>
  <w:style w:type="character" w:customStyle="1" w:styleId="QuoteChar">
    <w:name w:val="Quote Char"/>
    <w:basedOn w:val="DefaultParagraphFont"/>
    <w:link w:val="Quote"/>
    <w:uiPriority w:val="29"/>
    <w:rsid w:val="009E1EB9"/>
    <w:rPr>
      <w:i/>
      <w:iCs/>
      <w:color w:val="404040" w:themeColor="text1" w:themeTint="BF"/>
    </w:rPr>
  </w:style>
  <w:style w:type="paragraph" w:styleId="ListParagraph">
    <w:name w:val="List Paragraph"/>
    <w:basedOn w:val="Normal"/>
    <w:uiPriority w:val="34"/>
    <w:qFormat/>
    <w:rsid w:val="009E1EB9"/>
    <w:pPr>
      <w:ind w:left="720"/>
      <w:contextualSpacing/>
    </w:pPr>
  </w:style>
  <w:style w:type="character" w:styleId="IntenseEmphasis">
    <w:name w:val="Intense Emphasis"/>
    <w:basedOn w:val="DefaultParagraphFont"/>
    <w:uiPriority w:val="21"/>
    <w:qFormat/>
    <w:rsid w:val="009E1EB9"/>
    <w:rPr>
      <w:i/>
      <w:iCs/>
      <w:color w:val="0F4761" w:themeColor="accent1" w:themeShade="BF"/>
    </w:rPr>
  </w:style>
  <w:style w:type="paragraph" w:styleId="IntenseQuote">
    <w:name w:val="Intense Quote"/>
    <w:basedOn w:val="Normal"/>
    <w:next w:val="Normal"/>
    <w:link w:val="IntenseQuoteChar"/>
    <w:uiPriority w:val="30"/>
    <w:qFormat/>
    <w:rsid w:val="009E1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1EB9"/>
    <w:rPr>
      <w:i/>
      <w:iCs/>
      <w:color w:val="0F4761" w:themeColor="accent1" w:themeShade="BF"/>
    </w:rPr>
  </w:style>
  <w:style w:type="character" w:styleId="IntenseReference">
    <w:name w:val="Intense Reference"/>
    <w:basedOn w:val="DefaultParagraphFont"/>
    <w:uiPriority w:val="32"/>
    <w:qFormat/>
    <w:rsid w:val="009E1EB9"/>
    <w:rPr>
      <w:b/>
      <w:bCs/>
      <w:smallCaps/>
      <w:color w:val="0F4761" w:themeColor="accent1" w:themeShade="BF"/>
      <w:spacing w:val="5"/>
    </w:rPr>
  </w:style>
  <w:style w:type="paragraph" w:customStyle="1" w:styleId="ColorfulList-Accent11">
    <w:name w:val="Colorful List - Accent 11"/>
    <w:basedOn w:val="Normal"/>
    <w:uiPriority w:val="34"/>
    <w:qFormat/>
    <w:rsid w:val="009E1EB9"/>
    <w:pPr>
      <w:ind w:left="720"/>
      <w:contextualSpacing/>
    </w:pPr>
  </w:style>
  <w:style w:type="paragraph" w:styleId="NoSpacing">
    <w:name w:val="No Spacing"/>
    <w:uiPriority w:val="1"/>
    <w:qFormat/>
    <w:rsid w:val="009E1EB9"/>
    <w:pPr>
      <w:spacing w:after="0" w:line="240" w:lineRule="auto"/>
    </w:pPr>
    <w:rPr>
      <w:rFonts w:ascii="Times New Roman" w:eastAsia="Batang" w:hAnsi="Times New Roman" w:cs="Times New Roman"/>
      <w:kern w:val="0"/>
      <w:szCs w:val="20"/>
      <w:lang w:val="en-US"/>
      <w14:ligatures w14:val="none"/>
    </w:rPr>
  </w:style>
  <w:style w:type="paragraph" w:styleId="NormalWeb">
    <w:name w:val="Normal (Web)"/>
    <w:basedOn w:val="Normal"/>
    <w:uiPriority w:val="99"/>
    <w:semiHidden/>
    <w:unhideWhenUsed/>
    <w:rsid w:val="00976152"/>
    <w:rPr>
      <w:szCs w:val="24"/>
    </w:rPr>
  </w:style>
  <w:style w:type="paragraph" w:styleId="Header">
    <w:name w:val="header"/>
    <w:basedOn w:val="Normal"/>
    <w:link w:val="HeaderChar"/>
    <w:uiPriority w:val="99"/>
    <w:unhideWhenUsed/>
    <w:rsid w:val="003C54B1"/>
    <w:pPr>
      <w:tabs>
        <w:tab w:val="center" w:pos="4680"/>
        <w:tab w:val="right" w:pos="9360"/>
      </w:tabs>
    </w:pPr>
  </w:style>
  <w:style w:type="character" w:customStyle="1" w:styleId="HeaderChar">
    <w:name w:val="Header Char"/>
    <w:basedOn w:val="DefaultParagraphFont"/>
    <w:link w:val="Header"/>
    <w:uiPriority w:val="99"/>
    <w:rsid w:val="003C54B1"/>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3C54B1"/>
    <w:pPr>
      <w:tabs>
        <w:tab w:val="center" w:pos="4680"/>
        <w:tab w:val="right" w:pos="9360"/>
      </w:tabs>
    </w:pPr>
  </w:style>
  <w:style w:type="character" w:customStyle="1" w:styleId="FooterChar">
    <w:name w:val="Footer Char"/>
    <w:basedOn w:val="DefaultParagraphFont"/>
    <w:link w:val="Footer"/>
    <w:uiPriority w:val="99"/>
    <w:rsid w:val="003C54B1"/>
    <w:rPr>
      <w:rFonts w:ascii="Times New Roman" w:eastAsia="Batang" w:hAnsi="Times New Roman" w:cs="Times New Roman"/>
      <w:kern w:val="0"/>
      <w:szCs w:val="20"/>
      <w:lang w:val="en-US"/>
      <w14:ligatures w14: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2293</Characters>
  <Application>Microsoft Office Word</Application>
  <DocSecurity>4</DocSecurity>
  <Lines>19</Lines>
  <Paragraphs>5</Paragraphs>
  <ScaleCrop>false</ScaleCrop>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2025-08-20T21:14:00Z</cp:lastPrinted>
  <dcterms:created xsi:type="dcterms:W3CDTF">2025-08-26T20:49:00Z</dcterms:created>
  <dcterms:modified xsi:type="dcterms:W3CDTF">2025-08-26T20:49:00Z</dcterms:modified>
</cp:coreProperties>
</file>