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A21EA" w14:textId="6D91BDC1" w:rsidR="00C8761D" w:rsidRPr="00C8761D" w:rsidRDefault="00C8761D" w:rsidP="00C8761D">
      <w:pPr>
        <w:tabs>
          <w:tab w:val="center" w:pos="4680"/>
          <w:tab w:val="left" w:pos="7920"/>
        </w:tabs>
        <w:spacing w:before="120"/>
        <w:jc w:val="center"/>
        <w:rPr>
          <w:rFonts w:ascii="Book Antiqua" w:hAnsi="Book Antiqua"/>
          <w:sz w:val="36"/>
          <w:szCs w:val="36"/>
          <w:lang w:val="es-ES_tradnl"/>
        </w:rPr>
      </w:pPr>
      <w:r>
        <w:rPr>
          <w:rFonts w:ascii="Book Antiqua" w:hAnsi="Book Antiqua"/>
          <w:sz w:val="36"/>
          <w:szCs w:val="36"/>
          <w:lang w:val="es-ES_tradnl"/>
        </w:rPr>
        <w:t>(</w:t>
      </w:r>
      <w:r w:rsidRPr="004B303A">
        <w:rPr>
          <w:rFonts w:ascii="Book Antiqua" w:hAnsi="Book Antiqua"/>
          <w:b/>
          <w:bCs/>
          <w:sz w:val="36"/>
          <w:szCs w:val="36"/>
          <w:lang w:val="es-ES_tradnl"/>
        </w:rPr>
        <w:t>ENTIRILLADO ELECTRÓNICO</w:t>
      </w:r>
      <w:r>
        <w:rPr>
          <w:rFonts w:ascii="Book Antiqua" w:hAnsi="Book Antiqua"/>
          <w:sz w:val="36"/>
          <w:szCs w:val="36"/>
          <w:lang w:val="es-ES_tradnl"/>
        </w:rPr>
        <w:t>)</w:t>
      </w:r>
    </w:p>
    <w:p w14:paraId="66960BD5" w14:textId="1848D9D9" w:rsidR="00B236B4" w:rsidRPr="00A02C1F" w:rsidRDefault="00360040" w:rsidP="008004FA">
      <w:pPr>
        <w:suppressLineNumbers/>
        <w:jc w:val="center"/>
        <w:rPr>
          <w:rFonts w:ascii="Book Antiqua" w:hAnsi="Book Antiqua"/>
          <w:sz w:val="36"/>
          <w:szCs w:val="36"/>
        </w:rPr>
      </w:pPr>
      <w:r w:rsidRPr="00A02C1F">
        <w:rPr>
          <w:rFonts w:ascii="Book Antiqua" w:hAnsi="Book Antiqua"/>
          <w:sz w:val="36"/>
          <w:szCs w:val="36"/>
        </w:rPr>
        <w:t xml:space="preserve">GOBIERNO DE </w:t>
      </w:r>
      <w:r w:rsidR="00B236B4" w:rsidRPr="00A02C1F">
        <w:rPr>
          <w:rFonts w:ascii="Book Antiqua" w:hAnsi="Book Antiqua"/>
          <w:sz w:val="36"/>
          <w:szCs w:val="36"/>
        </w:rPr>
        <w:t>PUERTO RICO</w:t>
      </w:r>
    </w:p>
    <w:p w14:paraId="672A6659" w14:textId="77777777" w:rsidR="00B236B4" w:rsidRPr="00A02C1F" w:rsidRDefault="00B236B4" w:rsidP="008004FA">
      <w:pPr>
        <w:suppressLineNumbers/>
        <w:jc w:val="center"/>
        <w:rPr>
          <w:rFonts w:ascii="Book Antiqua" w:hAnsi="Book Antiqua"/>
        </w:rPr>
      </w:pPr>
    </w:p>
    <w:p w14:paraId="5517176D" w14:textId="77777777" w:rsidR="00B236B4" w:rsidRPr="00A02C1F" w:rsidRDefault="001206B4" w:rsidP="0A865F2E">
      <w:pPr>
        <w:pStyle w:val="Title2"/>
        <w:suppressLineNumbers/>
        <w:rPr>
          <w:rFonts w:ascii="Book Antiqua" w:hAnsi="Book Antiqua"/>
          <w:lang w:val="es-ES"/>
        </w:rPr>
      </w:pPr>
      <w:r w:rsidRPr="0A865F2E">
        <w:rPr>
          <w:rFonts w:ascii="Book Antiqua" w:hAnsi="Book Antiqua"/>
          <w:lang w:val="es-ES"/>
        </w:rPr>
        <w:t>20</w:t>
      </w:r>
      <w:r w:rsidRPr="0A865F2E">
        <w:rPr>
          <w:rFonts w:ascii="Book Antiqua" w:hAnsi="Book Antiqua"/>
          <w:vertAlign w:val="superscript"/>
          <w:lang w:val="es-ES"/>
        </w:rPr>
        <w:t>ma</w:t>
      </w:r>
      <w:r w:rsidR="00B236B4" w:rsidRPr="0A865F2E">
        <w:rPr>
          <w:rFonts w:ascii="Book Antiqua" w:hAnsi="Book Antiqua"/>
          <w:vertAlign w:val="superscript"/>
          <w:lang w:val="es-ES"/>
        </w:rPr>
        <w:t>.</w:t>
      </w:r>
      <w:r w:rsidR="00B236B4" w:rsidRPr="0A865F2E">
        <w:rPr>
          <w:rFonts w:ascii="Book Antiqua" w:hAnsi="Book Antiqua"/>
          <w:lang w:val="es-ES"/>
        </w:rPr>
        <w:t xml:space="preserve"> Asamblea</w:t>
      </w:r>
      <w:r>
        <w:tab/>
      </w:r>
      <w:r w:rsidR="00B236B4" w:rsidRPr="0A865F2E">
        <w:rPr>
          <w:rFonts w:ascii="Book Antiqua" w:hAnsi="Book Antiqua"/>
          <w:lang w:val="es-ES"/>
        </w:rPr>
        <w:t xml:space="preserve">     </w:t>
      </w:r>
      <w:r w:rsidRPr="0A865F2E">
        <w:rPr>
          <w:rFonts w:ascii="Book Antiqua" w:hAnsi="Book Antiqua"/>
          <w:lang w:val="es-ES"/>
        </w:rPr>
        <w:t>1</w:t>
      </w:r>
      <w:r w:rsidRPr="0A865F2E">
        <w:rPr>
          <w:rFonts w:ascii="Book Antiqua" w:hAnsi="Book Antiqua"/>
          <w:vertAlign w:val="superscript"/>
          <w:lang w:val="es-ES"/>
        </w:rPr>
        <w:t>ra</w:t>
      </w:r>
      <w:r w:rsidR="00B236B4" w:rsidRPr="0A865F2E">
        <w:rPr>
          <w:rFonts w:ascii="Book Antiqua" w:hAnsi="Book Antiqua"/>
          <w:vertAlign w:val="superscript"/>
          <w:lang w:val="es-ES"/>
        </w:rPr>
        <w:t>.</w:t>
      </w:r>
      <w:r>
        <w:tab/>
      </w:r>
      <w:r w:rsidR="00B236B4" w:rsidRPr="0A865F2E">
        <w:rPr>
          <w:rFonts w:ascii="Book Antiqua" w:hAnsi="Book Antiqua"/>
          <w:lang w:val="es-ES"/>
        </w:rPr>
        <w:t>Sesión</w:t>
      </w:r>
    </w:p>
    <w:p w14:paraId="4ED70656" w14:textId="77777777" w:rsidR="00B236B4" w:rsidRPr="00A02C1F" w:rsidRDefault="00B236B4" w:rsidP="008004FA">
      <w:pPr>
        <w:pStyle w:val="Title2"/>
        <w:suppressLineNumbers/>
        <w:rPr>
          <w:rFonts w:ascii="Book Antiqua" w:hAnsi="Book Antiqua"/>
        </w:rPr>
      </w:pPr>
      <w:r w:rsidRPr="00A02C1F">
        <w:rPr>
          <w:rFonts w:ascii="Book Antiqua" w:hAnsi="Book Antiqua"/>
        </w:rPr>
        <w:t xml:space="preserve">         Legislativa</w:t>
      </w:r>
      <w:r w:rsidRPr="00A02C1F">
        <w:rPr>
          <w:rFonts w:ascii="Book Antiqua" w:hAnsi="Book Antiqua"/>
        </w:rPr>
        <w:tab/>
        <w:t xml:space="preserve"> </w:t>
      </w:r>
      <w:r w:rsidRPr="00A02C1F">
        <w:rPr>
          <w:rFonts w:ascii="Book Antiqua" w:hAnsi="Book Antiqua"/>
        </w:rPr>
        <w:tab/>
        <w:t>Ordinaria</w:t>
      </w:r>
    </w:p>
    <w:p w14:paraId="0A37501D" w14:textId="77777777" w:rsidR="00B236B4" w:rsidRPr="00A02C1F" w:rsidRDefault="00B236B4" w:rsidP="008004FA">
      <w:pPr>
        <w:suppressLineNumbers/>
        <w:rPr>
          <w:rFonts w:ascii="Book Antiqua" w:hAnsi="Book Antiqua"/>
        </w:rPr>
      </w:pPr>
    </w:p>
    <w:p w14:paraId="10F5F563" w14:textId="77777777" w:rsidR="00B236B4" w:rsidRPr="00A02C1F" w:rsidRDefault="004A4D51" w:rsidP="008004FA">
      <w:pPr>
        <w:suppressLineNumbers/>
        <w:jc w:val="center"/>
        <w:rPr>
          <w:rFonts w:ascii="Book Antiqua" w:hAnsi="Book Antiqua"/>
          <w:b/>
          <w:sz w:val="36"/>
          <w:szCs w:val="36"/>
        </w:rPr>
      </w:pPr>
      <w:r w:rsidRPr="00A02C1F">
        <w:rPr>
          <w:rFonts w:ascii="Book Antiqua" w:hAnsi="Book Antiqua"/>
          <w:b/>
          <w:sz w:val="36"/>
          <w:szCs w:val="36"/>
        </w:rPr>
        <w:t>SENADO DE PUERTO RICO</w:t>
      </w:r>
    </w:p>
    <w:p w14:paraId="5DAB6C7B" w14:textId="77777777" w:rsidR="00B236B4" w:rsidRPr="00A02C1F" w:rsidRDefault="00B236B4" w:rsidP="008004FA">
      <w:pPr>
        <w:suppressLineNumbers/>
        <w:jc w:val="center"/>
        <w:rPr>
          <w:rFonts w:ascii="Book Antiqua" w:hAnsi="Book Antiqua"/>
          <w:b/>
          <w:sz w:val="12"/>
          <w:szCs w:val="12"/>
        </w:rPr>
      </w:pPr>
    </w:p>
    <w:p w14:paraId="5F38679C" w14:textId="77777777" w:rsidR="00B236B4" w:rsidRPr="00A02C1F" w:rsidRDefault="00B236B4" w:rsidP="008004FA">
      <w:pPr>
        <w:suppressLineNumbers/>
        <w:jc w:val="center"/>
        <w:rPr>
          <w:rFonts w:ascii="Book Antiqua" w:hAnsi="Book Antiqua"/>
          <w:b/>
        </w:rPr>
      </w:pPr>
      <w:r w:rsidRPr="00A02C1F">
        <w:rPr>
          <w:rFonts w:ascii="Book Antiqua" w:hAnsi="Book Antiqua"/>
          <w:b/>
          <w:sz w:val="52"/>
          <w:szCs w:val="52"/>
        </w:rPr>
        <w:t>P. de</w:t>
      </w:r>
      <w:r w:rsidR="004A4D51" w:rsidRPr="00A02C1F">
        <w:rPr>
          <w:rFonts w:ascii="Book Antiqua" w:hAnsi="Book Antiqua"/>
          <w:b/>
          <w:sz w:val="52"/>
          <w:szCs w:val="52"/>
        </w:rPr>
        <w:t>l</w:t>
      </w:r>
      <w:r w:rsidRPr="00A02C1F">
        <w:rPr>
          <w:rFonts w:ascii="Book Antiqua" w:hAnsi="Book Antiqua"/>
          <w:b/>
          <w:sz w:val="52"/>
          <w:szCs w:val="52"/>
        </w:rPr>
        <w:t xml:space="preserve"> </w:t>
      </w:r>
      <w:r w:rsidR="004A4D51" w:rsidRPr="00A02C1F">
        <w:rPr>
          <w:rFonts w:ascii="Book Antiqua" w:hAnsi="Book Antiqua"/>
          <w:b/>
          <w:sz w:val="52"/>
          <w:szCs w:val="52"/>
        </w:rPr>
        <w:t>S</w:t>
      </w:r>
      <w:r w:rsidRPr="00A02C1F">
        <w:rPr>
          <w:rFonts w:ascii="Book Antiqua" w:hAnsi="Book Antiqua"/>
          <w:b/>
          <w:sz w:val="52"/>
          <w:szCs w:val="52"/>
        </w:rPr>
        <w:t xml:space="preserve">. </w:t>
      </w:r>
      <w:r w:rsidR="007E45DC">
        <w:rPr>
          <w:rFonts w:ascii="Book Antiqua" w:hAnsi="Book Antiqua"/>
          <w:b/>
          <w:sz w:val="52"/>
          <w:szCs w:val="52"/>
        </w:rPr>
        <w:t>648</w:t>
      </w:r>
    </w:p>
    <w:p w14:paraId="02EB378F" w14:textId="77777777" w:rsidR="00B236B4" w:rsidRPr="00A02C1F" w:rsidRDefault="00B236B4" w:rsidP="008004FA">
      <w:pPr>
        <w:suppressLineNumbers/>
        <w:jc w:val="center"/>
        <w:rPr>
          <w:rFonts w:ascii="Book Antiqua" w:hAnsi="Book Antiqua"/>
          <w:b/>
          <w:sz w:val="12"/>
          <w:szCs w:val="12"/>
        </w:rPr>
      </w:pPr>
    </w:p>
    <w:p w14:paraId="62E9E429" w14:textId="77777777" w:rsidR="00B236B4" w:rsidRPr="00A02C1F" w:rsidRDefault="00EE2231" w:rsidP="008004FA">
      <w:pPr>
        <w:suppressLineNumbers/>
        <w:jc w:val="center"/>
        <w:rPr>
          <w:rFonts w:ascii="Book Antiqua" w:hAnsi="Book Antiqua"/>
        </w:rPr>
      </w:pPr>
      <w:r w:rsidRPr="00A02C1F">
        <w:rPr>
          <w:rFonts w:ascii="Book Antiqua" w:hAnsi="Book Antiqua"/>
        </w:rPr>
        <w:t xml:space="preserve"> </w:t>
      </w:r>
      <w:r w:rsidR="007E45DC">
        <w:rPr>
          <w:rFonts w:ascii="Book Antiqua" w:hAnsi="Book Antiqua"/>
        </w:rPr>
        <w:t xml:space="preserve">30 </w:t>
      </w:r>
      <w:r w:rsidR="00BB42F5" w:rsidRPr="00A02C1F">
        <w:rPr>
          <w:rFonts w:ascii="Book Antiqua" w:hAnsi="Book Antiqua"/>
        </w:rPr>
        <w:t xml:space="preserve">de </w:t>
      </w:r>
      <w:r w:rsidR="000527B9">
        <w:rPr>
          <w:rFonts w:ascii="Book Antiqua" w:hAnsi="Book Antiqua"/>
        </w:rPr>
        <w:t>mayo</w:t>
      </w:r>
      <w:r w:rsidR="001206B4" w:rsidRPr="00A02C1F">
        <w:rPr>
          <w:rFonts w:ascii="Book Antiqua" w:hAnsi="Book Antiqua"/>
        </w:rPr>
        <w:t xml:space="preserve"> de 2025</w:t>
      </w:r>
    </w:p>
    <w:p w14:paraId="6A05A809" w14:textId="77777777" w:rsidR="00B236B4" w:rsidRPr="00A02C1F" w:rsidRDefault="00B236B4" w:rsidP="00F1225B">
      <w:pPr>
        <w:suppressLineNumbers/>
        <w:spacing w:line="360" w:lineRule="auto"/>
        <w:jc w:val="center"/>
        <w:rPr>
          <w:rFonts w:ascii="Book Antiqua" w:hAnsi="Book Antiqua"/>
          <w:sz w:val="12"/>
          <w:szCs w:val="12"/>
        </w:rPr>
      </w:pPr>
    </w:p>
    <w:p w14:paraId="7C5AD4CD" w14:textId="77777777" w:rsidR="00EE2231" w:rsidRDefault="00B236B4" w:rsidP="007F36B3">
      <w:pPr>
        <w:suppressLineNumbers/>
        <w:jc w:val="center"/>
        <w:rPr>
          <w:rFonts w:ascii="Book Antiqua" w:hAnsi="Book Antiqua"/>
          <w:i/>
          <w:iCs/>
        </w:rPr>
      </w:pPr>
      <w:r w:rsidRPr="00A02C1F">
        <w:rPr>
          <w:rFonts w:ascii="Book Antiqua" w:hAnsi="Book Antiqua"/>
        </w:rPr>
        <w:t xml:space="preserve">Presentado por </w:t>
      </w:r>
      <w:r w:rsidR="00F1225B">
        <w:rPr>
          <w:rFonts w:ascii="Book Antiqua" w:hAnsi="Book Antiqua"/>
        </w:rPr>
        <w:t xml:space="preserve">el señor </w:t>
      </w:r>
      <w:r w:rsidR="00F1225B" w:rsidRPr="00F1225B">
        <w:rPr>
          <w:rFonts w:ascii="Book Antiqua" w:hAnsi="Book Antiqua"/>
          <w:i/>
          <w:iCs/>
        </w:rPr>
        <w:t>Rivera Schatz</w:t>
      </w:r>
      <w:r w:rsidR="00F577D2">
        <w:rPr>
          <w:rFonts w:ascii="Book Antiqua" w:hAnsi="Book Antiqua"/>
          <w:i/>
          <w:iCs/>
        </w:rPr>
        <w:t xml:space="preserve"> </w:t>
      </w:r>
      <w:r w:rsidR="00F577D2">
        <w:rPr>
          <w:rFonts w:ascii="Book Antiqua" w:hAnsi="Book Antiqua"/>
        </w:rPr>
        <w:t xml:space="preserve">y la señora </w:t>
      </w:r>
      <w:r w:rsidR="00F577D2">
        <w:rPr>
          <w:rFonts w:ascii="Book Antiqua" w:hAnsi="Book Antiqua"/>
          <w:i/>
          <w:iCs/>
        </w:rPr>
        <w:t>Soto Tolentino</w:t>
      </w:r>
      <w:r w:rsidR="007F36B3">
        <w:rPr>
          <w:rFonts w:ascii="Book Antiqua" w:hAnsi="Book Antiqua"/>
          <w:i/>
          <w:iCs/>
        </w:rPr>
        <w:t xml:space="preserve"> </w:t>
      </w:r>
      <w:r w:rsidR="00EE2231" w:rsidRPr="008724CC">
        <w:rPr>
          <w:rFonts w:ascii="Book Antiqua" w:hAnsi="Book Antiqua"/>
          <w:i/>
          <w:iCs/>
        </w:rPr>
        <w:t xml:space="preserve">(Por </w:t>
      </w:r>
      <w:r w:rsidR="005B4E06">
        <w:rPr>
          <w:rFonts w:ascii="Book Antiqua" w:hAnsi="Book Antiqua"/>
          <w:i/>
          <w:iCs/>
        </w:rPr>
        <w:t>P</w:t>
      </w:r>
      <w:r w:rsidR="00EE2231" w:rsidRPr="008724CC">
        <w:rPr>
          <w:rFonts w:ascii="Book Antiqua" w:hAnsi="Book Antiqua"/>
          <w:i/>
          <w:iCs/>
        </w:rPr>
        <w:t>etición)</w:t>
      </w:r>
    </w:p>
    <w:p w14:paraId="2C752570" w14:textId="77777777" w:rsidR="007F36B3" w:rsidRPr="008724CC" w:rsidRDefault="007F36B3" w:rsidP="007F36B3">
      <w:pPr>
        <w:suppressLineNumbers/>
        <w:spacing w:before="120"/>
        <w:jc w:val="center"/>
        <w:rPr>
          <w:rFonts w:ascii="Book Antiqua" w:hAnsi="Book Antiqua"/>
          <w:i/>
          <w:iCs/>
        </w:rPr>
      </w:pPr>
      <w:r>
        <w:rPr>
          <w:rFonts w:ascii="Book Antiqua" w:hAnsi="Book Antiqua"/>
          <w:i/>
          <w:iCs/>
        </w:rPr>
        <w:t>Coautores la señora Álvarez Conde; los señores Matías Rosario y Toledo López</w:t>
      </w:r>
    </w:p>
    <w:p w14:paraId="5A39BBE3" w14:textId="77777777" w:rsidR="00B236B4" w:rsidRPr="00F1225B" w:rsidRDefault="00B236B4" w:rsidP="008004FA">
      <w:pPr>
        <w:suppressLineNumbers/>
        <w:jc w:val="center"/>
        <w:rPr>
          <w:rFonts w:ascii="Book Antiqua" w:hAnsi="Book Antiqua"/>
          <w:sz w:val="12"/>
          <w:szCs w:val="12"/>
        </w:rPr>
      </w:pPr>
    </w:p>
    <w:p w14:paraId="1ECB590E" w14:textId="77777777" w:rsidR="00965B0A" w:rsidRPr="007A4177" w:rsidRDefault="00B236B4" w:rsidP="00965B0A">
      <w:pPr>
        <w:spacing w:line="360" w:lineRule="auto"/>
        <w:jc w:val="center"/>
        <w:rPr>
          <w:rFonts w:ascii="Book Antiqua" w:hAnsi="Book Antiqua"/>
          <w:i/>
          <w:iCs/>
          <w:lang w:val="es-419"/>
        </w:rPr>
      </w:pPr>
      <w:r w:rsidRPr="00A02C1F">
        <w:rPr>
          <w:rFonts w:ascii="Book Antiqua" w:hAnsi="Book Antiqua"/>
          <w:i/>
          <w:iCs/>
        </w:rPr>
        <w:t xml:space="preserve">Referido a </w:t>
      </w:r>
      <w:r w:rsidR="00965B0A">
        <w:rPr>
          <w:rFonts w:ascii="Book Antiqua" w:hAnsi="Book Antiqua"/>
          <w:i/>
          <w:iCs/>
        </w:rPr>
        <w:t>la Comisión de</w:t>
      </w:r>
      <w:r w:rsidR="00965B0A" w:rsidRPr="00965B0A">
        <w:rPr>
          <w:rFonts w:ascii="Book Antiqua" w:hAnsi="Book Antiqua"/>
          <w:i/>
          <w:iCs/>
          <w:lang w:val="es-419"/>
        </w:rPr>
        <w:t xml:space="preserve"> </w:t>
      </w:r>
      <w:r w:rsidR="00965B0A" w:rsidRPr="007A4177">
        <w:rPr>
          <w:rFonts w:ascii="Book Antiqua" w:hAnsi="Book Antiqua"/>
          <w:i/>
          <w:iCs/>
          <w:lang w:val="es-419"/>
        </w:rPr>
        <w:t>Innovación, Reforma y Nombramientos</w:t>
      </w:r>
    </w:p>
    <w:p w14:paraId="41C8F396" w14:textId="77777777" w:rsidR="00B236B4" w:rsidRPr="00A02C1F" w:rsidRDefault="00B236B4" w:rsidP="008004FA">
      <w:pPr>
        <w:suppressLineNumbers/>
        <w:jc w:val="both"/>
        <w:rPr>
          <w:rFonts w:ascii="Book Antiqua" w:hAnsi="Book Antiqua"/>
          <w:sz w:val="8"/>
          <w:szCs w:val="8"/>
        </w:rPr>
      </w:pPr>
    </w:p>
    <w:p w14:paraId="4AAD91F6" w14:textId="77777777" w:rsidR="00B236B4" w:rsidRPr="00A02C1F" w:rsidRDefault="00B236B4" w:rsidP="008004FA">
      <w:pPr>
        <w:suppressLineNumbers/>
        <w:jc w:val="center"/>
        <w:rPr>
          <w:rFonts w:ascii="Book Antiqua" w:hAnsi="Book Antiqua"/>
          <w:b/>
        </w:rPr>
      </w:pPr>
      <w:r w:rsidRPr="00A02C1F">
        <w:rPr>
          <w:rFonts w:ascii="Book Antiqua" w:hAnsi="Book Antiqua"/>
          <w:b/>
        </w:rPr>
        <w:t>LEY</w:t>
      </w:r>
    </w:p>
    <w:p w14:paraId="72A3D3EC" w14:textId="77777777" w:rsidR="00B236B4" w:rsidRPr="00A02C1F" w:rsidRDefault="00B236B4" w:rsidP="008004FA">
      <w:pPr>
        <w:suppressLineNumbers/>
        <w:jc w:val="both"/>
        <w:rPr>
          <w:rFonts w:ascii="Book Antiqua" w:hAnsi="Book Antiqua"/>
          <w:sz w:val="12"/>
          <w:szCs w:val="12"/>
        </w:rPr>
      </w:pPr>
    </w:p>
    <w:p w14:paraId="743AD159" w14:textId="77777777" w:rsidR="00AF7989" w:rsidRPr="00A02C1F" w:rsidRDefault="00AF7989" w:rsidP="007E45DC">
      <w:pPr>
        <w:suppressLineNumbers/>
        <w:ind w:left="547" w:hanging="547"/>
        <w:jc w:val="both"/>
        <w:rPr>
          <w:rFonts w:ascii="Book Antiqua" w:hAnsi="Book Antiqua"/>
        </w:rPr>
      </w:pPr>
      <w:r w:rsidRPr="00A02C1F">
        <w:rPr>
          <w:rFonts w:ascii="Book Antiqua" w:hAnsi="Book Antiqua"/>
        </w:rPr>
        <w:t xml:space="preserve">Para </w:t>
      </w:r>
      <w:r w:rsidR="000527B9">
        <w:rPr>
          <w:rFonts w:ascii="Book Antiqua" w:hAnsi="Book Antiqua"/>
        </w:rPr>
        <w:t>crear la “Ley para establecer la política pública de c</w:t>
      </w:r>
      <w:r w:rsidR="000527B9" w:rsidRPr="000527B9">
        <w:rPr>
          <w:rFonts w:ascii="Book Antiqua" w:hAnsi="Book Antiqua"/>
        </w:rPr>
        <w:t>apacitación para profesionales de la salud en asuntos de envejecimiento</w:t>
      </w:r>
      <w:r w:rsidR="000527B9">
        <w:rPr>
          <w:rFonts w:ascii="Book Antiqua" w:hAnsi="Book Antiqua"/>
        </w:rPr>
        <w:t xml:space="preserve"> y para la práctica profesional de la </w:t>
      </w:r>
      <w:r w:rsidR="000527B9" w:rsidRPr="000527B9">
        <w:rPr>
          <w:rFonts w:ascii="Book Antiqua" w:hAnsi="Book Antiqua"/>
        </w:rPr>
        <w:t>geriatría y gerontología</w:t>
      </w:r>
      <w:r w:rsidR="000527B9">
        <w:rPr>
          <w:rFonts w:ascii="Book Antiqua" w:hAnsi="Book Antiqua"/>
        </w:rPr>
        <w:t xml:space="preserve"> en Puerto Rico”</w:t>
      </w:r>
      <w:r w:rsidRPr="00A02C1F">
        <w:rPr>
          <w:rFonts w:ascii="Book Antiqua" w:hAnsi="Book Antiqua"/>
        </w:rPr>
        <w:t xml:space="preserve">; </w:t>
      </w:r>
      <w:r w:rsidR="006717C2">
        <w:rPr>
          <w:rFonts w:ascii="Book Antiqua" w:hAnsi="Book Antiqua"/>
        </w:rPr>
        <w:t xml:space="preserve">con el propósito de </w:t>
      </w:r>
      <w:r w:rsidR="000527B9" w:rsidRPr="000527B9">
        <w:rPr>
          <w:rFonts w:ascii="Book Antiqua" w:hAnsi="Book Antiqua"/>
        </w:rPr>
        <w:t>promover la formación académica y profesional en las áreas de geriatría y gerontología</w:t>
      </w:r>
      <w:r w:rsidR="006717C2">
        <w:rPr>
          <w:rFonts w:ascii="Book Antiqua" w:hAnsi="Book Antiqua"/>
        </w:rPr>
        <w:t>,</w:t>
      </w:r>
      <w:r w:rsidR="000527B9" w:rsidRPr="000527B9">
        <w:rPr>
          <w:rFonts w:ascii="Book Antiqua" w:hAnsi="Book Antiqua"/>
        </w:rPr>
        <w:t xml:space="preserve"> fomentar la creación y expansión de programas académicos en instituciones de educación superior</w:t>
      </w:r>
      <w:r w:rsidR="006717C2">
        <w:rPr>
          <w:rFonts w:ascii="Book Antiqua" w:hAnsi="Book Antiqua"/>
        </w:rPr>
        <w:t xml:space="preserve"> e </w:t>
      </w:r>
      <w:r w:rsidR="000527B9" w:rsidRPr="000527B9">
        <w:rPr>
          <w:rFonts w:ascii="Book Antiqua" w:hAnsi="Book Antiqua"/>
        </w:rPr>
        <w:t>incentivar la educación continua en estas disciplinas entre los profesionales de la salud; y para otros fines relacionados</w:t>
      </w:r>
      <w:r w:rsidRPr="00A02C1F">
        <w:rPr>
          <w:rFonts w:ascii="Book Antiqua" w:hAnsi="Book Antiqua"/>
        </w:rPr>
        <w:t>.</w:t>
      </w:r>
    </w:p>
    <w:p w14:paraId="0D0B940D" w14:textId="77777777" w:rsidR="00CE07E4" w:rsidRPr="00A02C1F" w:rsidRDefault="00CE07E4" w:rsidP="00EE2231">
      <w:pPr>
        <w:suppressLineNumbers/>
        <w:rPr>
          <w:rFonts w:ascii="Book Antiqua" w:hAnsi="Book Antiqua"/>
          <w:b/>
          <w:bCs/>
        </w:rPr>
      </w:pPr>
    </w:p>
    <w:p w14:paraId="70A2DEE5" w14:textId="77777777" w:rsidR="00B236B4" w:rsidRDefault="00B236B4" w:rsidP="008004FA">
      <w:pPr>
        <w:suppressLineNumbers/>
        <w:ind w:firstLine="360"/>
        <w:jc w:val="center"/>
        <w:rPr>
          <w:rFonts w:ascii="Book Antiqua" w:hAnsi="Book Antiqua"/>
          <w:b/>
          <w:bCs/>
        </w:rPr>
      </w:pPr>
      <w:r w:rsidRPr="00A02C1F">
        <w:rPr>
          <w:rFonts w:ascii="Book Antiqua" w:hAnsi="Book Antiqua"/>
          <w:b/>
          <w:bCs/>
        </w:rPr>
        <w:t>EXPOSICIÓN DE MOTIVOS</w:t>
      </w:r>
    </w:p>
    <w:p w14:paraId="0E27B00A" w14:textId="77777777" w:rsidR="000527B9" w:rsidRPr="007F36B3" w:rsidRDefault="000527B9" w:rsidP="000527B9">
      <w:pPr>
        <w:jc w:val="both"/>
        <w:rPr>
          <w:rFonts w:ascii="Book Antiqua" w:hAnsi="Book Antiqua"/>
          <w:sz w:val="12"/>
          <w:szCs w:val="12"/>
          <w:bdr w:val="none" w:sz="0" w:space="0" w:color="auto" w:frame="1"/>
          <w:lang w:val="es-ES"/>
        </w:rPr>
      </w:pPr>
    </w:p>
    <w:p w14:paraId="3DCCE631" w14:textId="77777777" w:rsidR="000536A8" w:rsidRPr="000536A8" w:rsidRDefault="000536A8" w:rsidP="007E45DC">
      <w:pPr>
        <w:suppressLineNumbers/>
        <w:spacing w:before="120" w:after="120" w:line="360" w:lineRule="auto"/>
        <w:ind w:firstLine="360"/>
        <w:jc w:val="both"/>
        <w:rPr>
          <w:rFonts w:ascii="Book Antiqua" w:hAnsi="Book Antiqua"/>
          <w:bdr w:val="none" w:sz="0" w:space="0" w:color="auto" w:frame="1"/>
          <w:lang w:val="es-ES"/>
        </w:rPr>
      </w:pPr>
      <w:r w:rsidRPr="000536A8">
        <w:rPr>
          <w:rFonts w:ascii="Book Antiqua" w:hAnsi="Book Antiqua"/>
          <w:bdr w:val="none" w:sz="0" w:space="0" w:color="auto" w:frame="1"/>
          <w:lang w:val="es-ES"/>
        </w:rPr>
        <w:t>Puerto Rico, al igual que muchas otras jurisdicciones, enfrenta un acelerado proceso de envejecimiento poblacional. Este fenómeno demográfico conlleva un aumento en la demanda de servicios de salud especializados y de cuidados médicos que garanticen el bienestar de la población adulta mayor.</w:t>
      </w:r>
    </w:p>
    <w:p w14:paraId="19387C20" w14:textId="77777777" w:rsidR="000536A8" w:rsidRPr="000536A8" w:rsidRDefault="000536A8" w:rsidP="007E45DC">
      <w:pPr>
        <w:suppressLineNumbers/>
        <w:spacing w:before="120" w:after="120" w:line="360" w:lineRule="auto"/>
        <w:ind w:firstLine="360"/>
        <w:jc w:val="both"/>
        <w:rPr>
          <w:rFonts w:ascii="Book Antiqua" w:hAnsi="Book Antiqua"/>
          <w:bdr w:val="none" w:sz="0" w:space="0" w:color="auto" w:frame="1"/>
          <w:lang w:val="es-ES"/>
        </w:rPr>
      </w:pPr>
      <w:r w:rsidRPr="000536A8">
        <w:rPr>
          <w:rFonts w:ascii="Book Antiqua" w:hAnsi="Book Antiqua"/>
          <w:bdr w:val="none" w:sz="0" w:space="0" w:color="auto" w:frame="1"/>
          <w:lang w:val="es-ES"/>
        </w:rPr>
        <w:t>La geriatría, rama de la medicina enfocada en la prevención, diagnóstico, tratamiento y rehabilitación de enfermedades propias del envejecimiento, y la gerontología, disciplina que estudia el proceso de envejecimiento desde una perspectiva integral —biológica, psicológica y social—, son fundamentales para atender las necesidades de este sector poblacional. Ambas áreas han experimentado un incremento en la demanda y representan oportunidades profesionales significativas.</w:t>
      </w:r>
    </w:p>
    <w:p w14:paraId="60061E4C" w14:textId="77777777" w:rsidR="000536A8" w:rsidRPr="000536A8" w:rsidRDefault="000536A8" w:rsidP="007E45DC">
      <w:pPr>
        <w:suppressLineNumbers/>
        <w:spacing w:before="120" w:after="120" w:line="360" w:lineRule="auto"/>
        <w:jc w:val="both"/>
        <w:rPr>
          <w:rFonts w:ascii="Book Antiqua" w:hAnsi="Book Antiqua"/>
          <w:bdr w:val="none" w:sz="0" w:space="0" w:color="auto" w:frame="1"/>
          <w:lang w:val="es-ES"/>
        </w:rPr>
      </w:pPr>
    </w:p>
    <w:p w14:paraId="3BF63729" w14:textId="77777777" w:rsidR="000536A8" w:rsidRPr="000536A8" w:rsidRDefault="000536A8" w:rsidP="007E45DC">
      <w:pPr>
        <w:suppressLineNumbers/>
        <w:spacing w:before="120" w:after="120" w:line="360" w:lineRule="auto"/>
        <w:ind w:firstLine="360"/>
        <w:jc w:val="both"/>
        <w:rPr>
          <w:rFonts w:ascii="Book Antiqua" w:hAnsi="Book Antiqua"/>
          <w:bdr w:val="none" w:sz="0" w:space="0" w:color="auto" w:frame="1"/>
          <w:lang w:val="es-ES"/>
        </w:rPr>
      </w:pPr>
      <w:r w:rsidRPr="000536A8">
        <w:rPr>
          <w:rFonts w:ascii="Book Antiqua" w:hAnsi="Book Antiqua"/>
          <w:bdr w:val="none" w:sz="0" w:space="0" w:color="auto" w:frame="1"/>
          <w:lang w:val="es-ES"/>
        </w:rPr>
        <w:t>La formación y desarrollo continuo de profesionales en geriatría y gerontología es esencial para fortalecer la prestación de servicios de salud dirigidos a la población adulta mayor. Esta preparación contribuye a mantener a los adultos mayores activos y saludables, previene el aumento de enfermedades crónicas y reduce la incidencia de accidentes y caídas que pueden comprometer su calidad de vida. Además, estas disciplinas requieren un enfoque interdisciplinario, involucrando a médicos, enfermeros, trabajadores sociales, terapistas ocupacionales y físicos, psicólogos, nutricionistas, entre otros profesionales de la salud.</w:t>
      </w:r>
    </w:p>
    <w:p w14:paraId="5EFFBE05" w14:textId="5899B704" w:rsidR="000536A8" w:rsidRPr="000536A8" w:rsidRDefault="000536A8" w:rsidP="007E45DC">
      <w:pPr>
        <w:suppressLineNumbers/>
        <w:spacing w:before="120" w:after="120" w:line="360" w:lineRule="auto"/>
        <w:ind w:firstLine="360"/>
        <w:jc w:val="both"/>
        <w:rPr>
          <w:rFonts w:ascii="Book Antiqua" w:hAnsi="Book Antiqua"/>
          <w:bdr w:val="none" w:sz="0" w:space="0" w:color="auto" w:frame="1"/>
          <w:lang w:val="es-ES"/>
        </w:rPr>
      </w:pPr>
      <w:r w:rsidRPr="000536A8">
        <w:rPr>
          <w:rFonts w:ascii="Book Antiqua" w:hAnsi="Book Antiqua"/>
          <w:bdr w:val="none" w:sz="0" w:space="0" w:color="auto" w:frame="1"/>
          <w:lang w:val="es-ES"/>
        </w:rPr>
        <w:t>En Puerto Rico, existen programas académicos graduados que preparan a profesionales para trabajar con la población adulta mayor, tales como el Certificado Graduado en Gerontología, la Maestría en Salud Pública con especialidad en Gerontología y la Maestría en Ciencias en Gerontología. Sin embargo, persiste una necesidad apremiante de profesionales en enfer</w:t>
      </w:r>
      <w:r w:rsidRPr="00DE7EFA">
        <w:rPr>
          <w:rFonts w:ascii="Book Antiqua" w:hAnsi="Book Antiqua"/>
          <w:bdr w:val="none" w:sz="0" w:space="0" w:color="auto" w:frame="1"/>
          <w:lang w:val="es-ES"/>
        </w:rPr>
        <w:t>mería</w:t>
      </w:r>
      <w:r w:rsidR="00DE7EFA" w:rsidRPr="00DE7EFA">
        <w:rPr>
          <w:rFonts w:ascii="Book Antiqua" w:hAnsi="Book Antiqua"/>
          <w:bdr w:val="none" w:sz="0" w:space="0" w:color="auto" w:frame="1"/>
          <w:lang w:val="es-ES"/>
        </w:rPr>
        <w:t xml:space="preserve"> </w:t>
      </w:r>
      <w:r w:rsidRPr="00DE7EFA">
        <w:rPr>
          <w:rFonts w:ascii="Book Antiqua" w:hAnsi="Book Antiqua"/>
          <w:bdr w:val="none" w:sz="0" w:space="0" w:color="auto" w:frame="1"/>
          <w:lang w:val="es-ES"/>
        </w:rPr>
        <w:t xml:space="preserve">especializados en geriatría y gerontología. </w:t>
      </w:r>
      <w:r w:rsidRPr="000536A8">
        <w:rPr>
          <w:rFonts w:ascii="Book Antiqua" w:hAnsi="Book Antiqua"/>
          <w:bdr w:val="none" w:sz="0" w:space="0" w:color="auto" w:frame="1"/>
          <w:lang w:val="es-ES"/>
        </w:rPr>
        <w:t>Este campo ofrece oportunidades en hospitales, centros de salud geriátricos, hogares de cuidado a largo plazo, centros de rehabilitación, servicios de atención domiciliaria y organizaciones de salud pública.</w:t>
      </w:r>
    </w:p>
    <w:p w14:paraId="7F763A9E" w14:textId="77777777" w:rsidR="000536A8" w:rsidRPr="000536A8" w:rsidRDefault="000536A8" w:rsidP="007E45DC">
      <w:pPr>
        <w:suppressLineNumbers/>
        <w:spacing w:before="120" w:after="120" w:line="360" w:lineRule="auto"/>
        <w:ind w:firstLine="360"/>
        <w:jc w:val="both"/>
        <w:rPr>
          <w:rFonts w:ascii="Book Antiqua" w:hAnsi="Book Antiqua"/>
          <w:bdr w:val="none" w:sz="0" w:space="0" w:color="auto" w:frame="1"/>
          <w:lang w:val="es-ES"/>
        </w:rPr>
      </w:pPr>
      <w:r w:rsidRPr="000536A8">
        <w:rPr>
          <w:rFonts w:ascii="Book Antiqua" w:hAnsi="Book Antiqua"/>
          <w:bdr w:val="none" w:sz="0" w:space="0" w:color="auto" w:frame="1"/>
          <w:lang w:val="es-ES"/>
        </w:rPr>
        <w:t>Ampliar la oferta y el alcance de estos programas de preparación es crucial para asegurar que la atención a nuestra población adulta mayor responda a sus necesidades particulares y se alinee con las mejores prácticas en la prestación de servicios de salud a nivel mundial.</w:t>
      </w:r>
    </w:p>
    <w:p w14:paraId="489D616A" w14:textId="77777777" w:rsidR="000536A8" w:rsidRPr="000536A8" w:rsidRDefault="000536A8" w:rsidP="007E45DC">
      <w:pPr>
        <w:suppressLineNumbers/>
        <w:spacing w:before="120" w:after="120" w:line="360" w:lineRule="auto"/>
        <w:ind w:firstLine="360"/>
        <w:jc w:val="both"/>
        <w:rPr>
          <w:rFonts w:ascii="Book Antiqua" w:hAnsi="Book Antiqua"/>
          <w:bdr w:val="none" w:sz="0" w:space="0" w:color="auto" w:frame="1"/>
          <w:lang w:val="es-ES"/>
        </w:rPr>
      </w:pPr>
      <w:r w:rsidRPr="000536A8">
        <w:rPr>
          <w:rFonts w:ascii="Book Antiqua" w:hAnsi="Book Antiqua"/>
          <w:bdr w:val="none" w:sz="0" w:space="0" w:color="auto" w:frame="1"/>
          <w:lang w:val="es-ES"/>
        </w:rPr>
        <w:t>La creciente demanda de servicios de salud para la población adulta mayor exige una mayor atención a la formación de profesionales en estas especialidades. Según cifras del Departamento de Salud, en Puerto Rico hay aproximadamente 60 médicos especialistas en geriatría para atender a una población de más de 880,000 personas mayores de 60 años. Esta disparidad evidencia la necesidad urgente de fortalecer la capacitación en estas áreas.</w:t>
      </w:r>
    </w:p>
    <w:p w14:paraId="205BF3FC" w14:textId="77777777" w:rsidR="000536A8" w:rsidRPr="000536A8" w:rsidRDefault="000536A8" w:rsidP="007E45DC">
      <w:pPr>
        <w:suppressLineNumbers/>
        <w:spacing w:before="120" w:after="120" w:line="360" w:lineRule="auto"/>
        <w:ind w:firstLine="360"/>
        <w:jc w:val="both"/>
        <w:rPr>
          <w:rFonts w:ascii="Book Antiqua" w:hAnsi="Book Antiqua"/>
          <w:bdr w:val="none" w:sz="0" w:space="0" w:color="auto" w:frame="1"/>
          <w:lang w:val="es-ES"/>
        </w:rPr>
      </w:pPr>
      <w:r w:rsidRPr="000536A8">
        <w:rPr>
          <w:rFonts w:ascii="Book Antiqua" w:hAnsi="Book Antiqua"/>
          <w:bdr w:val="none" w:sz="0" w:space="0" w:color="auto" w:frame="1"/>
          <w:lang w:val="es-ES"/>
        </w:rPr>
        <w:t>Por lo tanto, esta Asamblea Legislativa</w:t>
      </w:r>
      <w:r w:rsidR="006717C2">
        <w:rPr>
          <w:rFonts w:ascii="Book Antiqua" w:hAnsi="Book Antiqua"/>
          <w:bdr w:val="none" w:sz="0" w:space="0" w:color="auto" w:frame="1"/>
          <w:lang w:val="es-ES"/>
        </w:rPr>
        <w:t xml:space="preserve"> con esta medida se </w:t>
      </w:r>
      <w:r w:rsidRPr="000536A8">
        <w:rPr>
          <w:rFonts w:ascii="Book Antiqua" w:hAnsi="Book Antiqua"/>
          <w:bdr w:val="none" w:sz="0" w:space="0" w:color="auto" w:frame="1"/>
          <w:lang w:val="es-ES"/>
        </w:rPr>
        <w:t xml:space="preserve">propone establecer una política pública que promueva las especialidades en geriatría y gerontología en las </w:t>
      </w:r>
      <w:r w:rsidRPr="000536A8">
        <w:rPr>
          <w:rFonts w:ascii="Book Antiqua" w:hAnsi="Book Antiqua"/>
          <w:bdr w:val="none" w:sz="0" w:space="0" w:color="auto" w:frame="1"/>
          <w:lang w:val="es-ES"/>
        </w:rPr>
        <w:lastRenderedPageBreak/>
        <w:t>instituciones de educación superior en Puerto Rico, en consonancia con los cambios demográficos actuales. Asimismo, se busca fomentar la inclusión de contenidos relacionados con el envejecimiento en los currículos académicos y en la educación continua de los profesionales de la salud licenciados, a través de las juntas examinadoras correspondientes.</w:t>
      </w:r>
    </w:p>
    <w:p w14:paraId="00CD2B6C" w14:textId="77777777" w:rsidR="003B717E" w:rsidRDefault="000536A8" w:rsidP="007E45DC">
      <w:pPr>
        <w:suppressLineNumbers/>
        <w:spacing w:before="120" w:after="120" w:line="360" w:lineRule="auto"/>
        <w:ind w:firstLine="360"/>
        <w:jc w:val="both"/>
        <w:rPr>
          <w:rFonts w:ascii="Book Antiqua" w:hAnsi="Book Antiqua"/>
          <w:bdr w:val="none" w:sz="0" w:space="0" w:color="auto" w:frame="1"/>
          <w:lang w:val="es-ES"/>
        </w:rPr>
      </w:pPr>
      <w:r w:rsidRPr="000536A8">
        <w:rPr>
          <w:rFonts w:ascii="Book Antiqua" w:hAnsi="Book Antiqua"/>
          <w:bdr w:val="none" w:sz="0" w:space="0" w:color="auto" w:frame="1"/>
          <w:lang w:val="es-ES"/>
        </w:rPr>
        <w:t>Este proyecto de ley tiene como objetivo establecer una política pública clara y proactiva que impulse la formación en geriatría y gerontología, tanto a nivel académico como profesional, para atender de manera efectiva los retos que impone el envejecimiento poblacional.</w:t>
      </w:r>
    </w:p>
    <w:p w14:paraId="59E2AB22" w14:textId="77777777" w:rsidR="00BD765D" w:rsidRPr="00A02C1F" w:rsidRDefault="00BD765D" w:rsidP="00BD765D">
      <w:pPr>
        <w:spacing w:line="480" w:lineRule="auto"/>
        <w:rPr>
          <w:rFonts w:ascii="Book Antiqua" w:hAnsi="Book Antiqua"/>
          <w:b/>
          <w:bCs/>
          <w:iCs/>
        </w:rPr>
        <w:sectPr w:rsidR="00BD765D" w:rsidRPr="00A02C1F" w:rsidSect="00BD765D">
          <w:headerReference w:type="default" r:id="rId12"/>
          <w:headerReference w:type="first" r:id="rId13"/>
          <w:type w:val="continuous"/>
          <w:pgSz w:w="12240" w:h="15840" w:code="1"/>
          <w:pgMar w:top="1152" w:right="1440" w:bottom="1152" w:left="1440" w:header="576" w:footer="720" w:gutter="0"/>
          <w:cols w:space="720"/>
          <w:titlePg/>
          <w:docGrid w:linePitch="360"/>
        </w:sectPr>
      </w:pPr>
      <w:bookmarkStart w:id="1" w:name="_Hlk183040655"/>
      <w:r w:rsidRPr="00A02C1F">
        <w:rPr>
          <w:rFonts w:ascii="Book Antiqua" w:hAnsi="Book Antiqua"/>
          <w:b/>
          <w:bCs/>
          <w:iCs/>
          <w:lang w:val="es-CR"/>
        </w:rPr>
        <w:t>DECRÉTASE POR LA ASAMBLEA LEGISLATIVA DE PUERTO RICO</w:t>
      </w:r>
      <w:bookmarkEnd w:id="1"/>
      <w:r w:rsidRPr="00A02C1F">
        <w:rPr>
          <w:rFonts w:ascii="Book Antiqua" w:hAnsi="Book Antiqua"/>
          <w:b/>
          <w:bCs/>
          <w:iCs/>
          <w:lang w:val="es-CR"/>
        </w:rPr>
        <w:t>:</w:t>
      </w:r>
      <w:r w:rsidRPr="00A02C1F">
        <w:rPr>
          <w:rFonts w:ascii="Book Antiqua" w:hAnsi="Book Antiqua"/>
          <w:b/>
          <w:bCs/>
          <w:iCs/>
        </w:rPr>
        <w:t> </w:t>
      </w:r>
      <w:r w:rsidRPr="00A02C1F">
        <w:rPr>
          <w:rFonts w:ascii="Book Antiqua" w:hAnsi="Book Antiqua"/>
          <w:b/>
          <w:bCs/>
          <w:iCs/>
        </w:rPr>
        <w:tab/>
      </w:r>
    </w:p>
    <w:p w14:paraId="598EF144" w14:textId="77777777" w:rsidR="000527B9" w:rsidRDefault="00BD765D" w:rsidP="005C23A0">
      <w:pPr>
        <w:spacing w:line="480" w:lineRule="auto"/>
        <w:ind w:firstLine="450"/>
        <w:jc w:val="both"/>
        <w:rPr>
          <w:rFonts w:ascii="Book Antiqua" w:hAnsi="Book Antiqua"/>
        </w:rPr>
      </w:pPr>
      <w:r w:rsidRPr="00A02C1F">
        <w:rPr>
          <w:rFonts w:ascii="Book Antiqua" w:hAnsi="Book Antiqua"/>
        </w:rPr>
        <w:t xml:space="preserve">Sección 1.- </w:t>
      </w:r>
      <w:r w:rsidR="000527B9">
        <w:rPr>
          <w:rFonts w:ascii="Book Antiqua" w:hAnsi="Book Antiqua"/>
        </w:rPr>
        <w:t>T</w:t>
      </w:r>
      <w:r w:rsidR="00A632C8">
        <w:rPr>
          <w:rFonts w:ascii="Book Antiqua" w:hAnsi="Book Antiqua"/>
        </w:rPr>
        <w:t>í</w:t>
      </w:r>
      <w:r w:rsidR="000527B9">
        <w:rPr>
          <w:rFonts w:ascii="Book Antiqua" w:hAnsi="Book Antiqua"/>
        </w:rPr>
        <w:t>tulo.</w:t>
      </w:r>
    </w:p>
    <w:p w14:paraId="4841E105" w14:textId="77777777" w:rsidR="00BD765D" w:rsidRPr="00A02C1F" w:rsidRDefault="000527B9" w:rsidP="005C23A0">
      <w:pPr>
        <w:spacing w:line="480" w:lineRule="auto"/>
        <w:ind w:firstLine="450"/>
        <w:jc w:val="both"/>
        <w:rPr>
          <w:rFonts w:ascii="Book Antiqua" w:hAnsi="Book Antiqua"/>
        </w:rPr>
      </w:pPr>
      <w:r>
        <w:rPr>
          <w:rFonts w:ascii="Book Antiqua" w:hAnsi="Book Antiqua"/>
        </w:rPr>
        <w:t xml:space="preserve">Esta Ley se conocerá como la </w:t>
      </w:r>
      <w:r w:rsidRPr="000527B9">
        <w:rPr>
          <w:rFonts w:ascii="Book Antiqua" w:hAnsi="Book Antiqua"/>
        </w:rPr>
        <w:t xml:space="preserve">“Ley para establecer la política pública de capacitación para profesionales de la salud en asuntos de envejecimiento y </w:t>
      </w:r>
      <w:r>
        <w:rPr>
          <w:rFonts w:ascii="Book Antiqua" w:hAnsi="Book Antiqua"/>
        </w:rPr>
        <w:t xml:space="preserve">para </w:t>
      </w:r>
      <w:r w:rsidRPr="000527B9">
        <w:rPr>
          <w:rFonts w:ascii="Book Antiqua" w:hAnsi="Book Antiqua"/>
        </w:rPr>
        <w:t>la práctica profesional de la geriatría y gerontología en Puerto Rico”</w:t>
      </w:r>
      <w:r w:rsidR="00A632C8">
        <w:rPr>
          <w:rFonts w:ascii="Book Antiqua" w:hAnsi="Book Antiqua"/>
        </w:rPr>
        <w:t>.</w:t>
      </w:r>
    </w:p>
    <w:p w14:paraId="2FEBEBAC" w14:textId="77777777" w:rsidR="00EF0C14" w:rsidRDefault="00A02C1F" w:rsidP="005C23A0">
      <w:pPr>
        <w:spacing w:line="480" w:lineRule="auto"/>
        <w:ind w:firstLine="360"/>
        <w:jc w:val="both"/>
        <w:rPr>
          <w:rFonts w:ascii="Book Antiqua" w:hAnsi="Book Antiqua"/>
        </w:rPr>
      </w:pPr>
      <w:r w:rsidRPr="00A02C1F">
        <w:rPr>
          <w:rFonts w:ascii="Book Antiqua" w:hAnsi="Book Antiqua"/>
        </w:rPr>
        <w:t xml:space="preserve">Sección 2.- </w:t>
      </w:r>
      <w:r w:rsidR="000527B9">
        <w:rPr>
          <w:rFonts w:ascii="Book Antiqua" w:hAnsi="Book Antiqua"/>
        </w:rPr>
        <w:t>Declaración de Política Pública.</w:t>
      </w:r>
    </w:p>
    <w:p w14:paraId="476F548F" w14:textId="77777777" w:rsidR="00EF0C14" w:rsidRDefault="000527B9" w:rsidP="005C23A0">
      <w:pPr>
        <w:spacing w:line="480" w:lineRule="auto"/>
        <w:ind w:firstLine="360"/>
        <w:jc w:val="both"/>
        <w:rPr>
          <w:rFonts w:ascii="Book Antiqua" w:hAnsi="Book Antiqua"/>
        </w:rPr>
      </w:pPr>
      <w:r w:rsidRPr="000527B9">
        <w:rPr>
          <w:rFonts w:ascii="Book Antiqua" w:hAnsi="Book Antiqua"/>
        </w:rPr>
        <w:t xml:space="preserve">Se </w:t>
      </w:r>
      <w:r w:rsidR="006717C2" w:rsidRPr="000527B9">
        <w:rPr>
          <w:rFonts w:ascii="Book Antiqua" w:hAnsi="Book Antiqua"/>
        </w:rPr>
        <w:t>declara</w:t>
      </w:r>
      <w:r w:rsidRPr="000527B9">
        <w:rPr>
          <w:rFonts w:ascii="Book Antiqua" w:hAnsi="Book Antiqua"/>
        </w:rPr>
        <w:t xml:space="preserve"> política pública del </w:t>
      </w:r>
      <w:r>
        <w:rPr>
          <w:rFonts w:ascii="Book Antiqua" w:hAnsi="Book Antiqua"/>
        </w:rPr>
        <w:t>Gobierno</w:t>
      </w:r>
      <w:r w:rsidRPr="000527B9">
        <w:rPr>
          <w:rFonts w:ascii="Book Antiqua" w:hAnsi="Book Antiqua"/>
        </w:rPr>
        <w:t xml:space="preserve"> de Puerto Rico el promover la capacitación para profesionales de la salud en asuntos de </w:t>
      </w:r>
      <w:r w:rsidR="000536A8" w:rsidRPr="000527B9">
        <w:rPr>
          <w:rFonts w:ascii="Book Antiqua" w:hAnsi="Book Antiqua"/>
        </w:rPr>
        <w:t xml:space="preserve">envejecimiento </w:t>
      </w:r>
      <w:r w:rsidR="000536A8">
        <w:rPr>
          <w:rFonts w:ascii="Book Antiqua" w:hAnsi="Book Antiqua"/>
        </w:rPr>
        <w:t>y</w:t>
      </w:r>
      <w:r>
        <w:rPr>
          <w:rFonts w:ascii="Book Antiqua" w:hAnsi="Book Antiqua"/>
        </w:rPr>
        <w:t xml:space="preserve"> la </w:t>
      </w:r>
      <w:r w:rsidRPr="000527B9">
        <w:rPr>
          <w:rFonts w:ascii="Book Antiqua" w:hAnsi="Book Antiqua"/>
        </w:rPr>
        <w:t>formación académica y profesional en geriatría y gerontología, con el fin de garantizar una atención integral, digna y especializada a la población adulta mayor.</w:t>
      </w:r>
    </w:p>
    <w:p w14:paraId="144EE384" w14:textId="77777777" w:rsidR="00CA69B0" w:rsidRDefault="00EF0C14" w:rsidP="005C23A0">
      <w:pPr>
        <w:spacing w:line="480" w:lineRule="auto"/>
        <w:ind w:firstLine="360"/>
        <w:jc w:val="both"/>
        <w:rPr>
          <w:rFonts w:ascii="Book Antiqua" w:hAnsi="Book Antiqua"/>
        </w:rPr>
      </w:pPr>
      <w:r w:rsidRPr="00EF0C14">
        <w:rPr>
          <w:rFonts w:ascii="Book Antiqua" w:hAnsi="Book Antiqua"/>
        </w:rPr>
        <w:t>Sección 3</w:t>
      </w:r>
      <w:r>
        <w:rPr>
          <w:rFonts w:ascii="Book Antiqua" w:hAnsi="Book Antiqua"/>
        </w:rPr>
        <w:t>.</w:t>
      </w:r>
      <w:r w:rsidRPr="00EF0C14">
        <w:rPr>
          <w:rFonts w:ascii="Book Antiqua" w:hAnsi="Book Antiqua"/>
        </w:rPr>
        <w:t xml:space="preserve">- </w:t>
      </w:r>
      <w:r w:rsidR="00CA69B0">
        <w:rPr>
          <w:rFonts w:ascii="Book Antiqua" w:hAnsi="Book Antiqua"/>
        </w:rPr>
        <w:t>Objetivos de la Ley.</w:t>
      </w:r>
    </w:p>
    <w:p w14:paraId="5C5B2A0D" w14:textId="77777777" w:rsidR="00CA69B0" w:rsidRDefault="00CA69B0" w:rsidP="005C23A0">
      <w:pPr>
        <w:spacing w:line="480" w:lineRule="auto"/>
        <w:ind w:firstLine="360"/>
        <w:jc w:val="both"/>
        <w:rPr>
          <w:rFonts w:ascii="Book Antiqua" w:hAnsi="Book Antiqua"/>
        </w:rPr>
      </w:pPr>
      <w:r>
        <w:rPr>
          <w:rFonts w:ascii="Book Antiqua" w:hAnsi="Book Antiqua"/>
        </w:rPr>
        <w:t>Los objetivos de esta Ley son</w:t>
      </w:r>
      <w:r w:rsidRPr="00CA69B0">
        <w:rPr>
          <w:rFonts w:ascii="Book Antiqua" w:hAnsi="Book Antiqua"/>
        </w:rPr>
        <w:t>:</w:t>
      </w:r>
    </w:p>
    <w:p w14:paraId="7D0026DB" w14:textId="77777777" w:rsidR="00CA69B0" w:rsidRDefault="00CA69B0" w:rsidP="007F6BA1">
      <w:pPr>
        <w:numPr>
          <w:ilvl w:val="0"/>
          <w:numId w:val="7"/>
        </w:numPr>
        <w:spacing w:line="480" w:lineRule="auto"/>
        <w:jc w:val="both"/>
        <w:rPr>
          <w:rFonts w:ascii="Book Antiqua" w:hAnsi="Book Antiqua"/>
        </w:rPr>
      </w:pPr>
      <w:r w:rsidRPr="00CA69B0">
        <w:rPr>
          <w:rFonts w:ascii="Book Antiqua" w:hAnsi="Book Antiqua"/>
        </w:rPr>
        <w:t>Fomentar la creación y expansión de programas académicos en geriatría y gerontología en instituciones de educación superior acreditadas.</w:t>
      </w:r>
    </w:p>
    <w:p w14:paraId="28D6BF18" w14:textId="77777777" w:rsidR="00CA69B0" w:rsidRDefault="00CA69B0" w:rsidP="00CA69B0">
      <w:pPr>
        <w:numPr>
          <w:ilvl w:val="0"/>
          <w:numId w:val="7"/>
        </w:numPr>
        <w:spacing w:line="480" w:lineRule="auto"/>
        <w:jc w:val="both"/>
        <w:rPr>
          <w:rFonts w:ascii="Book Antiqua" w:hAnsi="Book Antiqua"/>
        </w:rPr>
      </w:pPr>
      <w:r w:rsidRPr="007F6BA1">
        <w:rPr>
          <w:rFonts w:ascii="Book Antiqua" w:hAnsi="Book Antiqua"/>
        </w:rPr>
        <w:t>Incentivar la educación continua en estas disciplinas entre los profesionales de la salud mediante las juntas examinadoras correspondientes.</w:t>
      </w:r>
    </w:p>
    <w:p w14:paraId="112BBC74" w14:textId="77777777" w:rsidR="007F6BA1" w:rsidRDefault="00CA69B0" w:rsidP="00CA69B0">
      <w:pPr>
        <w:numPr>
          <w:ilvl w:val="0"/>
          <w:numId w:val="7"/>
        </w:numPr>
        <w:spacing w:line="480" w:lineRule="auto"/>
        <w:jc w:val="both"/>
        <w:rPr>
          <w:rFonts w:ascii="Book Antiqua" w:hAnsi="Book Antiqua"/>
        </w:rPr>
      </w:pPr>
      <w:r w:rsidRPr="007F6BA1">
        <w:rPr>
          <w:rFonts w:ascii="Book Antiqua" w:hAnsi="Book Antiqua"/>
        </w:rPr>
        <w:lastRenderedPageBreak/>
        <w:t>Promover el reclutamiento y la retención de profesionales especializados en geriatría y gerontología.</w:t>
      </w:r>
    </w:p>
    <w:p w14:paraId="667ED996" w14:textId="77777777" w:rsidR="00CA69B0" w:rsidRPr="007F6BA1" w:rsidRDefault="00CA69B0" w:rsidP="00CA69B0">
      <w:pPr>
        <w:numPr>
          <w:ilvl w:val="0"/>
          <w:numId w:val="7"/>
        </w:numPr>
        <w:spacing w:line="480" w:lineRule="auto"/>
        <w:jc w:val="both"/>
        <w:rPr>
          <w:rFonts w:ascii="Book Antiqua" w:hAnsi="Book Antiqua"/>
        </w:rPr>
      </w:pPr>
      <w:r w:rsidRPr="007F6BA1">
        <w:rPr>
          <w:rFonts w:ascii="Book Antiqua" w:hAnsi="Book Antiqua"/>
        </w:rPr>
        <w:t>Establecer alianzas entre el gobierno, las universidades y el sector privado para fortalecer la atención</w:t>
      </w:r>
      <w:r w:rsidR="007F6BA1" w:rsidRPr="007F6BA1">
        <w:rPr>
          <w:rFonts w:ascii="Book Antiqua" w:hAnsi="Book Antiqua"/>
        </w:rPr>
        <w:t xml:space="preserve"> a</w:t>
      </w:r>
      <w:r w:rsidRPr="007F6BA1">
        <w:rPr>
          <w:rFonts w:ascii="Book Antiqua" w:hAnsi="Book Antiqua"/>
        </w:rPr>
        <w:t xml:space="preserve"> la población adulta mayor.</w:t>
      </w:r>
    </w:p>
    <w:p w14:paraId="3EB91650" w14:textId="77777777" w:rsidR="00CA69B0" w:rsidRDefault="00EF0C14" w:rsidP="005C23A0">
      <w:pPr>
        <w:spacing w:line="480" w:lineRule="auto"/>
        <w:ind w:firstLine="360"/>
        <w:jc w:val="both"/>
        <w:rPr>
          <w:rFonts w:ascii="Book Antiqua" w:hAnsi="Book Antiqua"/>
        </w:rPr>
      </w:pPr>
      <w:r w:rsidRPr="00EF0C14">
        <w:rPr>
          <w:rFonts w:ascii="Book Antiqua" w:hAnsi="Book Antiqua"/>
        </w:rPr>
        <w:t>Sección 4</w:t>
      </w:r>
      <w:r>
        <w:rPr>
          <w:rFonts w:ascii="Book Antiqua" w:hAnsi="Book Antiqua"/>
        </w:rPr>
        <w:t>.</w:t>
      </w:r>
      <w:r w:rsidRPr="00EF0C14">
        <w:rPr>
          <w:rFonts w:ascii="Book Antiqua" w:hAnsi="Book Antiqua"/>
        </w:rPr>
        <w:t xml:space="preserve">- </w:t>
      </w:r>
      <w:r w:rsidR="00CA69B0">
        <w:rPr>
          <w:rFonts w:ascii="Book Antiqua" w:hAnsi="Book Antiqua"/>
        </w:rPr>
        <w:t>Departamento de Salud – Plan para implementar la Ley.</w:t>
      </w:r>
    </w:p>
    <w:p w14:paraId="7076F52F" w14:textId="77777777" w:rsidR="003B118B" w:rsidRPr="003B118B" w:rsidRDefault="003B118B" w:rsidP="003B118B">
      <w:pPr>
        <w:spacing w:line="480" w:lineRule="auto"/>
        <w:ind w:firstLine="360"/>
        <w:jc w:val="both"/>
        <w:rPr>
          <w:rFonts w:ascii="Book Antiqua" w:hAnsi="Book Antiqua"/>
        </w:rPr>
      </w:pPr>
      <w:r w:rsidRPr="003B118B">
        <w:rPr>
          <w:rFonts w:ascii="Book Antiqua" w:hAnsi="Book Antiqua"/>
        </w:rPr>
        <w:t xml:space="preserve">El Departamento de Salud de Puerto Rico, en coordinación con </w:t>
      </w:r>
      <w:r w:rsidR="00876DD4">
        <w:rPr>
          <w:rFonts w:ascii="Book Antiqua" w:hAnsi="Book Antiqua"/>
        </w:rPr>
        <w:t xml:space="preserve">la Junta de Instituciones Postsecundarias (JIP), adscrita al Departamento de Estado </w:t>
      </w:r>
      <w:r w:rsidRPr="003B118B">
        <w:rPr>
          <w:rFonts w:ascii="Book Antiqua" w:hAnsi="Book Antiqua"/>
        </w:rPr>
        <w:t>y las juntas examinadoras de profesionales de la salud, será responsable de desarrollar un plan integral para la implementación de las disposiciones de esta Ley. Dicho plan deberá incluir, entre otros, los siguientes elementos:</w:t>
      </w:r>
    </w:p>
    <w:p w14:paraId="156E2EB5" w14:textId="77777777" w:rsidR="003B118B" w:rsidRPr="003B118B" w:rsidRDefault="003B118B" w:rsidP="003B118B">
      <w:pPr>
        <w:spacing w:line="480" w:lineRule="auto"/>
        <w:ind w:firstLine="360"/>
        <w:jc w:val="both"/>
        <w:rPr>
          <w:rFonts w:ascii="Book Antiqua" w:hAnsi="Book Antiqua"/>
        </w:rPr>
      </w:pPr>
      <w:r w:rsidRPr="003B118B">
        <w:rPr>
          <w:rFonts w:ascii="Book Antiqua" w:hAnsi="Book Antiqua"/>
        </w:rPr>
        <w:t>(a) Establecer como marco de referencia los objetivos de política pública contenidos en esta Ley, delineando metas específicas, estrategias operacionales y un calendario de ejecución para su cumplimiento efectivo.</w:t>
      </w:r>
    </w:p>
    <w:p w14:paraId="5533CEE0" w14:textId="77777777" w:rsidR="003B118B" w:rsidRPr="003B118B" w:rsidRDefault="003B118B" w:rsidP="003B118B">
      <w:pPr>
        <w:spacing w:line="480" w:lineRule="auto"/>
        <w:ind w:firstLine="360"/>
        <w:jc w:val="both"/>
        <w:rPr>
          <w:rFonts w:ascii="Book Antiqua" w:hAnsi="Book Antiqua"/>
        </w:rPr>
      </w:pPr>
      <w:r w:rsidRPr="003B118B">
        <w:rPr>
          <w:rFonts w:ascii="Book Antiqua" w:hAnsi="Book Antiqua"/>
        </w:rPr>
        <w:t>(b) Realizar un análisis detallado de los currículos actuales en las escuelas de medicina y otras disciplinas de salud pertinentes, considerando los requisitos y estándares de las agencias acreditadoras correspondientes, con miras a integrar contenidos especializados en geriatría y gerontología.</w:t>
      </w:r>
    </w:p>
    <w:p w14:paraId="26C2CB6D" w14:textId="77777777" w:rsidR="003B118B" w:rsidRPr="003B118B" w:rsidRDefault="003B118B" w:rsidP="003B118B">
      <w:pPr>
        <w:spacing w:line="480" w:lineRule="auto"/>
        <w:ind w:firstLine="360"/>
        <w:jc w:val="both"/>
        <w:rPr>
          <w:rFonts w:ascii="Book Antiqua" w:hAnsi="Book Antiqua"/>
        </w:rPr>
      </w:pPr>
      <w:r w:rsidRPr="003B118B">
        <w:rPr>
          <w:rFonts w:ascii="Book Antiqua" w:hAnsi="Book Antiqua"/>
        </w:rPr>
        <w:t>(c) Levantar un inventario actualizado de las residencias médicas disponibles en geriatría, incluyendo su localización geográfica, la cantidad de solicitudes recibidas anualmente, el número de estudiantes que completan dichas residencias y su retención en Puerto Rico tras culminar su formación.</w:t>
      </w:r>
    </w:p>
    <w:p w14:paraId="24F819A9" w14:textId="77777777" w:rsidR="003B118B" w:rsidRPr="003B118B" w:rsidRDefault="003B118B" w:rsidP="005C23A0">
      <w:pPr>
        <w:spacing w:line="456" w:lineRule="auto"/>
        <w:ind w:firstLine="360"/>
        <w:jc w:val="both"/>
        <w:rPr>
          <w:rFonts w:ascii="Book Antiqua" w:hAnsi="Book Antiqua"/>
        </w:rPr>
      </w:pPr>
      <w:r w:rsidRPr="003B118B">
        <w:rPr>
          <w:rFonts w:ascii="Book Antiqua" w:hAnsi="Book Antiqua"/>
        </w:rPr>
        <w:lastRenderedPageBreak/>
        <w:t>(d) Promover la capacitación continua del personal profesional que labora en agencias del Gobierno de Puerto Rico que prestan servicios directos a la población adulta mayor, a fin de fortalecer su preparación y sensibilidad ante las particularidades de este grupo demográfico.</w:t>
      </w:r>
    </w:p>
    <w:p w14:paraId="480BE59E" w14:textId="77777777" w:rsidR="003B118B" w:rsidRPr="003B118B" w:rsidRDefault="003B118B" w:rsidP="005C23A0">
      <w:pPr>
        <w:spacing w:line="456" w:lineRule="auto"/>
        <w:ind w:firstLine="360"/>
        <w:jc w:val="both"/>
        <w:rPr>
          <w:rFonts w:ascii="Book Antiqua" w:hAnsi="Book Antiqua"/>
        </w:rPr>
      </w:pPr>
      <w:r w:rsidRPr="003B118B">
        <w:rPr>
          <w:rFonts w:ascii="Book Antiqua" w:hAnsi="Book Antiqua"/>
        </w:rPr>
        <w:t>(e) Colaborar estrechamente con las instituciones académicas para proponer e integrar temas específicos en los programas de educación continua dirigidos a profesionales de la salud, incluyendo —sin limitarse a— los aspectos biológicos, psicológicos y sociales del envejecimiento.</w:t>
      </w:r>
    </w:p>
    <w:p w14:paraId="68FEBE2E" w14:textId="6FA2DEBA" w:rsidR="003B118B" w:rsidRDefault="003B118B" w:rsidP="005C23A0">
      <w:pPr>
        <w:spacing w:line="456" w:lineRule="auto"/>
        <w:ind w:firstLine="360"/>
        <w:jc w:val="both"/>
        <w:rPr>
          <w:rFonts w:ascii="Book Antiqua" w:hAnsi="Book Antiqua"/>
        </w:rPr>
      </w:pPr>
      <w:r w:rsidRPr="003B118B">
        <w:rPr>
          <w:rFonts w:ascii="Book Antiqua" w:hAnsi="Book Antiqua"/>
        </w:rPr>
        <w:t>(f) Respaldar institucionalmente a la Universidad de Puerto Rico</w:t>
      </w:r>
      <w:r w:rsidR="00DE7EFA">
        <w:rPr>
          <w:rFonts w:ascii="Book Antiqua" w:hAnsi="Book Antiqua"/>
        </w:rPr>
        <w:t xml:space="preserve">, </w:t>
      </w:r>
      <w:r w:rsidR="00DE7EFA">
        <w:rPr>
          <w:rFonts w:ascii="Book Antiqua" w:hAnsi="Book Antiqua"/>
          <w:i/>
          <w:iCs/>
          <w:u w:val="single"/>
        </w:rPr>
        <w:t>y a cualquier otra institución académica,</w:t>
      </w:r>
      <w:r w:rsidRPr="003B118B">
        <w:rPr>
          <w:rFonts w:ascii="Book Antiqua" w:hAnsi="Book Antiqua"/>
        </w:rPr>
        <w:t xml:space="preserve"> en los esfuerzos de promoción, fortalecimiento y expansión de los programas académicos en geriatría y gerontología, reconociendo su rol protagónico en la formación de profesionales en estas áreas clave para</w:t>
      </w:r>
      <w:r>
        <w:rPr>
          <w:rFonts w:ascii="Book Antiqua" w:hAnsi="Book Antiqua"/>
        </w:rPr>
        <w:t xml:space="preserve"> nuestra jurisdicción.</w:t>
      </w:r>
    </w:p>
    <w:p w14:paraId="1B4296E4" w14:textId="77777777" w:rsidR="00EF0C14" w:rsidRDefault="00EF0C14" w:rsidP="005C23A0">
      <w:pPr>
        <w:spacing w:line="456" w:lineRule="auto"/>
        <w:ind w:firstLine="360"/>
        <w:jc w:val="both"/>
        <w:rPr>
          <w:rFonts w:ascii="Book Antiqua" w:hAnsi="Book Antiqua"/>
        </w:rPr>
      </w:pPr>
      <w:r w:rsidRPr="00EF0C14">
        <w:rPr>
          <w:rFonts w:ascii="Book Antiqua" w:hAnsi="Book Antiqua"/>
        </w:rPr>
        <w:t>Sección 5</w:t>
      </w:r>
      <w:r>
        <w:rPr>
          <w:rFonts w:ascii="Book Antiqua" w:hAnsi="Book Antiqua"/>
        </w:rPr>
        <w:t>.</w:t>
      </w:r>
      <w:r w:rsidRPr="00EF0C14">
        <w:rPr>
          <w:rFonts w:ascii="Book Antiqua" w:hAnsi="Book Antiqua"/>
        </w:rPr>
        <w:t xml:space="preserve">- </w:t>
      </w:r>
      <w:r w:rsidR="007F6BA1">
        <w:rPr>
          <w:rFonts w:ascii="Book Antiqua" w:hAnsi="Book Antiqua"/>
        </w:rPr>
        <w:t>Reglamentación</w:t>
      </w:r>
      <w:r w:rsidR="00A632C8">
        <w:rPr>
          <w:rFonts w:ascii="Book Antiqua" w:hAnsi="Book Antiqua"/>
        </w:rPr>
        <w:t>.</w:t>
      </w:r>
    </w:p>
    <w:p w14:paraId="33B253E5" w14:textId="77777777" w:rsidR="007F6BA1" w:rsidRDefault="007F6BA1" w:rsidP="005C23A0">
      <w:pPr>
        <w:spacing w:line="456" w:lineRule="auto"/>
        <w:ind w:firstLine="360"/>
        <w:jc w:val="both"/>
        <w:rPr>
          <w:rFonts w:ascii="Book Antiqua" w:hAnsi="Book Antiqua"/>
        </w:rPr>
      </w:pPr>
      <w:r w:rsidRPr="007F6BA1">
        <w:rPr>
          <w:rFonts w:ascii="Book Antiqua" w:hAnsi="Book Antiqua"/>
        </w:rPr>
        <w:t>Las agencias concernidas deberán adoptar la reglamentación necesaria para cumplir con los propósitos de esta Ley en un término no mayor de ciento ochenta (180) días a partir de su aprobación.</w:t>
      </w:r>
    </w:p>
    <w:p w14:paraId="295D18D7" w14:textId="77777777" w:rsidR="007F6BA1" w:rsidRDefault="00EF0C14" w:rsidP="005C23A0">
      <w:pPr>
        <w:spacing w:line="456" w:lineRule="auto"/>
        <w:ind w:firstLine="360"/>
        <w:jc w:val="both"/>
        <w:rPr>
          <w:rFonts w:ascii="Book Antiqua" w:hAnsi="Book Antiqua"/>
        </w:rPr>
      </w:pPr>
      <w:r>
        <w:rPr>
          <w:rFonts w:ascii="Book Antiqua" w:hAnsi="Book Antiqua"/>
        </w:rPr>
        <w:t xml:space="preserve">Sección 6.- </w:t>
      </w:r>
      <w:r w:rsidR="007F6BA1">
        <w:rPr>
          <w:rFonts w:ascii="Book Antiqua" w:hAnsi="Book Antiqua"/>
        </w:rPr>
        <w:t>Vigencia.</w:t>
      </w:r>
    </w:p>
    <w:p w14:paraId="246A8D35" w14:textId="77777777" w:rsidR="00A02C1F" w:rsidRDefault="00A02C1F" w:rsidP="005C23A0">
      <w:pPr>
        <w:spacing w:line="456" w:lineRule="auto"/>
        <w:ind w:firstLine="360"/>
        <w:jc w:val="both"/>
        <w:rPr>
          <w:rFonts w:ascii="Book Antiqua" w:hAnsi="Book Antiqua"/>
        </w:rPr>
      </w:pPr>
      <w:r w:rsidRPr="00A02C1F">
        <w:rPr>
          <w:rFonts w:ascii="Book Antiqua" w:hAnsi="Book Antiqua"/>
        </w:rPr>
        <w:t xml:space="preserve">Esta Ley </w:t>
      </w:r>
      <w:r w:rsidR="006717C2">
        <w:rPr>
          <w:rFonts w:ascii="Book Antiqua" w:hAnsi="Book Antiqua"/>
        </w:rPr>
        <w:t xml:space="preserve">tendrá vigencia </w:t>
      </w:r>
      <w:r w:rsidR="006717C2" w:rsidRPr="00A02C1F">
        <w:rPr>
          <w:rFonts w:ascii="Book Antiqua" w:hAnsi="Book Antiqua"/>
        </w:rPr>
        <w:t>inmediatamente</w:t>
      </w:r>
      <w:r w:rsidRPr="00A02C1F">
        <w:rPr>
          <w:rFonts w:ascii="Book Antiqua" w:hAnsi="Book Antiqua"/>
        </w:rPr>
        <w:t xml:space="preserve"> después de su aprobación.</w:t>
      </w:r>
    </w:p>
    <w:sectPr w:rsidR="00A02C1F" w:rsidSect="00E5509D">
      <w:headerReference w:type="even" r:id="rId14"/>
      <w:headerReference w:type="default" r:id="rId1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F04CD" w14:textId="77777777" w:rsidR="00F922A6" w:rsidRDefault="00F922A6" w:rsidP="00B236B4">
      <w:r>
        <w:separator/>
      </w:r>
    </w:p>
  </w:endnote>
  <w:endnote w:type="continuationSeparator" w:id="0">
    <w:p w14:paraId="35A6805B" w14:textId="77777777" w:rsidR="00F922A6" w:rsidRDefault="00F922A6" w:rsidP="00B23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817B6" w14:textId="77777777" w:rsidR="00F922A6" w:rsidRDefault="00F922A6" w:rsidP="00B236B4">
      <w:r>
        <w:separator/>
      </w:r>
    </w:p>
  </w:footnote>
  <w:footnote w:type="continuationSeparator" w:id="0">
    <w:p w14:paraId="4AE2CB36" w14:textId="77777777" w:rsidR="00F922A6" w:rsidRDefault="00F922A6" w:rsidP="00B23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FD184" w14:textId="77777777" w:rsidR="00BD765D" w:rsidRDefault="00BD765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28FA3" w14:textId="77777777" w:rsidR="00D03620" w:rsidRPr="00D03620" w:rsidRDefault="00D03620" w:rsidP="00D03620">
    <w:pPr>
      <w:keepNext/>
      <w:widowControl w:val="0"/>
      <w:suppressLineNumbers/>
      <w:tabs>
        <w:tab w:val="center" w:pos="4320"/>
        <w:tab w:val="right" w:pos="8640"/>
      </w:tabs>
      <w:autoSpaceDE w:val="0"/>
      <w:autoSpaceDN w:val="0"/>
      <w:adjustRightInd w:val="0"/>
      <w:jc w:val="center"/>
      <w:rPr>
        <w:rFonts w:ascii="Book Antiqua" w:eastAsia="Calibri" w:hAnsi="Book Antiqua"/>
        <w:b/>
        <w:lang w:val="es-ES"/>
      </w:rPr>
    </w:pPr>
    <w:bookmarkStart w:id="0" w:name="_Hlk36034857"/>
    <w:r w:rsidRPr="00D03620">
      <w:rPr>
        <w:rFonts w:ascii="Book Antiqua" w:eastAsia="MS Mincho" w:hAnsi="Book Antiqua"/>
        <w:b/>
      </w:rPr>
      <w:t>TEXTO APROBADO EN VOTACIÓN FINAL POR EL SENADO</w:t>
    </w:r>
  </w:p>
  <w:p w14:paraId="461CC8CB" w14:textId="77777777" w:rsidR="00D03620" w:rsidRPr="00D03620" w:rsidRDefault="00D03620" w:rsidP="00D03620">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lang w:val="en-US"/>
      </w:rPr>
    </w:pPr>
    <w:r w:rsidRPr="00D03620">
      <w:rPr>
        <w:rFonts w:ascii="Book Antiqua" w:eastAsia="MS Mincho" w:hAnsi="Book Antiqua"/>
        <w:b/>
        <w:lang w:val="en-US"/>
      </w:rPr>
      <w:t>(2 DE JUNIO DE 2025)</w:t>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674633" w:rsidRPr="00520394" w:rsidRDefault="00674633">
    <w:pPr>
      <w:pStyle w:val="Header"/>
      <w:framePr w:wrap="around" w:vAnchor="text" w:hAnchor="margin" w:xAlign="center" w:y="1"/>
      <w:rPr>
        <w:rStyle w:val="PageNumber"/>
      </w:rPr>
    </w:pPr>
    <w:r w:rsidRPr="00520394">
      <w:rPr>
        <w:rStyle w:val="PageNumber"/>
      </w:rPr>
      <w:fldChar w:fldCharType="begin"/>
    </w:r>
    <w:r w:rsidRPr="00520394">
      <w:rPr>
        <w:rStyle w:val="PageNumber"/>
      </w:rPr>
      <w:instrText xml:space="preserve">PAGE  </w:instrText>
    </w:r>
    <w:r w:rsidRPr="00520394">
      <w:rPr>
        <w:rStyle w:val="PageNumber"/>
      </w:rPr>
      <w:fldChar w:fldCharType="end"/>
    </w:r>
  </w:p>
  <w:p w14:paraId="049F31CB" w14:textId="77777777" w:rsidR="00674633" w:rsidRDefault="0067463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8C178" w14:textId="77777777" w:rsidR="00674633" w:rsidRPr="00520394" w:rsidRDefault="00674633">
    <w:pPr>
      <w:pStyle w:val="Header"/>
      <w:framePr w:wrap="around" w:vAnchor="text" w:hAnchor="margin" w:xAlign="center" w:y="1"/>
      <w:rPr>
        <w:rStyle w:val="PageNumber"/>
      </w:rPr>
    </w:pPr>
    <w:r w:rsidRPr="00520394">
      <w:rPr>
        <w:rStyle w:val="PageNumber"/>
      </w:rPr>
      <w:fldChar w:fldCharType="begin"/>
    </w:r>
    <w:r w:rsidRPr="00520394">
      <w:rPr>
        <w:rStyle w:val="PageNumber"/>
      </w:rPr>
      <w:instrText xml:space="preserve">PAGE  </w:instrText>
    </w:r>
    <w:r w:rsidRPr="00520394">
      <w:rPr>
        <w:rStyle w:val="PageNumber"/>
      </w:rPr>
      <w:fldChar w:fldCharType="separate"/>
    </w:r>
    <w:r w:rsidRPr="00520394">
      <w:rPr>
        <w:rStyle w:val="PageNumber"/>
        <w:noProof/>
      </w:rPr>
      <w:t>6</w:t>
    </w:r>
    <w:r w:rsidRPr="00520394">
      <w:rPr>
        <w:rStyle w:val="PageNumber"/>
      </w:rPr>
      <w:fldChar w:fldCharType="end"/>
    </w:r>
  </w:p>
  <w:p w14:paraId="3DEEC669" w14:textId="77777777" w:rsidR="00674633" w:rsidRDefault="006746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8184E"/>
    <w:multiLevelType w:val="hybridMultilevel"/>
    <w:tmpl w:val="606A253C"/>
    <w:lvl w:ilvl="0" w:tplc="B19C48C6">
      <w:start w:val="1"/>
      <w:numFmt w:val="lowerLetter"/>
      <w:lvlText w:val="(%1)"/>
      <w:lvlJc w:val="left"/>
      <w:pPr>
        <w:ind w:left="1800" w:hanging="360"/>
      </w:pPr>
      <w:rPr>
        <w:rFonts w:hint="default"/>
        <w:i/>
        <w:iCs/>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 w15:restartNumberingAfterBreak="0">
    <w:nsid w:val="43886BC1"/>
    <w:multiLevelType w:val="hybridMultilevel"/>
    <w:tmpl w:val="F00C7B24"/>
    <w:lvl w:ilvl="0" w:tplc="7D882E4E">
      <w:start w:val="1"/>
      <w:numFmt w:val="lowerLetter"/>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EF1230"/>
    <w:multiLevelType w:val="hybridMultilevel"/>
    <w:tmpl w:val="E9D2AF30"/>
    <w:lvl w:ilvl="0" w:tplc="533A5E8C">
      <w:start w:val="1"/>
      <w:numFmt w:val="lowerLetter"/>
      <w:lvlText w:val="(%1)"/>
      <w:lvlJc w:val="left"/>
      <w:pPr>
        <w:ind w:left="720" w:hanging="360"/>
      </w:pPr>
      <w:rPr>
        <w:rFonts w:ascii="Book Antiqua" w:eastAsia="Times New Roman" w:hAnsi="Book Antiqu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9E245F"/>
    <w:multiLevelType w:val="hybridMultilevel"/>
    <w:tmpl w:val="7572178C"/>
    <w:lvl w:ilvl="0" w:tplc="4B74F3A4">
      <w:start w:val="1"/>
      <w:numFmt w:val="lowerLetter"/>
      <w:lvlText w:val="(%1)"/>
      <w:lvlJc w:val="left"/>
      <w:pPr>
        <w:ind w:left="1800" w:hanging="360"/>
      </w:pPr>
      <w:rPr>
        <w:rFonts w:hint="default"/>
        <w:i w:val="0"/>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4" w15:restartNumberingAfterBreak="0">
    <w:nsid w:val="558756F4"/>
    <w:multiLevelType w:val="hybridMultilevel"/>
    <w:tmpl w:val="06961F58"/>
    <w:lvl w:ilvl="0" w:tplc="2996B98E">
      <w:start w:val="1"/>
      <w:numFmt w:val="lowerRoman"/>
      <w:lvlText w:val="(%1)"/>
      <w:lvlJc w:val="left"/>
      <w:pPr>
        <w:ind w:left="2160" w:hanging="72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5" w15:restartNumberingAfterBreak="0">
    <w:nsid w:val="66701A0D"/>
    <w:multiLevelType w:val="hybridMultilevel"/>
    <w:tmpl w:val="BA4A3B32"/>
    <w:lvl w:ilvl="0" w:tplc="4B12649A">
      <w:start w:val="1"/>
      <w:numFmt w:val="lowerLetter"/>
      <w:lvlText w:val="(%1)"/>
      <w:lvlJc w:val="left"/>
      <w:pPr>
        <w:ind w:left="1800" w:hanging="360"/>
      </w:pPr>
      <w:rPr>
        <w:rFonts w:ascii="Book Antiqua" w:hAnsi="Book Antiqua" w:hint="default"/>
        <w:color w:val="000000"/>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6" w15:restartNumberingAfterBreak="0">
    <w:nsid w:val="6B7E0221"/>
    <w:multiLevelType w:val="hybridMultilevel"/>
    <w:tmpl w:val="CA7EDB3E"/>
    <w:lvl w:ilvl="0" w:tplc="04090001">
      <w:start w:val="1"/>
      <w:numFmt w:val="bullet"/>
      <w:lvlText w:val=""/>
      <w:lvlJc w:val="left"/>
      <w:pPr>
        <w:ind w:left="1135" w:hanging="360"/>
      </w:pPr>
      <w:rPr>
        <w:rFonts w:ascii="Symbol" w:hAnsi="Symbol" w:hint="default"/>
      </w:rPr>
    </w:lvl>
    <w:lvl w:ilvl="1" w:tplc="04090003" w:tentative="1">
      <w:start w:val="1"/>
      <w:numFmt w:val="bullet"/>
      <w:lvlText w:val="o"/>
      <w:lvlJc w:val="left"/>
      <w:pPr>
        <w:ind w:left="1855" w:hanging="360"/>
      </w:pPr>
      <w:rPr>
        <w:rFonts w:ascii="Courier New" w:hAnsi="Courier New" w:cs="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cs="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cs="Courier New" w:hint="default"/>
      </w:rPr>
    </w:lvl>
    <w:lvl w:ilvl="8" w:tplc="04090005" w:tentative="1">
      <w:start w:val="1"/>
      <w:numFmt w:val="bullet"/>
      <w:lvlText w:val=""/>
      <w:lvlJc w:val="left"/>
      <w:pPr>
        <w:ind w:left="6895" w:hanging="360"/>
      </w:pPr>
      <w:rPr>
        <w:rFonts w:ascii="Wingdings" w:hAnsi="Wingdings" w:hint="default"/>
      </w:rPr>
    </w:lvl>
  </w:abstractNum>
  <w:num w:numId="1" w16cid:durableId="819006328">
    <w:abstractNumId w:val="5"/>
  </w:num>
  <w:num w:numId="2" w16cid:durableId="921718692">
    <w:abstractNumId w:val="3"/>
  </w:num>
  <w:num w:numId="3" w16cid:durableId="2067100255">
    <w:abstractNumId w:val="4"/>
  </w:num>
  <w:num w:numId="4" w16cid:durableId="1867670990">
    <w:abstractNumId w:val="0"/>
  </w:num>
  <w:num w:numId="5" w16cid:durableId="1836611036">
    <w:abstractNumId w:val="6"/>
  </w:num>
  <w:num w:numId="6" w16cid:durableId="1212645017">
    <w:abstractNumId w:val="2"/>
  </w:num>
  <w:num w:numId="7" w16cid:durableId="1158789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231"/>
    <w:rsid w:val="00003723"/>
    <w:rsid w:val="000527B9"/>
    <w:rsid w:val="000536A8"/>
    <w:rsid w:val="00082256"/>
    <w:rsid w:val="00082C60"/>
    <w:rsid w:val="00085F7A"/>
    <w:rsid w:val="000B53D5"/>
    <w:rsid w:val="0011556C"/>
    <w:rsid w:val="001206B4"/>
    <w:rsid w:val="001346E8"/>
    <w:rsid w:val="001448C5"/>
    <w:rsid w:val="00164C19"/>
    <w:rsid w:val="00177899"/>
    <w:rsid w:val="001A08C3"/>
    <w:rsid w:val="001B19BF"/>
    <w:rsid w:val="001F3BF0"/>
    <w:rsid w:val="001F7191"/>
    <w:rsid w:val="002268F0"/>
    <w:rsid w:val="00260D05"/>
    <w:rsid w:val="002D40B6"/>
    <w:rsid w:val="002D4936"/>
    <w:rsid w:val="00314428"/>
    <w:rsid w:val="00327A67"/>
    <w:rsid w:val="003371F7"/>
    <w:rsid w:val="00360040"/>
    <w:rsid w:val="003A7038"/>
    <w:rsid w:val="003A788E"/>
    <w:rsid w:val="003B118B"/>
    <w:rsid w:val="003B20DD"/>
    <w:rsid w:val="003B717E"/>
    <w:rsid w:val="003D02BD"/>
    <w:rsid w:val="003F7372"/>
    <w:rsid w:val="0041493C"/>
    <w:rsid w:val="00437D94"/>
    <w:rsid w:val="00443379"/>
    <w:rsid w:val="004A4D51"/>
    <w:rsid w:val="004C4AB5"/>
    <w:rsid w:val="004F7751"/>
    <w:rsid w:val="00520394"/>
    <w:rsid w:val="005B4E06"/>
    <w:rsid w:val="005C23A0"/>
    <w:rsid w:val="005C3FAE"/>
    <w:rsid w:val="005F412C"/>
    <w:rsid w:val="00602910"/>
    <w:rsid w:val="00606192"/>
    <w:rsid w:val="006423E4"/>
    <w:rsid w:val="006456B8"/>
    <w:rsid w:val="006717C2"/>
    <w:rsid w:val="00674633"/>
    <w:rsid w:val="00683444"/>
    <w:rsid w:val="0069344C"/>
    <w:rsid w:val="00693C87"/>
    <w:rsid w:val="006A7295"/>
    <w:rsid w:val="006D1AA8"/>
    <w:rsid w:val="006F54FA"/>
    <w:rsid w:val="0072408A"/>
    <w:rsid w:val="007501B0"/>
    <w:rsid w:val="007B674E"/>
    <w:rsid w:val="007E45DC"/>
    <w:rsid w:val="007F2547"/>
    <w:rsid w:val="007F36B3"/>
    <w:rsid w:val="007F6728"/>
    <w:rsid w:val="007F6BA1"/>
    <w:rsid w:val="008004FA"/>
    <w:rsid w:val="00805A3B"/>
    <w:rsid w:val="00810498"/>
    <w:rsid w:val="008279AB"/>
    <w:rsid w:val="0083138B"/>
    <w:rsid w:val="008322E7"/>
    <w:rsid w:val="008433AF"/>
    <w:rsid w:val="0084671E"/>
    <w:rsid w:val="0087021E"/>
    <w:rsid w:val="008724CC"/>
    <w:rsid w:val="008764F6"/>
    <w:rsid w:val="00876DD4"/>
    <w:rsid w:val="00881DFB"/>
    <w:rsid w:val="008C1231"/>
    <w:rsid w:val="008D0656"/>
    <w:rsid w:val="008E3D1B"/>
    <w:rsid w:val="008E4F05"/>
    <w:rsid w:val="009373F0"/>
    <w:rsid w:val="0094134A"/>
    <w:rsid w:val="0094477B"/>
    <w:rsid w:val="00965B0A"/>
    <w:rsid w:val="009739FF"/>
    <w:rsid w:val="009B3482"/>
    <w:rsid w:val="009E6185"/>
    <w:rsid w:val="009F095D"/>
    <w:rsid w:val="00A02C1F"/>
    <w:rsid w:val="00A04B21"/>
    <w:rsid w:val="00A05621"/>
    <w:rsid w:val="00A0786D"/>
    <w:rsid w:val="00A632C8"/>
    <w:rsid w:val="00AB0C55"/>
    <w:rsid w:val="00AB2433"/>
    <w:rsid w:val="00AD13F9"/>
    <w:rsid w:val="00AF37F3"/>
    <w:rsid w:val="00AF7989"/>
    <w:rsid w:val="00B236B4"/>
    <w:rsid w:val="00B23BD2"/>
    <w:rsid w:val="00B60030"/>
    <w:rsid w:val="00B63EAD"/>
    <w:rsid w:val="00B6468B"/>
    <w:rsid w:val="00B64F53"/>
    <w:rsid w:val="00B71485"/>
    <w:rsid w:val="00B733AF"/>
    <w:rsid w:val="00B73770"/>
    <w:rsid w:val="00B74C8C"/>
    <w:rsid w:val="00B81BEE"/>
    <w:rsid w:val="00B858B4"/>
    <w:rsid w:val="00BB42F5"/>
    <w:rsid w:val="00BD765D"/>
    <w:rsid w:val="00C0382F"/>
    <w:rsid w:val="00C25ED8"/>
    <w:rsid w:val="00C47553"/>
    <w:rsid w:val="00C73CE1"/>
    <w:rsid w:val="00C86EA8"/>
    <w:rsid w:val="00C8761D"/>
    <w:rsid w:val="00C9024E"/>
    <w:rsid w:val="00C94971"/>
    <w:rsid w:val="00C94F7E"/>
    <w:rsid w:val="00CA69B0"/>
    <w:rsid w:val="00CE07E4"/>
    <w:rsid w:val="00CF0A35"/>
    <w:rsid w:val="00CF211A"/>
    <w:rsid w:val="00CF22AB"/>
    <w:rsid w:val="00CF3B26"/>
    <w:rsid w:val="00D03620"/>
    <w:rsid w:val="00D20F12"/>
    <w:rsid w:val="00D32CE4"/>
    <w:rsid w:val="00D76549"/>
    <w:rsid w:val="00D80955"/>
    <w:rsid w:val="00D838AF"/>
    <w:rsid w:val="00D84FCF"/>
    <w:rsid w:val="00DA1698"/>
    <w:rsid w:val="00DB555C"/>
    <w:rsid w:val="00DE7EFA"/>
    <w:rsid w:val="00E017CA"/>
    <w:rsid w:val="00E10269"/>
    <w:rsid w:val="00E141D2"/>
    <w:rsid w:val="00E40CD7"/>
    <w:rsid w:val="00E47E3D"/>
    <w:rsid w:val="00E5509D"/>
    <w:rsid w:val="00E758ED"/>
    <w:rsid w:val="00E76A1E"/>
    <w:rsid w:val="00ED7151"/>
    <w:rsid w:val="00EE013F"/>
    <w:rsid w:val="00EE2231"/>
    <w:rsid w:val="00EF0C14"/>
    <w:rsid w:val="00F1225B"/>
    <w:rsid w:val="00F33966"/>
    <w:rsid w:val="00F577D2"/>
    <w:rsid w:val="00F62C01"/>
    <w:rsid w:val="00F637FC"/>
    <w:rsid w:val="00F922A6"/>
    <w:rsid w:val="00FC3D88"/>
    <w:rsid w:val="00FD5F87"/>
    <w:rsid w:val="00FD62E2"/>
    <w:rsid w:val="00FD7918"/>
    <w:rsid w:val="0A865F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8E560"/>
  <w15:chartTrackingRefBased/>
  <w15:docId w15:val="{8406C5EA-7EA1-48FD-B743-032B4750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231"/>
    <w:rPr>
      <w:rFonts w:ascii="Times New Roman" w:eastAsia="Times New Roman" w:hAnsi="Times New Roman"/>
      <w:sz w:val="24"/>
      <w:szCs w:val="24"/>
      <w:lang w:val="es-PR" w:eastAsia="en-US"/>
    </w:rPr>
  </w:style>
  <w:style w:type="paragraph" w:styleId="Heading1">
    <w:name w:val="heading 1"/>
    <w:basedOn w:val="Normal"/>
    <w:next w:val="Normal"/>
    <w:link w:val="Heading1Char"/>
    <w:uiPriority w:val="9"/>
    <w:qFormat/>
    <w:rsid w:val="008C1231"/>
    <w:pPr>
      <w:keepNext/>
      <w:keepLines/>
      <w:spacing w:before="360" w:after="80"/>
      <w:outlineLvl w:val="0"/>
    </w:pPr>
    <w:rPr>
      <w:rFonts w:ascii="Calibri Light" w:hAnsi="Calibri Light"/>
      <w:color w:val="2F5496"/>
      <w:sz w:val="40"/>
      <w:szCs w:val="40"/>
    </w:rPr>
  </w:style>
  <w:style w:type="paragraph" w:styleId="Heading2">
    <w:name w:val="heading 2"/>
    <w:basedOn w:val="Normal"/>
    <w:next w:val="Normal"/>
    <w:link w:val="Heading2Char"/>
    <w:uiPriority w:val="9"/>
    <w:semiHidden/>
    <w:unhideWhenUsed/>
    <w:qFormat/>
    <w:rsid w:val="008C1231"/>
    <w:pPr>
      <w:keepNext/>
      <w:keepLines/>
      <w:spacing w:before="160" w:after="80"/>
      <w:outlineLvl w:val="1"/>
    </w:pPr>
    <w:rPr>
      <w:rFonts w:ascii="Calibri Light" w:hAnsi="Calibri Light"/>
      <w:color w:val="2F5496"/>
      <w:sz w:val="32"/>
      <w:szCs w:val="32"/>
    </w:rPr>
  </w:style>
  <w:style w:type="paragraph" w:styleId="Heading3">
    <w:name w:val="heading 3"/>
    <w:basedOn w:val="Normal"/>
    <w:next w:val="Normal"/>
    <w:link w:val="Heading3Char"/>
    <w:uiPriority w:val="9"/>
    <w:semiHidden/>
    <w:unhideWhenUsed/>
    <w:qFormat/>
    <w:rsid w:val="008C1231"/>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rsid w:val="008C1231"/>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rsid w:val="008C1231"/>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rsid w:val="008C1231"/>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8C1231"/>
    <w:pPr>
      <w:keepNext/>
      <w:keepLines/>
      <w:spacing w:before="40"/>
      <w:outlineLvl w:val="6"/>
    </w:pPr>
    <w:rPr>
      <w:color w:val="595959"/>
    </w:rPr>
  </w:style>
  <w:style w:type="paragraph" w:styleId="Heading8">
    <w:name w:val="heading 8"/>
    <w:basedOn w:val="Normal"/>
    <w:next w:val="Normal"/>
    <w:link w:val="Heading8Char"/>
    <w:uiPriority w:val="9"/>
    <w:semiHidden/>
    <w:unhideWhenUsed/>
    <w:qFormat/>
    <w:rsid w:val="008C1231"/>
    <w:pPr>
      <w:keepNext/>
      <w:keepLines/>
      <w:outlineLvl w:val="7"/>
    </w:pPr>
    <w:rPr>
      <w:i/>
      <w:iCs/>
      <w:color w:val="272727"/>
    </w:rPr>
  </w:style>
  <w:style w:type="paragraph" w:styleId="Heading9">
    <w:name w:val="heading 9"/>
    <w:basedOn w:val="Normal"/>
    <w:next w:val="Normal"/>
    <w:link w:val="Heading9Char"/>
    <w:uiPriority w:val="9"/>
    <w:semiHidden/>
    <w:unhideWhenUsed/>
    <w:qFormat/>
    <w:rsid w:val="008C1231"/>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C1231"/>
    <w:rPr>
      <w:rFonts w:ascii="Calibri Light" w:eastAsia="Times New Roman" w:hAnsi="Calibri Light" w:cs="Times New Roman"/>
      <w:color w:val="2F5496"/>
      <w:sz w:val="40"/>
      <w:szCs w:val="40"/>
      <w:lang w:val="es-ES_tradnl"/>
    </w:rPr>
  </w:style>
  <w:style w:type="character" w:customStyle="1" w:styleId="Heading2Char">
    <w:name w:val="Heading 2 Char"/>
    <w:link w:val="Heading2"/>
    <w:uiPriority w:val="9"/>
    <w:semiHidden/>
    <w:rsid w:val="008C1231"/>
    <w:rPr>
      <w:rFonts w:ascii="Calibri Light" w:eastAsia="Times New Roman" w:hAnsi="Calibri Light" w:cs="Times New Roman"/>
      <w:color w:val="2F5496"/>
      <w:sz w:val="32"/>
      <w:szCs w:val="32"/>
      <w:lang w:val="es-ES_tradnl"/>
    </w:rPr>
  </w:style>
  <w:style w:type="character" w:customStyle="1" w:styleId="Heading3Char">
    <w:name w:val="Heading 3 Char"/>
    <w:link w:val="Heading3"/>
    <w:uiPriority w:val="9"/>
    <w:semiHidden/>
    <w:rsid w:val="008C1231"/>
    <w:rPr>
      <w:rFonts w:eastAsia="Times New Roman" w:cs="Times New Roman"/>
      <w:color w:val="2F5496"/>
      <w:sz w:val="28"/>
      <w:szCs w:val="28"/>
      <w:lang w:val="es-ES_tradnl"/>
    </w:rPr>
  </w:style>
  <w:style w:type="character" w:customStyle="1" w:styleId="Heading4Char">
    <w:name w:val="Heading 4 Char"/>
    <w:link w:val="Heading4"/>
    <w:uiPriority w:val="9"/>
    <w:semiHidden/>
    <w:rsid w:val="008C1231"/>
    <w:rPr>
      <w:rFonts w:eastAsia="Times New Roman" w:cs="Times New Roman"/>
      <w:i/>
      <w:iCs/>
      <w:color w:val="2F5496"/>
      <w:lang w:val="es-ES_tradnl"/>
    </w:rPr>
  </w:style>
  <w:style w:type="character" w:customStyle="1" w:styleId="Heading5Char">
    <w:name w:val="Heading 5 Char"/>
    <w:link w:val="Heading5"/>
    <w:uiPriority w:val="9"/>
    <w:semiHidden/>
    <w:rsid w:val="008C1231"/>
    <w:rPr>
      <w:rFonts w:eastAsia="Times New Roman" w:cs="Times New Roman"/>
      <w:color w:val="2F5496"/>
      <w:lang w:val="es-ES_tradnl"/>
    </w:rPr>
  </w:style>
  <w:style w:type="character" w:customStyle="1" w:styleId="Heading6Char">
    <w:name w:val="Heading 6 Char"/>
    <w:link w:val="Heading6"/>
    <w:uiPriority w:val="9"/>
    <w:semiHidden/>
    <w:rsid w:val="008C1231"/>
    <w:rPr>
      <w:rFonts w:eastAsia="Times New Roman" w:cs="Times New Roman"/>
      <w:i/>
      <w:iCs/>
      <w:color w:val="595959"/>
      <w:lang w:val="es-ES_tradnl"/>
    </w:rPr>
  </w:style>
  <w:style w:type="character" w:customStyle="1" w:styleId="Heading7Char">
    <w:name w:val="Heading 7 Char"/>
    <w:link w:val="Heading7"/>
    <w:uiPriority w:val="9"/>
    <w:semiHidden/>
    <w:rsid w:val="008C1231"/>
    <w:rPr>
      <w:rFonts w:eastAsia="Times New Roman" w:cs="Times New Roman"/>
      <w:color w:val="595959"/>
      <w:lang w:val="es-ES_tradnl"/>
    </w:rPr>
  </w:style>
  <w:style w:type="character" w:customStyle="1" w:styleId="Heading8Char">
    <w:name w:val="Heading 8 Char"/>
    <w:link w:val="Heading8"/>
    <w:uiPriority w:val="9"/>
    <w:semiHidden/>
    <w:rsid w:val="008C1231"/>
    <w:rPr>
      <w:rFonts w:eastAsia="Times New Roman" w:cs="Times New Roman"/>
      <w:i/>
      <w:iCs/>
      <w:color w:val="272727"/>
      <w:lang w:val="es-ES_tradnl"/>
    </w:rPr>
  </w:style>
  <w:style w:type="character" w:customStyle="1" w:styleId="Heading9Char">
    <w:name w:val="Heading 9 Char"/>
    <w:link w:val="Heading9"/>
    <w:uiPriority w:val="9"/>
    <w:semiHidden/>
    <w:rsid w:val="008C1231"/>
    <w:rPr>
      <w:rFonts w:eastAsia="Times New Roman" w:cs="Times New Roman"/>
      <w:color w:val="272727"/>
      <w:lang w:val="es-ES_tradnl"/>
    </w:rPr>
  </w:style>
  <w:style w:type="paragraph" w:styleId="Title">
    <w:name w:val="Title"/>
    <w:basedOn w:val="Normal"/>
    <w:next w:val="Normal"/>
    <w:link w:val="TitleChar"/>
    <w:uiPriority w:val="10"/>
    <w:qFormat/>
    <w:rsid w:val="008C1231"/>
    <w:pPr>
      <w:spacing w:after="80"/>
      <w:contextualSpacing/>
    </w:pPr>
    <w:rPr>
      <w:rFonts w:ascii="Calibri Light" w:hAnsi="Calibri Light"/>
      <w:spacing w:val="-10"/>
      <w:kern w:val="28"/>
      <w:sz w:val="56"/>
      <w:szCs w:val="56"/>
    </w:rPr>
  </w:style>
  <w:style w:type="character" w:customStyle="1" w:styleId="TitleChar">
    <w:name w:val="Title Char"/>
    <w:link w:val="Title"/>
    <w:uiPriority w:val="10"/>
    <w:rsid w:val="008C1231"/>
    <w:rPr>
      <w:rFonts w:ascii="Calibri Light" w:eastAsia="Times New Roman" w:hAnsi="Calibri Light" w:cs="Times New Roman"/>
      <w:spacing w:val="-10"/>
      <w:kern w:val="28"/>
      <w:sz w:val="56"/>
      <w:szCs w:val="56"/>
      <w:lang w:val="es-ES_tradnl"/>
    </w:rPr>
  </w:style>
  <w:style w:type="paragraph" w:styleId="Subtitle">
    <w:name w:val="Subtitle"/>
    <w:basedOn w:val="Normal"/>
    <w:next w:val="Normal"/>
    <w:link w:val="SubtitleChar"/>
    <w:uiPriority w:val="11"/>
    <w:qFormat/>
    <w:rsid w:val="008C1231"/>
    <w:pPr>
      <w:numPr>
        <w:ilvl w:val="1"/>
      </w:numPr>
    </w:pPr>
    <w:rPr>
      <w:color w:val="595959"/>
      <w:spacing w:val="15"/>
      <w:sz w:val="28"/>
      <w:szCs w:val="28"/>
    </w:rPr>
  </w:style>
  <w:style w:type="character" w:customStyle="1" w:styleId="SubtitleChar">
    <w:name w:val="Subtitle Char"/>
    <w:link w:val="Subtitle"/>
    <w:uiPriority w:val="11"/>
    <w:rsid w:val="008C1231"/>
    <w:rPr>
      <w:rFonts w:eastAsia="Times New Roman" w:cs="Times New Roman"/>
      <w:color w:val="595959"/>
      <w:spacing w:val="15"/>
      <w:sz w:val="28"/>
      <w:szCs w:val="28"/>
      <w:lang w:val="es-ES_tradnl"/>
    </w:rPr>
  </w:style>
  <w:style w:type="paragraph" w:styleId="Quote">
    <w:name w:val="Quote"/>
    <w:basedOn w:val="Normal"/>
    <w:next w:val="Normal"/>
    <w:link w:val="QuoteChar"/>
    <w:uiPriority w:val="29"/>
    <w:qFormat/>
    <w:rsid w:val="008C1231"/>
    <w:pPr>
      <w:spacing w:before="160"/>
      <w:jc w:val="center"/>
    </w:pPr>
    <w:rPr>
      <w:i/>
      <w:iCs/>
      <w:color w:val="404040"/>
    </w:rPr>
  </w:style>
  <w:style w:type="character" w:customStyle="1" w:styleId="QuoteChar">
    <w:name w:val="Quote Char"/>
    <w:link w:val="Quote"/>
    <w:uiPriority w:val="29"/>
    <w:rsid w:val="008C1231"/>
    <w:rPr>
      <w:i/>
      <w:iCs/>
      <w:color w:val="404040"/>
      <w:lang w:val="es-ES_tradnl"/>
    </w:rPr>
  </w:style>
  <w:style w:type="paragraph" w:styleId="ListParagraph">
    <w:name w:val="List Paragraph"/>
    <w:basedOn w:val="Normal"/>
    <w:uiPriority w:val="34"/>
    <w:qFormat/>
    <w:rsid w:val="008C1231"/>
    <w:pPr>
      <w:ind w:left="720"/>
      <w:contextualSpacing/>
    </w:pPr>
  </w:style>
  <w:style w:type="character" w:styleId="IntenseEmphasis">
    <w:name w:val="Intense Emphasis"/>
    <w:uiPriority w:val="21"/>
    <w:qFormat/>
    <w:rsid w:val="008C1231"/>
    <w:rPr>
      <w:i/>
      <w:iCs/>
      <w:color w:val="2F5496"/>
    </w:rPr>
  </w:style>
  <w:style w:type="paragraph" w:styleId="IntenseQuote">
    <w:name w:val="Intense Quote"/>
    <w:basedOn w:val="Normal"/>
    <w:next w:val="Normal"/>
    <w:link w:val="IntenseQuoteChar"/>
    <w:uiPriority w:val="30"/>
    <w:qFormat/>
    <w:rsid w:val="008C1231"/>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8C1231"/>
    <w:rPr>
      <w:i/>
      <w:iCs/>
      <w:color w:val="2F5496"/>
      <w:lang w:val="es-ES_tradnl"/>
    </w:rPr>
  </w:style>
  <w:style w:type="character" w:styleId="IntenseReference">
    <w:name w:val="Intense Reference"/>
    <w:uiPriority w:val="32"/>
    <w:qFormat/>
    <w:rsid w:val="008C1231"/>
    <w:rPr>
      <w:b/>
      <w:bCs/>
      <w:smallCaps/>
      <w:color w:val="2F5496"/>
      <w:spacing w:val="5"/>
    </w:rPr>
  </w:style>
  <w:style w:type="paragraph" w:styleId="BodyTextIndent">
    <w:name w:val="Body Text Indent"/>
    <w:basedOn w:val="Normal"/>
    <w:link w:val="BodyTextIndentChar"/>
    <w:rsid w:val="008C1231"/>
    <w:pPr>
      <w:ind w:left="720"/>
      <w:jc w:val="both"/>
    </w:pPr>
  </w:style>
  <w:style w:type="character" w:customStyle="1" w:styleId="BodyTextIndentChar">
    <w:name w:val="Body Text Indent Char"/>
    <w:link w:val="BodyTextIndent"/>
    <w:rsid w:val="008C1231"/>
    <w:rPr>
      <w:rFonts w:ascii="Times New Roman" w:eastAsia="Times New Roman" w:hAnsi="Times New Roman" w:cs="Times New Roman"/>
      <w:sz w:val="24"/>
      <w:szCs w:val="24"/>
      <w:lang w:val="es-PR"/>
    </w:rPr>
  </w:style>
  <w:style w:type="paragraph" w:styleId="Header">
    <w:name w:val="header"/>
    <w:basedOn w:val="Normal"/>
    <w:link w:val="HeaderChar"/>
    <w:rsid w:val="008C1231"/>
    <w:pPr>
      <w:tabs>
        <w:tab w:val="center" w:pos="4320"/>
        <w:tab w:val="right" w:pos="8640"/>
      </w:tabs>
    </w:pPr>
  </w:style>
  <w:style w:type="character" w:customStyle="1" w:styleId="HeaderChar">
    <w:name w:val="Header Char"/>
    <w:link w:val="Header"/>
    <w:rsid w:val="008C1231"/>
    <w:rPr>
      <w:rFonts w:ascii="Times New Roman" w:eastAsia="Times New Roman" w:hAnsi="Times New Roman" w:cs="Times New Roman"/>
      <w:sz w:val="24"/>
      <w:szCs w:val="24"/>
      <w:lang w:val="es-PR"/>
    </w:rPr>
  </w:style>
  <w:style w:type="character" w:styleId="PageNumber">
    <w:name w:val="page number"/>
    <w:basedOn w:val="DefaultParagraphFont"/>
    <w:rsid w:val="008C1231"/>
  </w:style>
  <w:style w:type="paragraph" w:customStyle="1" w:styleId="parrafo">
    <w:name w:val="parrafo"/>
    <w:basedOn w:val="Normal"/>
    <w:rsid w:val="008C1231"/>
    <w:pPr>
      <w:spacing w:before="100" w:beforeAutospacing="1" w:after="100" w:afterAutospacing="1"/>
    </w:pPr>
  </w:style>
  <w:style w:type="character" w:styleId="LineNumber">
    <w:name w:val="line number"/>
    <w:basedOn w:val="DefaultParagraphFont"/>
    <w:uiPriority w:val="99"/>
    <w:semiHidden/>
    <w:unhideWhenUsed/>
    <w:rsid w:val="008C1231"/>
  </w:style>
  <w:style w:type="paragraph" w:customStyle="1" w:styleId="Title2">
    <w:name w:val="Title2"/>
    <w:basedOn w:val="Normal"/>
    <w:next w:val="Normal"/>
    <w:rsid w:val="00B236B4"/>
    <w:pPr>
      <w:tabs>
        <w:tab w:val="left" w:pos="648"/>
        <w:tab w:val="right" w:pos="7776"/>
        <w:tab w:val="left" w:pos="7848"/>
      </w:tabs>
    </w:pPr>
    <w:rPr>
      <w:szCs w:val="20"/>
      <w:lang w:val="es-ES_tradnl"/>
    </w:rPr>
  </w:style>
  <w:style w:type="paragraph" w:styleId="FootnoteText">
    <w:name w:val="footnote text"/>
    <w:basedOn w:val="Normal"/>
    <w:link w:val="FootnoteTextChar"/>
    <w:uiPriority w:val="99"/>
    <w:semiHidden/>
    <w:unhideWhenUsed/>
    <w:rsid w:val="00B236B4"/>
    <w:rPr>
      <w:rFonts w:ascii="Calibri" w:eastAsia="Calibri" w:hAnsi="Calibri"/>
      <w:sz w:val="20"/>
      <w:szCs w:val="20"/>
      <w:lang w:val="es-ES_tradnl"/>
    </w:rPr>
  </w:style>
  <w:style w:type="character" w:customStyle="1" w:styleId="FootnoteTextChar">
    <w:name w:val="Footnote Text Char"/>
    <w:link w:val="FootnoteText"/>
    <w:uiPriority w:val="99"/>
    <w:semiHidden/>
    <w:rsid w:val="00B236B4"/>
    <w:rPr>
      <w:sz w:val="20"/>
      <w:szCs w:val="20"/>
      <w:lang w:val="es-ES_tradnl"/>
    </w:rPr>
  </w:style>
  <w:style w:type="character" w:styleId="FootnoteReference">
    <w:name w:val="footnote reference"/>
    <w:uiPriority w:val="99"/>
    <w:semiHidden/>
    <w:unhideWhenUsed/>
    <w:rsid w:val="00B236B4"/>
    <w:rPr>
      <w:vertAlign w:val="superscript"/>
    </w:rPr>
  </w:style>
  <w:style w:type="character" w:styleId="Hyperlink">
    <w:name w:val="Hyperlink"/>
    <w:uiPriority w:val="99"/>
    <w:unhideWhenUsed/>
    <w:rsid w:val="00B236B4"/>
    <w:rPr>
      <w:color w:val="0563C1"/>
      <w:u w:val="single"/>
    </w:rPr>
  </w:style>
  <w:style w:type="paragraph" w:styleId="Footer">
    <w:name w:val="footer"/>
    <w:basedOn w:val="Normal"/>
    <w:link w:val="FooterChar"/>
    <w:uiPriority w:val="99"/>
    <w:unhideWhenUsed/>
    <w:rsid w:val="00437D94"/>
    <w:pPr>
      <w:tabs>
        <w:tab w:val="center" w:pos="4680"/>
        <w:tab w:val="right" w:pos="9360"/>
      </w:tabs>
    </w:pPr>
  </w:style>
  <w:style w:type="character" w:customStyle="1" w:styleId="FooterChar">
    <w:name w:val="Footer Char"/>
    <w:link w:val="Footer"/>
    <w:uiPriority w:val="99"/>
    <w:rsid w:val="00437D94"/>
    <w:rPr>
      <w:rFonts w:ascii="Times New Roman" w:eastAsia="Times New Roman" w:hAnsi="Times New Roman" w:cs="Times New Roman"/>
      <w:sz w:val="24"/>
      <w:szCs w:val="24"/>
      <w:lang w:val="es-PR"/>
    </w:rPr>
  </w:style>
  <w:style w:type="paragraph" w:styleId="BodyText">
    <w:name w:val="Body Text"/>
    <w:basedOn w:val="Normal"/>
    <w:link w:val="BodyTextChar"/>
    <w:uiPriority w:val="99"/>
    <w:semiHidden/>
    <w:unhideWhenUsed/>
    <w:rsid w:val="00EE2231"/>
    <w:pPr>
      <w:spacing w:after="120"/>
    </w:pPr>
  </w:style>
  <w:style w:type="character" w:customStyle="1" w:styleId="BodyTextChar">
    <w:name w:val="Body Text Char"/>
    <w:link w:val="BodyText"/>
    <w:uiPriority w:val="99"/>
    <w:semiHidden/>
    <w:rsid w:val="00EE2231"/>
    <w:rPr>
      <w:rFonts w:ascii="Times New Roman" w:eastAsia="Times New Roman" w:hAnsi="Times New Roman"/>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9243960">
      <w:bodyDiv w:val="1"/>
      <w:marLeft w:val="0"/>
      <w:marRight w:val="0"/>
      <w:marTop w:val="0"/>
      <w:marBottom w:val="0"/>
      <w:divBdr>
        <w:top w:val="none" w:sz="0" w:space="0" w:color="auto"/>
        <w:left w:val="none" w:sz="0" w:space="0" w:color="auto"/>
        <w:bottom w:val="none" w:sz="0" w:space="0" w:color="auto"/>
        <w:right w:val="none" w:sz="0" w:space="0" w:color="auto"/>
      </w:divBdr>
    </w:div>
    <w:div w:id="192919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4.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072948-7BE5-4813-858E-3D59A62401A2}">
  <ds:schemaRefs>
    <ds:schemaRef ds:uri="http://schemas.openxmlformats.org/officeDocument/2006/bibliography"/>
  </ds:schemaRefs>
</ds:datastoreItem>
</file>

<file path=customXml/itemProps2.xml><?xml version="1.0" encoding="utf-8"?>
<ds:datastoreItem xmlns:ds="http://schemas.openxmlformats.org/officeDocument/2006/customXml" ds:itemID="{F70C1549-2AA5-4FF1-8142-ABAC1DC9863D}">
  <ds:schemaRefs>
    <ds:schemaRef ds:uri="http://schemas.microsoft.com/sharepoint/events"/>
  </ds:schemaRefs>
</ds:datastoreItem>
</file>

<file path=customXml/itemProps3.xml><?xml version="1.0" encoding="utf-8"?>
<ds:datastoreItem xmlns:ds="http://schemas.openxmlformats.org/officeDocument/2006/customXml" ds:itemID="{A2CD3A62-5E20-4BD5-8029-8D7F2D58AD70}">
  <ds:schemaRefs>
    <ds:schemaRef ds:uri="http://schemas.microsoft.com/office/2006/metadata/longProperties"/>
  </ds:schemaRefs>
</ds:datastoreItem>
</file>

<file path=customXml/itemProps4.xml><?xml version="1.0" encoding="utf-8"?>
<ds:datastoreItem xmlns:ds="http://schemas.openxmlformats.org/officeDocument/2006/customXml" ds:itemID="{70425FF2-F485-4F41-BA23-052C72E29716}">
  <ds:schemaRefs>
    <ds:schemaRef ds:uri="http://schemas.microsoft.com/sharepoint/v3/contenttype/forms"/>
  </ds:schemaRefs>
</ds:datastoreItem>
</file>

<file path=customXml/itemProps5.xml><?xml version="1.0" encoding="utf-8"?>
<ds:datastoreItem xmlns:ds="http://schemas.openxmlformats.org/officeDocument/2006/customXml" ds:itemID="{39BB4A13-92E9-4880-BDC8-3D9EB6EA51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1218</Words>
  <Characters>6945</Characters>
  <Application>Microsoft Office Word</Application>
  <DocSecurity>0</DocSecurity>
  <Lines>57</Lines>
  <Paragraphs>16</Paragraphs>
  <ScaleCrop>false</ScaleCrop>
  <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yesenia alvarez</dc:creator>
  <cp:keywords/>
  <dc:description/>
  <cp:lastModifiedBy>Victor E. Vélez Cucuta</cp:lastModifiedBy>
  <cp:revision>2</cp:revision>
  <cp:lastPrinted>2025-06-04T18:02:00Z</cp:lastPrinted>
  <dcterms:created xsi:type="dcterms:W3CDTF">2025-09-11T18:33:00Z</dcterms:created>
  <dcterms:modified xsi:type="dcterms:W3CDTF">2025-09-11T18:33:00Z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4SQX5P7U7WPY-958212181-812351</vt:lpwstr>
  </property>
  <property fmtid="{D5CDD505-2E9C-101B-9397-08002B2CF9AE}" pid="3" name="_dlc_DocIdItemGuid">
    <vt:lpwstr>e3637d80-d628-42fd-9dbd-4f03e55253a1</vt:lpwstr>
  </property>
  <property fmtid="{D5CDD505-2E9C-101B-9397-08002B2CF9AE}" pid="4" name="_dlc_DocIdUrl">
    <vt:lpwstr>https://senpr.sharepoint.com/sites/obralegislativa/_layouts/15/DocIdRedir.aspx?ID=4SQX5P7U7WPY-958212181-812351, 4SQX5P7U7WPY-958212181-812351</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ies>
</file>