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BE23B" w14:textId="77777777" w:rsidR="00BB3B0F" w:rsidRPr="00BB3B0F" w:rsidRDefault="00BB3B0F" w:rsidP="00BB3B0F">
      <w:pPr>
        <w:spacing w:after="80" w:line="240" w:lineRule="auto"/>
        <w:contextualSpacing/>
        <w:jc w:val="center"/>
        <w:rPr>
          <w:rFonts w:ascii="Book Antiqua" w:eastAsiaTheme="majorEastAsia" w:hAnsi="Book Antiqua" w:cstheme="majorBidi"/>
          <w:b/>
          <w:spacing w:val="-10"/>
          <w:kern w:val="28"/>
          <w:sz w:val="28"/>
          <w:szCs w:val="28"/>
          <w14:ligatures w14:val="none"/>
        </w:rPr>
      </w:pPr>
      <w:r w:rsidRPr="00BB3B0F">
        <w:rPr>
          <w:rFonts w:ascii="Book Antiqua" w:eastAsiaTheme="majorEastAsia" w:hAnsi="Book Antiqua" w:cstheme="majorBidi"/>
          <w:spacing w:val="-10"/>
          <w:kern w:val="28"/>
          <w:sz w:val="28"/>
          <w:szCs w:val="28"/>
          <w14:ligatures w14:val="none"/>
        </w:rPr>
        <w:t>GOBIERNO DE PUERTO RICO</w:t>
      </w:r>
    </w:p>
    <w:p w14:paraId="6952D948" w14:textId="77777777" w:rsidR="00BB3B0F" w:rsidRPr="00BB3B0F" w:rsidRDefault="00BB3B0F" w:rsidP="00BB3B0F">
      <w:pPr>
        <w:spacing w:after="80" w:line="240" w:lineRule="auto"/>
        <w:contextualSpacing/>
        <w:rPr>
          <w:rFonts w:ascii="Book Antiqua" w:eastAsiaTheme="majorEastAsia" w:hAnsi="Book Antiqua" w:cstheme="majorBidi"/>
          <w:b/>
          <w:spacing w:val="-10"/>
          <w:kern w:val="28"/>
          <w:sz w:val="28"/>
          <w:szCs w:val="28"/>
          <w14:ligatures w14:val="none"/>
        </w:rPr>
      </w:pPr>
    </w:p>
    <w:p w14:paraId="2A669612" w14:textId="77777777" w:rsidR="00BB3B0F" w:rsidRPr="00BB3B0F" w:rsidRDefault="00BB3B0F" w:rsidP="00BB3B0F">
      <w:pPr>
        <w:spacing w:after="80" w:line="240" w:lineRule="auto"/>
        <w:contextualSpacing/>
        <w:rPr>
          <w:rFonts w:ascii="Book Antiqua" w:eastAsiaTheme="majorEastAsia" w:hAnsi="Book Antiqua" w:cstheme="majorBidi"/>
          <w:b/>
          <w:spacing w:val="-10"/>
          <w:kern w:val="28"/>
          <w:sz w:val="28"/>
          <w:szCs w:val="28"/>
          <w14:ligatures w14:val="none"/>
        </w:rPr>
      </w:pPr>
    </w:p>
    <w:p w14:paraId="3C97EE21" w14:textId="77777777" w:rsidR="00BB3B0F" w:rsidRPr="00BB3B0F" w:rsidRDefault="00BB3B0F" w:rsidP="00BB3B0F">
      <w:pPr>
        <w:tabs>
          <w:tab w:val="left" w:pos="600"/>
          <w:tab w:val="right" w:pos="7776"/>
          <w:tab w:val="left" w:pos="7848"/>
        </w:tabs>
        <w:spacing w:after="0" w:line="240" w:lineRule="auto"/>
        <w:rPr>
          <w:rFonts w:ascii="Book Antiqua" w:eastAsia="Times New Roman" w:hAnsi="Book Antiqua" w:cs="Times New Roman"/>
          <w:kern w:val="0"/>
          <w:lang w:val="es-ES_tradnl"/>
          <w14:ligatures w14:val="none"/>
        </w:rPr>
      </w:pPr>
      <w:r w:rsidRPr="00BB3B0F">
        <w:rPr>
          <w:rFonts w:ascii="Book Antiqua" w:eastAsia="Times New Roman" w:hAnsi="Book Antiqua" w:cs="Times New Roman"/>
          <w:kern w:val="0"/>
          <w:lang w:val="es-ES_tradnl"/>
          <w14:ligatures w14:val="none"/>
        </w:rPr>
        <w:t>20</w:t>
      </w:r>
      <w:r w:rsidRPr="00BB3B0F">
        <w:rPr>
          <w:rFonts w:ascii="Book Antiqua" w:eastAsia="Times New Roman" w:hAnsi="Book Antiqua" w:cs="Times New Roman"/>
          <w:color w:val="000000"/>
          <w:kern w:val="0"/>
          <w:position w:val="10"/>
          <w:szCs w:val="20"/>
          <w:vertAlign w:val="superscript"/>
          <w:lang w:val="es-ES"/>
          <w14:ligatures w14:val="none"/>
        </w:rPr>
        <w:t xml:space="preserve"> ma.</w:t>
      </w:r>
      <w:r w:rsidRPr="00BB3B0F">
        <w:rPr>
          <w:rFonts w:ascii="Book Antiqua" w:eastAsia="Times New Roman" w:hAnsi="Book Antiqua" w:cs="Times New Roman"/>
          <w:kern w:val="0"/>
          <w:lang w:val="es-ES_tradnl"/>
          <w14:ligatures w14:val="none"/>
        </w:rPr>
        <w:tab/>
        <w:t>Asamblea</w:t>
      </w:r>
      <w:r w:rsidRPr="00BB3B0F">
        <w:rPr>
          <w:rFonts w:ascii="Book Antiqua" w:eastAsia="Times New Roman" w:hAnsi="Book Antiqua" w:cs="Times New Roman"/>
          <w:kern w:val="0"/>
          <w:lang w:val="es-ES_tradnl"/>
          <w14:ligatures w14:val="none"/>
        </w:rPr>
        <w:tab/>
        <w:t>2</w:t>
      </w:r>
      <w:r w:rsidRPr="00BB3B0F">
        <w:rPr>
          <w:rFonts w:ascii="Book Antiqua" w:eastAsia="Times New Roman" w:hAnsi="Book Antiqua" w:cs="Times New Roman"/>
          <w:color w:val="000000"/>
          <w:kern w:val="0"/>
          <w:position w:val="10"/>
          <w:szCs w:val="20"/>
          <w:vertAlign w:val="superscript"/>
          <w:lang w:val="es-ES"/>
          <w14:ligatures w14:val="none"/>
        </w:rPr>
        <w:t xml:space="preserve"> da. </w:t>
      </w:r>
      <w:r w:rsidRPr="00BB3B0F">
        <w:rPr>
          <w:rFonts w:ascii="Book Antiqua" w:eastAsia="Times New Roman" w:hAnsi="Book Antiqua" w:cs="Times New Roman"/>
          <w:kern w:val="0"/>
          <w:lang w:val="es-ES_tradnl"/>
          <w14:ligatures w14:val="none"/>
        </w:rPr>
        <w:tab/>
        <w:t>Sesión</w:t>
      </w:r>
    </w:p>
    <w:p w14:paraId="2B974DAB" w14:textId="77777777" w:rsidR="00BB3B0F" w:rsidRPr="00BB3B0F" w:rsidRDefault="00BB3B0F" w:rsidP="00BB3B0F">
      <w:pPr>
        <w:tabs>
          <w:tab w:val="left" w:pos="600"/>
          <w:tab w:val="right" w:pos="7776"/>
          <w:tab w:val="left" w:pos="7848"/>
        </w:tabs>
        <w:spacing w:after="0" w:line="240" w:lineRule="auto"/>
        <w:rPr>
          <w:rFonts w:ascii="Book Antiqua" w:eastAsia="Times New Roman" w:hAnsi="Book Antiqua" w:cs="Times New Roman"/>
          <w:kern w:val="0"/>
          <w:lang w:val="es-ES_tradnl"/>
          <w14:ligatures w14:val="none"/>
        </w:rPr>
      </w:pPr>
      <w:r w:rsidRPr="00BB3B0F">
        <w:rPr>
          <w:rFonts w:ascii="Book Antiqua" w:eastAsia="Times New Roman" w:hAnsi="Book Antiqua" w:cs="Times New Roman"/>
          <w:kern w:val="0"/>
          <w:lang w:val="es-ES_tradnl"/>
          <w14:ligatures w14:val="none"/>
        </w:rPr>
        <w:tab/>
        <w:t>Legislativa</w:t>
      </w:r>
      <w:r w:rsidRPr="00BB3B0F">
        <w:rPr>
          <w:rFonts w:ascii="Book Antiqua" w:eastAsia="Times New Roman" w:hAnsi="Book Antiqua" w:cs="Times New Roman"/>
          <w:kern w:val="0"/>
          <w:lang w:val="es-ES_tradnl"/>
          <w14:ligatures w14:val="none"/>
        </w:rPr>
        <w:tab/>
      </w:r>
      <w:r w:rsidRPr="00BB3B0F">
        <w:rPr>
          <w:rFonts w:ascii="Book Antiqua" w:eastAsia="Times New Roman" w:hAnsi="Book Antiqua" w:cs="Times New Roman"/>
          <w:kern w:val="0"/>
          <w:lang w:val="es-ES_tradnl"/>
          <w14:ligatures w14:val="none"/>
        </w:rPr>
        <w:tab/>
        <w:t>Ordinaria</w:t>
      </w:r>
    </w:p>
    <w:p w14:paraId="668B5F40" w14:textId="77777777" w:rsidR="00BB3B0F" w:rsidRPr="00BB3B0F" w:rsidRDefault="00BB3B0F" w:rsidP="00BB3B0F">
      <w:pPr>
        <w:spacing w:after="0" w:line="240" w:lineRule="auto"/>
        <w:jc w:val="center"/>
        <w:rPr>
          <w:rFonts w:ascii="Book Antiqua" w:eastAsia="Times New Roman" w:hAnsi="Book Antiqua" w:cs="Times New Roman"/>
          <w:b/>
          <w:kern w:val="0"/>
          <w:lang w:val="es-ES_tradnl"/>
          <w14:ligatures w14:val="none"/>
        </w:rPr>
      </w:pPr>
    </w:p>
    <w:p w14:paraId="0BD21B0E" w14:textId="77777777" w:rsidR="00BB3B0F" w:rsidRPr="001B7AD5" w:rsidRDefault="00BB3B0F" w:rsidP="00BB3B0F">
      <w:pPr>
        <w:spacing w:after="0" w:line="240" w:lineRule="auto"/>
        <w:jc w:val="center"/>
        <w:rPr>
          <w:rFonts w:ascii="Book Antiqua" w:eastAsia="Times New Roman" w:hAnsi="Book Antiqua" w:cs="Times New Roman"/>
          <w:b/>
          <w:kern w:val="0"/>
          <w:sz w:val="36"/>
          <w:szCs w:val="36"/>
          <w:lang w:val="es-ES_tradnl"/>
          <w14:ligatures w14:val="none"/>
        </w:rPr>
      </w:pPr>
      <w:r w:rsidRPr="001B7AD5">
        <w:rPr>
          <w:rFonts w:ascii="Book Antiqua" w:eastAsia="Times New Roman" w:hAnsi="Book Antiqua" w:cs="Times New Roman"/>
          <w:b/>
          <w:kern w:val="0"/>
          <w:sz w:val="36"/>
          <w:szCs w:val="36"/>
          <w:lang w:val="es-ES_tradnl"/>
          <w14:ligatures w14:val="none"/>
        </w:rPr>
        <w:t>CÁMARA DE REPRESENTANTES</w:t>
      </w:r>
    </w:p>
    <w:p w14:paraId="2E124514" w14:textId="77777777" w:rsidR="00BB3B0F" w:rsidRPr="001B7AD5" w:rsidRDefault="00BB3B0F" w:rsidP="001B7AD5">
      <w:pPr>
        <w:spacing w:after="0" w:line="240" w:lineRule="auto"/>
        <w:rPr>
          <w:rFonts w:ascii="Book Antiqua" w:eastAsia="Times New Roman" w:hAnsi="Book Antiqua" w:cs="Times New Roman"/>
          <w:b/>
          <w:kern w:val="0"/>
          <w:sz w:val="36"/>
          <w:szCs w:val="36"/>
          <w:lang w:val="es-ES_tradnl"/>
          <w14:ligatures w14:val="none"/>
        </w:rPr>
      </w:pPr>
    </w:p>
    <w:p w14:paraId="0DF0E17E" w14:textId="51606FA9" w:rsidR="00BB3B0F" w:rsidRDefault="00BB3B0F" w:rsidP="00BB3B0F">
      <w:pPr>
        <w:spacing w:after="0" w:line="240" w:lineRule="auto"/>
        <w:jc w:val="center"/>
        <w:rPr>
          <w:rFonts w:ascii="Book Antiqua" w:eastAsia="Times New Roman" w:hAnsi="Book Antiqua" w:cs="Times New Roman"/>
          <w:b/>
          <w:kern w:val="0"/>
          <w:sz w:val="52"/>
          <w:szCs w:val="52"/>
          <w14:ligatures w14:val="none"/>
        </w:rPr>
      </w:pPr>
      <w:r w:rsidRPr="001B7AD5">
        <w:rPr>
          <w:rFonts w:ascii="Book Antiqua" w:eastAsia="Times New Roman" w:hAnsi="Book Antiqua" w:cs="Times New Roman"/>
          <w:b/>
          <w:kern w:val="0"/>
          <w:sz w:val="52"/>
          <w:szCs w:val="52"/>
          <w14:ligatures w14:val="none"/>
        </w:rPr>
        <w:t>P. del S. 651</w:t>
      </w:r>
    </w:p>
    <w:p w14:paraId="1D58E9E4" w14:textId="77777777" w:rsidR="001B7AD5" w:rsidRPr="001B7AD5" w:rsidRDefault="001B7AD5" w:rsidP="00BB3B0F">
      <w:pPr>
        <w:spacing w:after="0" w:line="240" w:lineRule="auto"/>
        <w:jc w:val="center"/>
        <w:rPr>
          <w:rFonts w:ascii="Book Antiqua" w:eastAsia="Times New Roman" w:hAnsi="Book Antiqua" w:cs="Times New Roman"/>
          <w:b/>
          <w:kern w:val="0"/>
          <w14:ligatures w14:val="none"/>
        </w:rPr>
      </w:pPr>
    </w:p>
    <w:p w14:paraId="6D074E5A" w14:textId="1C3BF5CF" w:rsidR="00BB3B0F" w:rsidRPr="001B7AD5" w:rsidRDefault="00BB3B0F" w:rsidP="00BB3B0F">
      <w:pPr>
        <w:spacing w:after="0" w:line="240" w:lineRule="auto"/>
        <w:jc w:val="center"/>
        <w:rPr>
          <w:rFonts w:ascii="Book Antiqua" w:eastAsia="Times New Roman" w:hAnsi="Book Antiqua" w:cs="Times New Roman"/>
          <w:b/>
          <w:kern w:val="0"/>
          <w:sz w:val="32"/>
          <w:szCs w:val="32"/>
          <w:lang w:val="es-ES_tradnl"/>
          <w14:ligatures w14:val="none"/>
        </w:rPr>
      </w:pPr>
      <w:r w:rsidRPr="001B7AD5">
        <w:rPr>
          <w:rFonts w:ascii="Book Antiqua" w:eastAsia="Times New Roman" w:hAnsi="Book Antiqua" w:cs="Times New Roman"/>
          <w:b/>
          <w:kern w:val="0"/>
          <w:sz w:val="32"/>
          <w:szCs w:val="32"/>
          <w14:ligatures w14:val="none"/>
        </w:rPr>
        <w:t>I</w:t>
      </w:r>
      <w:r w:rsidR="001B7AD5">
        <w:rPr>
          <w:rFonts w:ascii="Book Antiqua" w:eastAsia="Times New Roman" w:hAnsi="Book Antiqua" w:cs="Times New Roman"/>
          <w:b/>
          <w:kern w:val="0"/>
          <w:sz w:val="32"/>
          <w:szCs w:val="32"/>
          <w14:ligatures w14:val="none"/>
        </w:rPr>
        <w:t>NFORME POSITIVO</w:t>
      </w:r>
    </w:p>
    <w:p w14:paraId="4C55B9A5" w14:textId="77777777" w:rsidR="00BB3B0F" w:rsidRPr="001B7AD5" w:rsidRDefault="00BB3B0F" w:rsidP="00BB3B0F">
      <w:pPr>
        <w:spacing w:after="0" w:line="240" w:lineRule="auto"/>
        <w:rPr>
          <w:rFonts w:ascii="Times New Roman" w:eastAsia="Times New Roman" w:hAnsi="Times New Roman" w:cs="Times New Roman"/>
          <w:kern w:val="0"/>
          <w:sz w:val="32"/>
          <w:szCs w:val="32"/>
          <w:lang w:val="es-ES_tradnl"/>
          <w14:ligatures w14:val="none"/>
        </w:rPr>
      </w:pPr>
    </w:p>
    <w:p w14:paraId="0FBFDEF6" w14:textId="0B4B932C" w:rsidR="00BB3B0F" w:rsidRPr="00BB3B0F" w:rsidRDefault="00BB3B0F" w:rsidP="00BB3B0F">
      <w:pPr>
        <w:spacing w:after="0" w:line="240" w:lineRule="auto"/>
        <w:jc w:val="center"/>
        <w:rPr>
          <w:rFonts w:ascii="Book Antiqua" w:eastAsia="Times New Roman" w:hAnsi="Book Antiqua" w:cs="Times New Roman"/>
          <w:bCs/>
          <w:kern w:val="0"/>
          <w:lang w:val="es-ES_tradnl"/>
          <w14:ligatures w14:val="none"/>
        </w:rPr>
      </w:pPr>
      <w:r w:rsidRPr="00BB3B0F">
        <w:rPr>
          <w:rFonts w:ascii="Book Antiqua" w:eastAsia="Times New Roman" w:hAnsi="Book Antiqua" w:cs="Times New Roman"/>
          <w:bCs/>
          <w:kern w:val="0"/>
          <w:lang w:val="es-ES_tradnl"/>
          <w14:ligatures w14:val="none"/>
        </w:rPr>
        <w:t>1</w:t>
      </w:r>
      <w:r w:rsidR="00D74196">
        <w:rPr>
          <w:rFonts w:ascii="Book Antiqua" w:eastAsia="Times New Roman" w:hAnsi="Book Antiqua" w:cs="Times New Roman"/>
          <w:bCs/>
          <w:kern w:val="0"/>
          <w:lang w:val="es-ES_tradnl"/>
          <w14:ligatures w14:val="none"/>
        </w:rPr>
        <w:t>2</w:t>
      </w:r>
      <w:r w:rsidRPr="00BB3B0F">
        <w:rPr>
          <w:rFonts w:ascii="Book Antiqua" w:eastAsia="Times New Roman" w:hAnsi="Book Antiqua" w:cs="Times New Roman"/>
          <w:bCs/>
          <w:kern w:val="0"/>
          <w:lang w:val="es-ES_tradnl"/>
          <w14:ligatures w14:val="none"/>
        </w:rPr>
        <w:t xml:space="preserve"> de noviembre de 2025</w:t>
      </w:r>
    </w:p>
    <w:p w14:paraId="4ED94C0C" w14:textId="6AEE819F" w:rsidR="00BB3B0F" w:rsidRPr="00BB3B0F" w:rsidRDefault="00BB3B0F" w:rsidP="00BB3B0F">
      <w:pPr>
        <w:spacing w:after="0" w:line="240" w:lineRule="auto"/>
        <w:jc w:val="center"/>
        <w:rPr>
          <w:rFonts w:ascii="Book Antiqua" w:eastAsia="Times New Roman" w:hAnsi="Book Antiqua" w:cs="Times New Roman"/>
          <w:bCs/>
          <w:kern w:val="0"/>
          <w:lang w:val="es-ES_tradnl"/>
          <w14:ligatures w14:val="none"/>
        </w:rPr>
      </w:pPr>
    </w:p>
    <w:p w14:paraId="0147498C" w14:textId="77777777" w:rsidR="00BB3B0F" w:rsidRPr="00BB3B0F" w:rsidRDefault="00BB3B0F" w:rsidP="00BB3B0F">
      <w:pPr>
        <w:spacing w:after="0" w:line="240" w:lineRule="auto"/>
        <w:jc w:val="both"/>
        <w:rPr>
          <w:rFonts w:ascii="Book Antiqua" w:eastAsia="Times New Roman" w:hAnsi="Book Antiqua" w:cs="Times New Roman"/>
          <w:b/>
          <w:bCs/>
          <w:kern w:val="0"/>
          <w:lang w:val="es-ES_tradnl"/>
          <w14:ligatures w14:val="none"/>
        </w:rPr>
      </w:pPr>
    </w:p>
    <w:p w14:paraId="26DD2387" w14:textId="77777777" w:rsidR="00BB3B0F" w:rsidRPr="00BB3B0F" w:rsidRDefault="00BB3B0F" w:rsidP="00BB3B0F">
      <w:pPr>
        <w:spacing w:after="0" w:line="240" w:lineRule="auto"/>
        <w:jc w:val="both"/>
        <w:rPr>
          <w:rFonts w:ascii="Book Antiqua" w:eastAsia="Times New Roman" w:hAnsi="Book Antiqua" w:cs="Times New Roman"/>
          <w:b/>
          <w:bCs/>
          <w:kern w:val="0"/>
          <w:lang w:val="es-ES_tradnl"/>
          <w14:ligatures w14:val="none"/>
        </w:rPr>
      </w:pPr>
      <w:r w:rsidRPr="00BB3B0F">
        <w:rPr>
          <w:rFonts w:ascii="Book Antiqua" w:eastAsia="Times New Roman" w:hAnsi="Book Antiqua" w:cs="Times New Roman"/>
          <w:b/>
          <w:bCs/>
          <w:kern w:val="0"/>
          <w:lang w:val="es-ES_tradnl"/>
          <w14:ligatures w14:val="none"/>
        </w:rPr>
        <w:t xml:space="preserve"> A LA CÁMARA DE REPRESENTANTES DE PUERTO RICO: </w:t>
      </w:r>
    </w:p>
    <w:p w14:paraId="0CA8B735" w14:textId="77777777" w:rsidR="00BB3B0F" w:rsidRPr="00BB3B0F" w:rsidRDefault="00BB3B0F" w:rsidP="00BB3B0F">
      <w:pPr>
        <w:spacing w:after="0" w:line="240" w:lineRule="auto"/>
        <w:jc w:val="both"/>
        <w:rPr>
          <w:rFonts w:ascii="Book Antiqua" w:eastAsia="Times New Roman" w:hAnsi="Book Antiqua" w:cs="Times New Roman"/>
          <w:b/>
          <w:bCs/>
          <w:kern w:val="0"/>
          <w:lang w:val="es-ES_tradnl"/>
          <w14:ligatures w14:val="none"/>
        </w:rPr>
      </w:pPr>
    </w:p>
    <w:p w14:paraId="3F891DF8" w14:textId="394EAC8E" w:rsidR="00BB3B0F" w:rsidRPr="00BB3B0F" w:rsidRDefault="00BB3B0F" w:rsidP="00BB3B0F">
      <w:pPr>
        <w:spacing w:after="0" w:line="240" w:lineRule="auto"/>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 xml:space="preserve">La Comisión de Hacienda de la Cámara de Representantes, previo estudio, análisis y consideración del Proyecto </w:t>
      </w:r>
      <w:r>
        <w:rPr>
          <w:rFonts w:ascii="Book Antiqua" w:eastAsia="Times New Roman" w:hAnsi="Book Antiqua" w:cs="Times New Roman"/>
          <w:kern w:val="0"/>
          <w14:ligatures w14:val="none"/>
        </w:rPr>
        <w:t>del Senado 651</w:t>
      </w:r>
      <w:r w:rsidRPr="00BB3B0F">
        <w:rPr>
          <w:rFonts w:ascii="Book Antiqua" w:eastAsia="Times New Roman" w:hAnsi="Book Antiqua" w:cs="Times New Roman"/>
          <w:kern w:val="0"/>
          <w14:ligatures w14:val="none"/>
        </w:rPr>
        <w:t>, y en cumplimiento con las disposiciones del Reglamento de la Cámara de Representantes, tiene a bien recomendar a este Honorable Cuerpo la aprobación de esta medida, sin enmiendas.</w:t>
      </w:r>
    </w:p>
    <w:p w14:paraId="0A4F8DA6"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 xml:space="preserve"> </w:t>
      </w:r>
      <w:r w:rsidRPr="00BB3B0F">
        <w:rPr>
          <w:rFonts w:ascii="Book Antiqua" w:eastAsia="Book Antiqua" w:hAnsi="Book Antiqua" w:cs="Book Antiqua"/>
          <w:kern w:val="0"/>
          <w:sz w:val="28"/>
          <w:szCs w:val="20"/>
          <w14:ligatures w14:val="none"/>
        </w:rPr>
        <w:t xml:space="preserve"> </w:t>
      </w:r>
    </w:p>
    <w:p w14:paraId="28F9CD4F"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p>
    <w:p w14:paraId="1246056D" w14:textId="77777777" w:rsidR="00BB3B0F" w:rsidRPr="00BB3B0F" w:rsidRDefault="00BB3B0F" w:rsidP="00BB3B0F">
      <w:pPr>
        <w:spacing w:after="0" w:line="240" w:lineRule="auto"/>
        <w:jc w:val="center"/>
        <w:outlineLvl w:val="0"/>
        <w:rPr>
          <w:rFonts w:ascii="Book Antiqua" w:eastAsia="Times New Roman" w:hAnsi="Book Antiqua" w:cs="Times New Roman"/>
          <w:b/>
          <w:bCs/>
          <w:kern w:val="0"/>
          <w:szCs w:val="20"/>
          <w14:ligatures w14:val="none"/>
        </w:rPr>
      </w:pPr>
      <w:r w:rsidRPr="00BB3B0F">
        <w:rPr>
          <w:rFonts w:ascii="Book Antiqua" w:eastAsia="Times New Roman" w:hAnsi="Book Antiqua" w:cs="Times New Roman"/>
          <w:b/>
          <w:bCs/>
          <w:kern w:val="0"/>
          <w14:ligatures w14:val="none"/>
        </w:rPr>
        <w:t xml:space="preserve">ALCANCE DE </w:t>
      </w:r>
      <w:r w:rsidRPr="00BB3B0F">
        <w:rPr>
          <w:rFonts w:ascii="Book Antiqua" w:eastAsia="Times New Roman" w:hAnsi="Book Antiqua" w:cs="Times New Roman"/>
          <w:b/>
          <w:bCs/>
          <w:kern w:val="0"/>
          <w:szCs w:val="20"/>
          <w14:ligatures w14:val="none"/>
        </w:rPr>
        <w:t>LAS MEDIDA</w:t>
      </w:r>
    </w:p>
    <w:p w14:paraId="234AE324" w14:textId="77777777" w:rsidR="00BB3B0F" w:rsidRPr="00BB3B0F" w:rsidRDefault="00BB3B0F" w:rsidP="00BB3B0F">
      <w:pPr>
        <w:spacing w:after="0" w:line="240" w:lineRule="auto"/>
        <w:jc w:val="center"/>
        <w:outlineLvl w:val="0"/>
        <w:rPr>
          <w:rFonts w:ascii="Book Antiqua" w:eastAsia="Times New Roman" w:hAnsi="Book Antiqua" w:cs="Times New Roman"/>
          <w:b/>
          <w:bCs/>
          <w:kern w:val="0"/>
          <w14:ligatures w14:val="none"/>
        </w:rPr>
      </w:pPr>
    </w:p>
    <w:p w14:paraId="7A182418" w14:textId="77777777" w:rsidR="00BB3B0F" w:rsidRDefault="00BB3B0F" w:rsidP="00BB3B0F">
      <w:pPr>
        <w:spacing w:after="0" w:line="240" w:lineRule="auto"/>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El Proyecto del Senado 651 tiene como propósito enmendar el Subcapítulo E de la Ley Núm. 60-2019, conocida como el “Código de Incentivos de Puerto Rico”, a fin de actualizarlo conforme a la Ley 121-2019, mejor conocida como la “Carta de Derechos y Política Pública de las Personas Mayores”. La medida crea una nueva Sección 2025.03 en dicho Subcapítulo E, con el objetivo de uniformar la política pública para el desarrollo empresarial intergeneracional y encomendar al Departamento de Desarrollo Económico y Comercio (DDEC) la implantación de esta política pública.</w:t>
      </w:r>
    </w:p>
    <w:p w14:paraId="19649276"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p>
    <w:p w14:paraId="0B2DA4FB"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En esencia, la medida busca integrar de manera plena a los adultos mayores en el ecosistema empresarial de Puerto Rico, fomentando la colaboración intergeneracional, la capacitación adaptada, el acceso a financiamiento, la creación de incubadoras multigeneracionales y el fortalecimiento de redes de apoyo que incluyan tanto a jóvenes como a adultos mayores. Con ello, se reconoce que el empresarismo no tiene edad y que cada generación aporta valor al desarrollo económico del país.</w:t>
      </w:r>
    </w:p>
    <w:p w14:paraId="4413C8DC"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p>
    <w:p w14:paraId="460D77C6" w14:textId="77777777" w:rsidR="00BB3B0F" w:rsidRPr="00BB3B0F" w:rsidRDefault="00BB3B0F" w:rsidP="00BB3B0F">
      <w:pPr>
        <w:suppressLineNumbers/>
        <w:spacing w:after="0" w:line="240" w:lineRule="auto"/>
        <w:jc w:val="center"/>
        <w:rPr>
          <w:rFonts w:ascii="Book Antiqua" w:eastAsia="Times New Roman" w:hAnsi="Book Antiqua" w:cs="Times New Roman"/>
          <w:b/>
          <w:bCs/>
          <w:kern w:val="0"/>
          <w14:ligatures w14:val="none"/>
        </w:rPr>
      </w:pPr>
      <w:r w:rsidRPr="00BB3B0F">
        <w:rPr>
          <w:rFonts w:ascii="Book Antiqua" w:eastAsia="Times New Roman" w:hAnsi="Book Antiqua" w:cs="Times New Roman"/>
          <w:b/>
          <w:bCs/>
          <w:kern w:val="0"/>
          <w14:ligatures w14:val="none"/>
        </w:rPr>
        <w:lastRenderedPageBreak/>
        <w:t>ANÁLISIS DE LA MEDIDA</w:t>
      </w:r>
    </w:p>
    <w:p w14:paraId="0DB8D2FB" w14:textId="77777777" w:rsidR="00BB3B0F" w:rsidRPr="00BB3B0F" w:rsidRDefault="00BB3B0F" w:rsidP="00BB3B0F">
      <w:pPr>
        <w:suppressLineNumbers/>
        <w:spacing w:after="0" w:line="240" w:lineRule="auto"/>
        <w:jc w:val="center"/>
        <w:rPr>
          <w:rFonts w:ascii="Book Antiqua" w:eastAsia="Times New Roman" w:hAnsi="Book Antiqua" w:cs="Times New Roman"/>
          <w:b/>
          <w:bCs/>
          <w:kern w:val="0"/>
          <w14:ligatures w14:val="none"/>
        </w:rPr>
      </w:pPr>
    </w:p>
    <w:p w14:paraId="43C8FA09"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 xml:space="preserve">Puerto Rico enfrenta un marcado cambio demográfico: más del 37% de la población tiene 50 años o más, y este grupo aporta de manera desproporcionada al desarrollo económico. Según el estudio </w:t>
      </w:r>
      <w:r w:rsidRPr="00BB3B0F">
        <w:rPr>
          <w:rFonts w:ascii="Book Antiqua" w:eastAsia="MS Mincho" w:hAnsi="Book Antiqua" w:cs="Times New Roman"/>
          <w:b/>
          <w:bCs/>
          <w:color w:val="000000"/>
          <w:kern w:val="0"/>
          <w14:ligatures w14:val="none"/>
        </w:rPr>
        <w:t>“Puerto Rico y la Nueva Economía de la Longevidad”</w:t>
      </w:r>
      <w:r w:rsidRPr="00BB3B0F">
        <w:rPr>
          <w:rFonts w:ascii="Book Antiqua" w:eastAsia="MS Mincho" w:hAnsi="Book Antiqua" w:cs="Times New Roman"/>
          <w:color w:val="000000"/>
          <w:kern w:val="0"/>
          <w14:ligatures w14:val="none"/>
        </w:rPr>
        <w:t xml:space="preserve">, preparado por Oxford </w:t>
      </w:r>
      <w:proofErr w:type="spellStart"/>
      <w:r w:rsidRPr="00BB3B0F">
        <w:rPr>
          <w:rFonts w:ascii="Book Antiqua" w:eastAsia="MS Mincho" w:hAnsi="Book Antiqua" w:cs="Times New Roman"/>
          <w:color w:val="000000"/>
          <w:kern w:val="0"/>
          <w14:ligatures w14:val="none"/>
        </w:rPr>
        <w:t>Economics</w:t>
      </w:r>
      <w:proofErr w:type="spellEnd"/>
      <w:r w:rsidRPr="00BB3B0F">
        <w:rPr>
          <w:rFonts w:ascii="Book Antiqua" w:eastAsia="MS Mincho" w:hAnsi="Book Antiqua" w:cs="Times New Roman"/>
          <w:color w:val="000000"/>
          <w:kern w:val="0"/>
          <w14:ligatures w14:val="none"/>
        </w:rPr>
        <w:t xml:space="preserve"> para AARP Puerto Rico, las personas mayores de 50 años representan el 43% del Producto Interno Bruto (PIB) y el 41% de los ingresos fiscales del gobierno, lo que evidencia su rol central en la economía.</w:t>
      </w:r>
    </w:p>
    <w:p w14:paraId="49183AD9"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102CF8AC"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En el ámbito empresarial, el Reporte de la Comunidad Empresarial en Puerto Rico de Colmena66 indica que el 30% de los empresarios encuestados tienen 50 años o más, mientras que el Centro Unido de Detallistas (CUD) reporta que el 53% de sus miembros son empresarios de 50 años o más. Estos datos reflejan una participación significativa de este grupo en el ecosistema empresarial del país.</w:t>
      </w:r>
    </w:p>
    <w:p w14:paraId="45A38EAE"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284CAA50"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Asimismo, las Estadísticas de Dinámica Empresarial (BDS) de la Oficina del Censo de los Estados Unidos muestran que las empresas jóvenes tienen una tasa neta de creación de empleo que oscila entre el 15% y el 20%, mientras que las empresas más establecidas presentan tasas cercanas a cero o negativas. Esto confirma que los nuevos negocios generan empleos a tasas más altas, y que la integración de empresarios jóvenes con adultos mayores puede potenciar la creación de empleos y la sostenibilidad empresarial.</w:t>
      </w:r>
    </w:p>
    <w:p w14:paraId="1DA186E8"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202E9203"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El P. del S. 651 responde a esta realidad al establecer una política pública clara que fomente el empresarismo intergeneracional. La medida reconoce que la experiencia, el capital humano y la capacidad de reinvención de los adultos mayores son activos valiosos que deben aprovecharse para diversificar y fortalecer la economía. Al mismo tiempo, la integración con empresarios jóvenes crea un ecosistema más dinámico, innovador y sostenible.</w:t>
      </w:r>
    </w:p>
    <w:p w14:paraId="07FA10D0"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35A4337D" w14:textId="77777777" w:rsidR="00BB3B0F" w:rsidRPr="00BB3B0F" w:rsidRDefault="00BB3B0F" w:rsidP="00BB3B0F">
      <w:pPr>
        <w:spacing w:after="0" w:line="240" w:lineRule="auto"/>
        <w:jc w:val="center"/>
        <w:rPr>
          <w:rFonts w:ascii="Book Antiqua" w:eastAsia="MS Mincho" w:hAnsi="Book Antiqua" w:cs="Times New Roman"/>
          <w:b/>
          <w:bCs/>
          <w:color w:val="000000"/>
          <w:kern w:val="0"/>
          <w14:ligatures w14:val="none"/>
        </w:rPr>
      </w:pPr>
      <w:r w:rsidRPr="00BB3B0F">
        <w:rPr>
          <w:rFonts w:ascii="Book Antiqua" w:eastAsia="MS Mincho" w:hAnsi="Book Antiqua" w:cs="Times New Roman"/>
          <w:b/>
          <w:bCs/>
          <w:color w:val="000000"/>
          <w:kern w:val="0"/>
          <w14:ligatures w14:val="none"/>
        </w:rPr>
        <w:t>Ponencia de AARP Puerto Rico</w:t>
      </w:r>
    </w:p>
    <w:p w14:paraId="4D1C915E" w14:textId="77777777" w:rsidR="00BB3B0F" w:rsidRPr="00BB3B0F" w:rsidRDefault="00BB3B0F" w:rsidP="00BB3B0F">
      <w:pPr>
        <w:spacing w:after="0" w:line="240" w:lineRule="auto"/>
        <w:jc w:val="both"/>
        <w:rPr>
          <w:rFonts w:ascii="Book Antiqua" w:eastAsia="MS Mincho" w:hAnsi="Book Antiqua" w:cs="Times New Roman"/>
          <w:b/>
          <w:bCs/>
          <w:color w:val="000000"/>
          <w:kern w:val="0"/>
          <w14:ligatures w14:val="none"/>
        </w:rPr>
      </w:pPr>
    </w:p>
    <w:p w14:paraId="7758174D"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En su memorial, AARP Puerto Rico endosa plenamente el P. del S. 651 y lo considera una medida de la más alta prioridad. La organización resalta que el empresarismo adulto mayor está ocurriendo de manera orgánica en el país, pero sin una estrategia formal de desarrollo económico que lo potencie. AARP subraya que la “Economía de la Longevidad” es una tendencia mundial y que Puerto Rico, como el cuarto país más envejecido del mundo, debe insertarse en ella.</w:t>
      </w:r>
    </w:p>
    <w:p w14:paraId="4401D251"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0982DD76"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 xml:space="preserve">La ponencia enfatiza que las empresas creadas por adultos mayores tienden a tener mayor estabilidad y duración que las creadas por jóvenes, y que la integración intergeneracional es clave para diversificar el ecosistema empresarial. AARP también señala que el DDEC debe contar con recursos adecuados para implementar esta política </w:t>
      </w:r>
      <w:r w:rsidRPr="00BB3B0F">
        <w:rPr>
          <w:rFonts w:ascii="Book Antiqua" w:eastAsia="MS Mincho" w:hAnsi="Book Antiqua" w:cs="Times New Roman"/>
          <w:color w:val="000000"/>
          <w:kern w:val="0"/>
          <w14:ligatures w14:val="none"/>
        </w:rPr>
        <w:lastRenderedPageBreak/>
        <w:t>pública y que la medida representa una oportunidad para revaluar y fortalecer los planes agenciales en favor de la población adulta mayor.</w:t>
      </w:r>
    </w:p>
    <w:p w14:paraId="13A3F3B7"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7C76AE56"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r w:rsidRPr="00BB3B0F">
        <w:rPr>
          <w:rFonts w:ascii="Book Antiqua" w:eastAsia="MS Mincho" w:hAnsi="Book Antiqua" w:cs="Times New Roman"/>
          <w:color w:val="000000"/>
          <w:kern w:val="0"/>
          <w14:ligatures w14:val="none"/>
        </w:rPr>
        <w:t>En síntesis, AARP considera que el P. del S. 651 no solo atiende un asunto de equidad y justicia social, sino que también constituye una estrategia económica inteligente para aprovechar el potencial productivo de los adultos mayores y fomentar la colaboración intergeneracional como motor de desarrollo económico.</w:t>
      </w:r>
    </w:p>
    <w:p w14:paraId="31F265FE" w14:textId="77777777" w:rsidR="00BB3B0F" w:rsidRPr="00BB3B0F" w:rsidRDefault="00BB3B0F" w:rsidP="00BB3B0F">
      <w:pPr>
        <w:spacing w:after="0" w:line="240" w:lineRule="auto"/>
        <w:jc w:val="both"/>
        <w:rPr>
          <w:rFonts w:ascii="Book Antiqua" w:eastAsia="MS Mincho" w:hAnsi="Book Antiqua" w:cs="Times New Roman"/>
          <w:color w:val="000000"/>
          <w:kern w:val="0"/>
          <w14:ligatures w14:val="none"/>
        </w:rPr>
      </w:pPr>
    </w:p>
    <w:p w14:paraId="718D7031" w14:textId="4351D9BF" w:rsidR="00BB3B0F" w:rsidRPr="001B7AD5" w:rsidRDefault="00BB3B0F" w:rsidP="001B7AD5">
      <w:pPr>
        <w:spacing w:after="0" w:line="240" w:lineRule="auto"/>
        <w:jc w:val="both"/>
        <w:rPr>
          <w:rFonts w:ascii="Times New Roman" w:eastAsia="MS Mincho" w:hAnsi="Times New Roman" w:cs="Times New Roman"/>
          <w:kern w:val="0"/>
          <w:sz w:val="28"/>
          <w:szCs w:val="20"/>
          <w14:ligatures w14:val="none"/>
        </w:rPr>
      </w:pPr>
      <w:r w:rsidRPr="00BB3B0F">
        <w:rPr>
          <w:rFonts w:ascii="Book Antiqua" w:eastAsia="MS Mincho" w:hAnsi="Book Antiqua" w:cs="Times New Roman"/>
          <w:color w:val="000000"/>
          <w:kern w:val="0"/>
          <w:szCs w:val="20"/>
          <w14:ligatures w14:val="none"/>
        </w:rPr>
        <w:t xml:space="preserve">Además del memorial recibido por parte de AARP Puerto </w:t>
      </w:r>
      <w:r w:rsidR="001A65E3" w:rsidRPr="00BB3B0F">
        <w:rPr>
          <w:rFonts w:ascii="Book Antiqua" w:eastAsia="MS Mincho" w:hAnsi="Book Antiqua" w:cs="Times New Roman"/>
          <w:color w:val="000000"/>
          <w:kern w:val="0"/>
          <w:szCs w:val="20"/>
          <w14:ligatures w14:val="none"/>
        </w:rPr>
        <w:t>Rico,</w:t>
      </w:r>
      <w:r w:rsidRPr="00BB3B0F">
        <w:rPr>
          <w:rFonts w:ascii="Book Antiqua" w:eastAsia="MS Mincho" w:hAnsi="Book Antiqua" w:cs="Times New Roman"/>
          <w:color w:val="000000"/>
          <w:kern w:val="0"/>
          <w:szCs w:val="20"/>
          <w14:ligatures w14:val="none"/>
        </w:rPr>
        <w:t xml:space="preserve"> esta Comisión solicitó ponencias escritas al Departamento de Hacienda, a la Oficina de Gerencia y Presupuesto y Departamento de Desarrollo Económico y Comercio y a la Autoridad de Asesoría y Agencia Fiscal de Puerto Rico (AAFAF). Al momento de la preparación de este informe, aún no se habían recibido las ponencias de estas entidades gubernamentales.</w:t>
      </w:r>
      <w:r w:rsidRPr="00BB3B0F">
        <w:rPr>
          <w:rFonts w:ascii="Book Antiqua" w:eastAsia="Times New Roman" w:hAnsi="Book Antiqua" w:cs="Times New Roman"/>
          <w:vanish/>
          <w:kern w:val="0"/>
          <w:lang w:val="es-ES"/>
          <w14:ligatures w14:val="none"/>
        </w:rPr>
        <w:t>Top of Form</w:t>
      </w:r>
    </w:p>
    <w:p w14:paraId="5A15FCB0" w14:textId="77777777" w:rsidR="00BB3B0F" w:rsidRPr="00BB3B0F" w:rsidRDefault="00BB3B0F" w:rsidP="00BB3B0F">
      <w:pPr>
        <w:shd w:val="clear" w:color="auto" w:fill="FFFFFF"/>
        <w:spacing w:before="100" w:beforeAutospacing="1" w:after="100" w:afterAutospacing="1" w:line="240" w:lineRule="auto"/>
        <w:jc w:val="both"/>
        <w:rPr>
          <w:rFonts w:ascii="Book Antiqua" w:eastAsia="Times New Roman" w:hAnsi="Book Antiqua" w:cs="Times New Roman"/>
          <w:vanish/>
          <w:kern w:val="0"/>
          <w14:ligatures w14:val="none"/>
        </w:rPr>
      </w:pPr>
      <w:r w:rsidRPr="00BB3B0F">
        <w:rPr>
          <w:rFonts w:ascii="Book Antiqua" w:eastAsia="Times New Roman" w:hAnsi="Book Antiqua" w:cs="Times New Roman"/>
          <w:vanish/>
          <w:kern w:val="0"/>
          <w14:ligatures w14:val="none"/>
        </w:rPr>
        <w:t>Bottom of Form</w:t>
      </w:r>
    </w:p>
    <w:p w14:paraId="47401D2B" w14:textId="77777777" w:rsidR="00BB3B0F" w:rsidRPr="00BB3B0F" w:rsidRDefault="00BB3B0F" w:rsidP="00BB3B0F">
      <w:pPr>
        <w:spacing w:after="237" w:line="240" w:lineRule="auto"/>
        <w:ind w:right="13"/>
        <w:rPr>
          <w:rFonts w:ascii="Book Antiqua" w:eastAsia="Times New Roman" w:hAnsi="Book Antiqua" w:cs="Times New Roman"/>
          <w:b/>
          <w:bCs/>
          <w:kern w:val="0"/>
          <w14:ligatures w14:val="none"/>
        </w:rPr>
      </w:pPr>
    </w:p>
    <w:p w14:paraId="01ABDD02" w14:textId="77777777" w:rsidR="00BB3B0F" w:rsidRPr="00BB3B0F" w:rsidRDefault="00BB3B0F" w:rsidP="00BB3B0F">
      <w:pPr>
        <w:spacing w:after="237" w:line="240" w:lineRule="auto"/>
        <w:ind w:left="18" w:right="13"/>
        <w:jc w:val="center"/>
        <w:rPr>
          <w:rFonts w:ascii="Book Antiqua" w:eastAsia="Times New Roman" w:hAnsi="Book Antiqua" w:cs="Times New Roman"/>
          <w:b/>
          <w:bCs/>
          <w:kern w:val="0"/>
          <w14:ligatures w14:val="none"/>
        </w:rPr>
      </w:pPr>
      <w:r w:rsidRPr="00BB3B0F">
        <w:rPr>
          <w:rFonts w:ascii="Book Antiqua" w:eastAsia="Times New Roman" w:hAnsi="Book Antiqua" w:cs="Times New Roman"/>
          <w:b/>
          <w:bCs/>
          <w:kern w:val="0"/>
          <w14:ligatures w14:val="none"/>
        </w:rPr>
        <w:t>IMPACTO FISCAL</w:t>
      </w:r>
    </w:p>
    <w:p w14:paraId="2C3600C0" w14:textId="77777777" w:rsidR="00BB3B0F" w:rsidRPr="00BB3B0F" w:rsidRDefault="00BB3B0F" w:rsidP="00BB3B0F">
      <w:pPr>
        <w:spacing w:after="237" w:line="240" w:lineRule="auto"/>
        <w:ind w:left="18" w:right="13"/>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La aprobación del P. del S. 651 no representa un impacto fiscal al erario del Gobierno de Puerto Rico, ya que no crea nuevos recaudos ni reduce los existentes. Tampoco implica un gasto adicional para el Estado. Lo que se establece con esta medida es una alternativa adicional para la utilización de los fondos ya existentes en el Fondo de Incentivos Económicos, administrado por el Departamento de Desarrollo Económico y Comercio (DDEC).</w:t>
      </w:r>
    </w:p>
    <w:p w14:paraId="2EC78A63" w14:textId="77777777" w:rsidR="00BB3B0F" w:rsidRPr="00BB3B0F" w:rsidRDefault="00BB3B0F" w:rsidP="00BB3B0F">
      <w:pPr>
        <w:spacing w:after="237" w:line="240" w:lineRule="auto"/>
        <w:ind w:left="18" w:right="13"/>
        <w:jc w:val="both"/>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En consecuencia, la medida mantiene neutralidad fiscal y se limita a reorientar la política pública de incentivos hacia un modelo más inclusivo e intergeneracional, sin comprometer la estabilidad presupuestaria del Gobierno.</w:t>
      </w:r>
    </w:p>
    <w:p w14:paraId="70EA9D78" w14:textId="77777777" w:rsidR="00BB3B0F" w:rsidRPr="00BB3B0F" w:rsidRDefault="00BB3B0F" w:rsidP="00BB3B0F">
      <w:pPr>
        <w:spacing w:after="237" w:line="240" w:lineRule="auto"/>
        <w:ind w:left="18" w:right="13"/>
        <w:jc w:val="center"/>
        <w:rPr>
          <w:rFonts w:ascii="Book Antiqua" w:eastAsia="Times New Roman" w:hAnsi="Book Antiqua" w:cs="Times New Roman"/>
          <w:b/>
          <w:bCs/>
          <w:kern w:val="0"/>
          <w14:ligatures w14:val="none"/>
        </w:rPr>
      </w:pPr>
    </w:p>
    <w:p w14:paraId="73A7F5E2" w14:textId="77777777" w:rsidR="00BB3B0F" w:rsidRPr="00BB3B0F" w:rsidRDefault="00BB3B0F" w:rsidP="00BB3B0F">
      <w:pPr>
        <w:spacing w:after="237" w:line="240" w:lineRule="auto"/>
        <w:ind w:left="18" w:right="13"/>
        <w:jc w:val="center"/>
        <w:rPr>
          <w:rFonts w:ascii="Book Antiqua" w:eastAsia="Times New Roman" w:hAnsi="Book Antiqua" w:cs="Times New Roman"/>
          <w:b/>
          <w:bCs/>
          <w:kern w:val="0"/>
          <w14:ligatures w14:val="none"/>
        </w:rPr>
      </w:pPr>
      <w:r w:rsidRPr="00BB3B0F">
        <w:rPr>
          <w:rFonts w:ascii="Book Antiqua" w:eastAsia="Times New Roman" w:hAnsi="Book Antiqua" w:cs="Times New Roman"/>
          <w:b/>
          <w:bCs/>
          <w:kern w:val="0"/>
          <w14:ligatures w14:val="none"/>
        </w:rPr>
        <w:t>CONCLUSIÓN</w:t>
      </w:r>
    </w:p>
    <w:p w14:paraId="0D90D185" w14:textId="77777777" w:rsidR="00BB3B0F" w:rsidRPr="00BB3B0F" w:rsidRDefault="00BB3B0F" w:rsidP="00BB3B0F">
      <w:pPr>
        <w:spacing w:after="0" w:line="240" w:lineRule="auto"/>
        <w:jc w:val="both"/>
        <w:rPr>
          <w:rFonts w:ascii="Book Antiqua" w:eastAsia="Times New Roman" w:hAnsi="Book Antiqua" w:cs="Times New Roman"/>
          <w:kern w:val="0"/>
          <w:highlight w:val="yellow"/>
          <w14:ligatures w14:val="none"/>
        </w:rPr>
      </w:pPr>
    </w:p>
    <w:p w14:paraId="57CC32AF" w14:textId="77777777" w:rsidR="001A65E3" w:rsidRPr="001A65E3" w:rsidRDefault="001A65E3" w:rsidP="001A65E3">
      <w:pPr>
        <w:spacing w:after="0" w:line="240" w:lineRule="auto"/>
        <w:jc w:val="both"/>
        <w:rPr>
          <w:rFonts w:ascii="Book Antiqua" w:eastAsia="Times New Roman" w:hAnsi="Book Antiqua" w:cs="Times New Roman"/>
          <w:kern w:val="0"/>
          <w14:ligatures w14:val="none"/>
        </w:rPr>
      </w:pPr>
      <w:r w:rsidRPr="001A65E3">
        <w:rPr>
          <w:rFonts w:ascii="Book Antiqua" w:eastAsia="Times New Roman" w:hAnsi="Book Antiqua" w:cs="Times New Roman"/>
          <w:kern w:val="0"/>
          <w14:ligatures w14:val="none"/>
        </w:rPr>
        <w:t>Luego de completar el análisis y evaluación sobre todos los elementos concernientes a esta pieza legislativa, incluyendo los estudios citados en la Exposición de Motivos y la ponencia de AARP Puerto Rico, la Comisión de Hacienda de la Cámara de Representantes considera que el Proyecto del Senado 651 constituye un mecanismo justo, responsable y visionario para fortalecer el ecosistema empresarial de Puerto Rico. La medida reconoce el valor de la población adulta mayor, fomenta la integración intergeneracional y promueve una política pública alineada con las tendencias globales de la economía de la longevidad. Además, se confirma que la medida no representa impacto fiscal al erario, pues se limita a proveer una alternativa adicional para la utilización de los fondos del Fondo de Incentivos Económicos administrado por el DDEC.</w:t>
      </w:r>
    </w:p>
    <w:p w14:paraId="4FC15803" w14:textId="77777777" w:rsidR="001A65E3" w:rsidRPr="001A65E3" w:rsidRDefault="001A65E3" w:rsidP="001A65E3">
      <w:pPr>
        <w:spacing w:after="0" w:line="240" w:lineRule="auto"/>
        <w:jc w:val="both"/>
        <w:rPr>
          <w:rFonts w:ascii="Book Antiqua" w:eastAsia="Times New Roman" w:hAnsi="Book Antiqua" w:cs="Times New Roman"/>
          <w:kern w:val="0"/>
          <w14:ligatures w14:val="none"/>
        </w:rPr>
      </w:pPr>
      <w:r w:rsidRPr="001A65E3">
        <w:rPr>
          <w:rFonts w:ascii="Book Antiqua" w:eastAsia="Times New Roman" w:hAnsi="Book Antiqua" w:cs="Times New Roman"/>
          <w:kern w:val="0"/>
          <w14:ligatures w14:val="none"/>
        </w:rPr>
        <w:lastRenderedPageBreak/>
        <w:t>POR TODO LO ANTES EXPUESTO, la Comisión de Hacienda de la Cámara de Representantes de Puerto Rico, luego del estudio y consideración correspondiente, tiene a bien recomendar a este Alto Cuerpo la aprobación del P. del S. 651, sin enmiendas.</w:t>
      </w:r>
    </w:p>
    <w:p w14:paraId="1DE483B0"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p>
    <w:p w14:paraId="629CB8CC" w14:textId="77777777" w:rsidR="00BB3B0F" w:rsidRPr="00BB3B0F" w:rsidRDefault="00BB3B0F" w:rsidP="00BB3B0F">
      <w:pPr>
        <w:spacing w:after="0" w:line="240" w:lineRule="auto"/>
        <w:jc w:val="both"/>
        <w:rPr>
          <w:rFonts w:ascii="Book Antiqua" w:eastAsia="Times New Roman" w:hAnsi="Book Antiqua" w:cs="Times New Roman"/>
          <w:kern w:val="0"/>
          <w14:ligatures w14:val="none"/>
        </w:rPr>
      </w:pPr>
    </w:p>
    <w:p w14:paraId="316A5D5A" w14:textId="77777777" w:rsidR="00BB3B0F" w:rsidRPr="001B7AD5" w:rsidRDefault="00BB3B0F" w:rsidP="00BB3B0F">
      <w:pPr>
        <w:spacing w:after="0" w:line="240" w:lineRule="auto"/>
        <w:jc w:val="both"/>
        <w:rPr>
          <w:rFonts w:ascii="Book Antiqua" w:eastAsia="Times New Roman" w:hAnsi="Book Antiqua" w:cs="Times New Roman"/>
          <w:kern w:val="0"/>
          <w:lang w:val="it-IT"/>
          <w14:ligatures w14:val="none"/>
        </w:rPr>
      </w:pPr>
      <w:r w:rsidRPr="001B7AD5">
        <w:rPr>
          <w:rFonts w:ascii="Book Antiqua" w:eastAsia="Times New Roman" w:hAnsi="Book Antiqua" w:cs="Times New Roman"/>
          <w:kern w:val="0"/>
          <w:lang w:val="it-IT"/>
          <w14:ligatures w14:val="none"/>
        </w:rPr>
        <w:t>Respetuosamente sometido,</w:t>
      </w:r>
    </w:p>
    <w:p w14:paraId="588C071B" w14:textId="77777777" w:rsidR="00BB3B0F" w:rsidRPr="001B7AD5" w:rsidRDefault="00BB3B0F" w:rsidP="00BB3B0F">
      <w:pPr>
        <w:spacing w:after="0" w:line="240" w:lineRule="auto"/>
        <w:jc w:val="both"/>
        <w:rPr>
          <w:rFonts w:ascii="Book Antiqua" w:eastAsia="Times New Roman" w:hAnsi="Book Antiqua" w:cs="Times New Roman"/>
          <w:kern w:val="0"/>
          <w:lang w:val="it-IT"/>
          <w14:ligatures w14:val="none"/>
        </w:rPr>
      </w:pPr>
    </w:p>
    <w:p w14:paraId="0EF9869B" w14:textId="77777777" w:rsidR="00BB3B0F" w:rsidRPr="001B7AD5" w:rsidRDefault="00BB3B0F" w:rsidP="00BB3B0F">
      <w:pPr>
        <w:spacing w:after="0" w:line="240" w:lineRule="auto"/>
        <w:jc w:val="both"/>
        <w:rPr>
          <w:rFonts w:ascii="Book Antiqua" w:eastAsia="Times New Roman" w:hAnsi="Book Antiqua" w:cs="Times New Roman"/>
          <w:kern w:val="0"/>
          <w:lang w:val="it-IT"/>
          <w14:ligatures w14:val="none"/>
        </w:rPr>
      </w:pPr>
    </w:p>
    <w:p w14:paraId="15AD9C16" w14:textId="77777777" w:rsidR="00BB3B0F" w:rsidRPr="001B7AD5" w:rsidRDefault="00BB3B0F" w:rsidP="00BB3B0F">
      <w:pPr>
        <w:spacing w:after="0" w:line="240" w:lineRule="auto"/>
        <w:jc w:val="both"/>
        <w:rPr>
          <w:rFonts w:ascii="Book Antiqua" w:eastAsia="Times New Roman" w:hAnsi="Book Antiqua" w:cs="Times New Roman"/>
          <w:kern w:val="0"/>
          <w:lang w:val="it-IT"/>
          <w14:ligatures w14:val="none"/>
        </w:rPr>
      </w:pPr>
    </w:p>
    <w:p w14:paraId="4049BF2D" w14:textId="77777777" w:rsidR="00BB3B0F" w:rsidRPr="001B7AD5" w:rsidRDefault="00BB3B0F" w:rsidP="00BB3B0F">
      <w:pPr>
        <w:spacing w:after="0" w:line="240" w:lineRule="auto"/>
        <w:jc w:val="both"/>
        <w:rPr>
          <w:rFonts w:ascii="Book Antiqua" w:eastAsia="Times New Roman" w:hAnsi="Book Antiqua" w:cs="Times New Roman"/>
          <w:kern w:val="0"/>
          <w:lang w:val="it-IT"/>
          <w14:ligatures w14:val="none"/>
        </w:rPr>
      </w:pPr>
    </w:p>
    <w:p w14:paraId="6837EA40" w14:textId="77777777" w:rsidR="00BB3B0F" w:rsidRPr="001B7AD5" w:rsidRDefault="00BB3B0F" w:rsidP="00BB3B0F">
      <w:pPr>
        <w:spacing w:after="0" w:line="240" w:lineRule="auto"/>
        <w:rPr>
          <w:rFonts w:ascii="Book Antiqua" w:eastAsia="Times New Roman" w:hAnsi="Book Antiqua" w:cs="Times New Roman"/>
          <w:kern w:val="0"/>
          <w:lang w:val="it-IT"/>
          <w14:ligatures w14:val="none"/>
        </w:rPr>
      </w:pPr>
      <w:r w:rsidRPr="001B7AD5">
        <w:rPr>
          <w:rFonts w:ascii="Book Antiqua" w:eastAsia="Times New Roman" w:hAnsi="Book Antiqua" w:cs="Times New Roman"/>
          <w:kern w:val="0"/>
          <w:lang w:val="it-IT"/>
          <w14:ligatures w14:val="none"/>
        </w:rPr>
        <w:t xml:space="preserve">Eddie Charbonier Chinea </w:t>
      </w:r>
      <w:r w:rsidRPr="001B7AD5">
        <w:rPr>
          <w:rFonts w:ascii="Book Antiqua" w:eastAsia="Times New Roman" w:hAnsi="Book Antiqua" w:cs="Times New Roman"/>
          <w:kern w:val="0"/>
          <w:lang w:val="it-IT"/>
          <w14:ligatures w14:val="none"/>
        </w:rPr>
        <w:tab/>
      </w:r>
      <w:r w:rsidRPr="001B7AD5">
        <w:rPr>
          <w:rFonts w:ascii="Book Antiqua" w:eastAsia="Times New Roman" w:hAnsi="Book Antiqua" w:cs="Times New Roman"/>
          <w:kern w:val="0"/>
          <w:lang w:val="it-IT"/>
          <w14:ligatures w14:val="none"/>
        </w:rPr>
        <w:tab/>
      </w:r>
      <w:r w:rsidRPr="001B7AD5">
        <w:rPr>
          <w:rFonts w:ascii="Book Antiqua" w:eastAsia="Times New Roman" w:hAnsi="Book Antiqua" w:cs="Times New Roman"/>
          <w:kern w:val="0"/>
          <w:lang w:val="it-IT"/>
          <w14:ligatures w14:val="none"/>
        </w:rPr>
        <w:tab/>
      </w:r>
      <w:r w:rsidRPr="001B7AD5">
        <w:rPr>
          <w:rFonts w:ascii="Book Antiqua" w:eastAsia="Times New Roman" w:hAnsi="Book Antiqua" w:cs="Times New Roman"/>
          <w:kern w:val="0"/>
          <w:lang w:val="it-IT"/>
          <w14:ligatures w14:val="none"/>
        </w:rPr>
        <w:tab/>
      </w:r>
      <w:r w:rsidRPr="001B7AD5">
        <w:rPr>
          <w:rFonts w:ascii="Book Antiqua" w:eastAsia="Times New Roman" w:hAnsi="Book Antiqua" w:cs="Times New Roman"/>
          <w:kern w:val="0"/>
          <w:lang w:val="it-IT"/>
          <w14:ligatures w14:val="none"/>
        </w:rPr>
        <w:tab/>
      </w:r>
    </w:p>
    <w:p w14:paraId="44228F56" w14:textId="77777777" w:rsidR="00BB3B0F" w:rsidRPr="00BB3B0F" w:rsidRDefault="00BB3B0F" w:rsidP="00BB3B0F">
      <w:pPr>
        <w:spacing w:after="0" w:line="240" w:lineRule="auto"/>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Presidente</w:t>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r w:rsidRPr="00BB3B0F">
        <w:rPr>
          <w:rFonts w:ascii="Book Antiqua" w:eastAsia="Times New Roman" w:hAnsi="Book Antiqua" w:cs="Times New Roman"/>
          <w:kern w:val="0"/>
          <w14:ligatures w14:val="none"/>
        </w:rPr>
        <w:tab/>
      </w:r>
    </w:p>
    <w:p w14:paraId="7CE1BA45" w14:textId="77777777" w:rsidR="00BB3B0F" w:rsidRPr="00BB3B0F" w:rsidRDefault="00BB3B0F" w:rsidP="00BB3B0F">
      <w:pPr>
        <w:spacing w:after="0" w:line="240" w:lineRule="auto"/>
        <w:ind w:left="5760" w:hanging="5760"/>
        <w:rPr>
          <w:rFonts w:ascii="Book Antiqua" w:eastAsia="Times New Roman" w:hAnsi="Book Antiqua" w:cs="Times New Roman"/>
          <w:kern w:val="0"/>
          <w14:ligatures w14:val="none"/>
        </w:rPr>
      </w:pPr>
      <w:r w:rsidRPr="00BB3B0F">
        <w:rPr>
          <w:rFonts w:ascii="Book Antiqua" w:eastAsia="Times New Roman" w:hAnsi="Book Antiqua" w:cs="Times New Roman"/>
          <w:kern w:val="0"/>
          <w14:ligatures w14:val="none"/>
        </w:rPr>
        <w:t xml:space="preserve">Comisión de Hacienda </w:t>
      </w:r>
    </w:p>
    <w:p w14:paraId="5FB2C2C7" w14:textId="77777777" w:rsidR="00701A84" w:rsidRDefault="00701A84"/>
    <w:p w14:paraId="498FA0AD" w14:textId="77777777" w:rsidR="00BB3B0F" w:rsidRPr="00BB3B0F" w:rsidRDefault="00BB3B0F"/>
    <w:sectPr w:rsidR="00BB3B0F" w:rsidRPr="00BB3B0F" w:rsidSect="00EA1CF6">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52CFA" w14:textId="77777777" w:rsidR="00EA1CF6" w:rsidRDefault="00EA1CF6" w:rsidP="00EA1CF6">
      <w:pPr>
        <w:spacing w:after="0" w:line="240" w:lineRule="auto"/>
      </w:pPr>
      <w:r>
        <w:separator/>
      </w:r>
    </w:p>
  </w:endnote>
  <w:endnote w:type="continuationSeparator" w:id="0">
    <w:p w14:paraId="31566F88" w14:textId="77777777" w:rsidR="00EA1CF6" w:rsidRDefault="00EA1CF6" w:rsidP="00EA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CF7C" w14:textId="77777777" w:rsidR="00EA1CF6" w:rsidRDefault="00EA1CF6" w:rsidP="00EA1CF6">
      <w:pPr>
        <w:spacing w:after="0" w:line="240" w:lineRule="auto"/>
      </w:pPr>
      <w:r>
        <w:separator/>
      </w:r>
    </w:p>
  </w:footnote>
  <w:footnote w:type="continuationSeparator" w:id="0">
    <w:p w14:paraId="709F3467" w14:textId="77777777" w:rsidR="00EA1CF6" w:rsidRDefault="00EA1CF6" w:rsidP="00EA1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650411"/>
      <w:docPartObj>
        <w:docPartGallery w:val="Page Numbers (Top of Page)"/>
        <w:docPartUnique/>
      </w:docPartObj>
    </w:sdtPr>
    <w:sdtEndPr>
      <w:rPr>
        <w:noProof/>
      </w:rPr>
    </w:sdtEndPr>
    <w:sdtContent>
      <w:p w14:paraId="7A51A63D" w14:textId="648969BD" w:rsidR="00EA1CF6" w:rsidRDefault="00EA1C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F40E67B" w14:textId="77777777" w:rsidR="00EA1CF6" w:rsidRDefault="00EA1C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B0F"/>
    <w:rsid w:val="0001494E"/>
    <w:rsid w:val="000F1430"/>
    <w:rsid w:val="001A0C38"/>
    <w:rsid w:val="001A65E3"/>
    <w:rsid w:val="001B7AD5"/>
    <w:rsid w:val="00306D1F"/>
    <w:rsid w:val="0031283C"/>
    <w:rsid w:val="003728F5"/>
    <w:rsid w:val="00397D6C"/>
    <w:rsid w:val="0041202C"/>
    <w:rsid w:val="004966B2"/>
    <w:rsid w:val="004D0F0C"/>
    <w:rsid w:val="004F0FF1"/>
    <w:rsid w:val="005A7DD9"/>
    <w:rsid w:val="00645C25"/>
    <w:rsid w:val="00701A84"/>
    <w:rsid w:val="0071641C"/>
    <w:rsid w:val="00751DC4"/>
    <w:rsid w:val="00802788"/>
    <w:rsid w:val="00934411"/>
    <w:rsid w:val="009F0E30"/>
    <w:rsid w:val="00A5748E"/>
    <w:rsid w:val="00AC5430"/>
    <w:rsid w:val="00B6548E"/>
    <w:rsid w:val="00B722A1"/>
    <w:rsid w:val="00BB3B0F"/>
    <w:rsid w:val="00CC38A8"/>
    <w:rsid w:val="00D043F3"/>
    <w:rsid w:val="00D74196"/>
    <w:rsid w:val="00E74272"/>
    <w:rsid w:val="00EA1CF6"/>
    <w:rsid w:val="00EF57FB"/>
    <w:rsid w:val="00F5699D"/>
    <w:rsid w:val="00FC78ED"/>
    <w:rsid w:val="00FD2FE0"/>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19B1"/>
  <w15:chartTrackingRefBased/>
  <w15:docId w15:val="{4181FD25-E890-4AEC-9828-FA9684B2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BB3B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B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B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B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B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B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B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B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B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B0F"/>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BB3B0F"/>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BB3B0F"/>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BB3B0F"/>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BB3B0F"/>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BB3B0F"/>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BB3B0F"/>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BB3B0F"/>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BB3B0F"/>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BB3B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B0F"/>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BB3B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B0F"/>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BB3B0F"/>
    <w:pPr>
      <w:spacing w:before="160"/>
      <w:jc w:val="center"/>
    </w:pPr>
    <w:rPr>
      <w:i/>
      <w:iCs/>
      <w:color w:val="404040" w:themeColor="text1" w:themeTint="BF"/>
    </w:rPr>
  </w:style>
  <w:style w:type="character" w:customStyle="1" w:styleId="QuoteChar">
    <w:name w:val="Quote Char"/>
    <w:basedOn w:val="DefaultParagraphFont"/>
    <w:link w:val="Quote"/>
    <w:uiPriority w:val="29"/>
    <w:rsid w:val="00BB3B0F"/>
    <w:rPr>
      <w:i/>
      <w:iCs/>
      <w:color w:val="404040" w:themeColor="text1" w:themeTint="BF"/>
      <w:lang w:val="es-PR"/>
    </w:rPr>
  </w:style>
  <w:style w:type="paragraph" w:styleId="ListParagraph">
    <w:name w:val="List Paragraph"/>
    <w:basedOn w:val="Normal"/>
    <w:uiPriority w:val="34"/>
    <w:qFormat/>
    <w:rsid w:val="00BB3B0F"/>
    <w:pPr>
      <w:ind w:left="720"/>
      <w:contextualSpacing/>
    </w:pPr>
  </w:style>
  <w:style w:type="character" w:styleId="IntenseEmphasis">
    <w:name w:val="Intense Emphasis"/>
    <w:basedOn w:val="DefaultParagraphFont"/>
    <w:uiPriority w:val="21"/>
    <w:qFormat/>
    <w:rsid w:val="00BB3B0F"/>
    <w:rPr>
      <w:i/>
      <w:iCs/>
      <w:color w:val="0F4761" w:themeColor="accent1" w:themeShade="BF"/>
    </w:rPr>
  </w:style>
  <w:style w:type="paragraph" w:styleId="IntenseQuote">
    <w:name w:val="Intense Quote"/>
    <w:basedOn w:val="Normal"/>
    <w:next w:val="Normal"/>
    <w:link w:val="IntenseQuoteChar"/>
    <w:uiPriority w:val="30"/>
    <w:qFormat/>
    <w:rsid w:val="00BB3B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B0F"/>
    <w:rPr>
      <w:i/>
      <w:iCs/>
      <w:color w:val="0F4761" w:themeColor="accent1" w:themeShade="BF"/>
      <w:lang w:val="es-PR"/>
    </w:rPr>
  </w:style>
  <w:style w:type="character" w:styleId="IntenseReference">
    <w:name w:val="Intense Reference"/>
    <w:basedOn w:val="DefaultParagraphFont"/>
    <w:uiPriority w:val="32"/>
    <w:qFormat/>
    <w:rsid w:val="00BB3B0F"/>
    <w:rPr>
      <w:b/>
      <w:bCs/>
      <w:smallCaps/>
      <w:color w:val="0F4761" w:themeColor="accent1" w:themeShade="BF"/>
      <w:spacing w:val="5"/>
    </w:rPr>
  </w:style>
  <w:style w:type="paragraph" w:styleId="Header">
    <w:name w:val="header"/>
    <w:basedOn w:val="Normal"/>
    <w:link w:val="HeaderChar"/>
    <w:uiPriority w:val="99"/>
    <w:unhideWhenUsed/>
    <w:rsid w:val="00EA1C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CF6"/>
    <w:rPr>
      <w:lang w:val="es-PR"/>
    </w:rPr>
  </w:style>
  <w:style w:type="paragraph" w:styleId="Footer">
    <w:name w:val="footer"/>
    <w:basedOn w:val="Normal"/>
    <w:link w:val="FooterChar"/>
    <w:uiPriority w:val="99"/>
    <w:unhideWhenUsed/>
    <w:rsid w:val="00EA1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CF6"/>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1049</Words>
  <Characters>5983</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2025-11-12T14:07:00Z</cp:lastPrinted>
  <dcterms:created xsi:type="dcterms:W3CDTF">2025-11-12T21:54:00Z</dcterms:created>
  <dcterms:modified xsi:type="dcterms:W3CDTF">2025-11-12T21:54:00Z</dcterms:modified>
</cp:coreProperties>
</file>