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Pr>
          <w:lang w:val="es-PR"/>
        </w:rPr>
        <w:t>2</w:t>
      </w:r>
      <w:r w:rsidR="00AF76D3">
        <w:rPr>
          <w:rFonts w:ascii="Book Antiqua" w:eastAsia="Book Antiqua" w:hAnsi="Book Antiqua" w:cs="Book Antiqua"/>
          <w:color w:val="000000" w:themeColor="text1"/>
          <w:szCs w:val="24"/>
          <w:vertAlign w:val="superscript"/>
          <w:lang w:val="es-ES"/>
        </w:rPr>
        <w:t>da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25531AD2" w:rsidR="00D21F6F" w:rsidRPr="00C06313" w:rsidRDefault="00FF2261" w:rsidP="6FF13472">
      <w:pPr>
        <w:spacing w:after="0" w:line="240" w:lineRule="auto"/>
        <w:jc w:val="center"/>
        <w:rPr>
          <w:rFonts w:ascii="Book Antiqua" w:eastAsia="Book Antiqua" w:hAnsi="Book Antiqua" w:cs="Book Antiqua"/>
          <w:color w:val="000000" w:themeColor="text1"/>
          <w:sz w:val="32"/>
          <w:szCs w:val="32"/>
          <w:lang w:val="es-US"/>
        </w:rPr>
      </w:pPr>
      <w:r>
        <w:rPr>
          <w:rFonts w:ascii="Book Antiqua" w:eastAsia="Book Antiqua" w:hAnsi="Book Antiqua" w:cs="Book Antiqua"/>
          <w:color w:val="000000" w:themeColor="text1"/>
          <w:sz w:val="32"/>
          <w:szCs w:val="32"/>
          <w:lang w:val="es-US"/>
        </w:rPr>
        <w:t xml:space="preserve"> </w:t>
      </w:r>
    </w:p>
    <w:p w14:paraId="168157EF" w14:textId="11E5D4D8" w:rsidR="00AF76D3" w:rsidRPr="00CF6FB0"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00CF6FB0">
        <w:rPr>
          <w:rFonts w:ascii="Book Antiqua" w:eastAsia="Book Antiqua" w:hAnsi="Book Antiqua" w:cs="Book Antiqua"/>
          <w:b/>
          <w:bCs/>
          <w:color w:val="000000" w:themeColor="text1"/>
          <w:sz w:val="52"/>
          <w:szCs w:val="52"/>
          <w:lang w:val="es-US"/>
        </w:rPr>
        <w:t>P. de</w:t>
      </w:r>
      <w:r w:rsidR="00554B1C" w:rsidRPr="00CF6FB0">
        <w:rPr>
          <w:rFonts w:ascii="Book Antiqua" w:eastAsia="Book Antiqua" w:hAnsi="Book Antiqua" w:cs="Book Antiqua"/>
          <w:b/>
          <w:bCs/>
          <w:color w:val="000000" w:themeColor="text1"/>
          <w:sz w:val="52"/>
          <w:szCs w:val="52"/>
          <w:lang w:val="es-US"/>
        </w:rPr>
        <w:t>l</w:t>
      </w:r>
      <w:r w:rsidR="2366A448" w:rsidRPr="00CF6FB0">
        <w:rPr>
          <w:rFonts w:ascii="Book Antiqua" w:eastAsia="Book Antiqua" w:hAnsi="Book Antiqua" w:cs="Book Antiqua"/>
          <w:b/>
          <w:bCs/>
          <w:color w:val="000000" w:themeColor="text1"/>
          <w:sz w:val="52"/>
          <w:szCs w:val="52"/>
          <w:lang w:val="es-US"/>
        </w:rPr>
        <w:t xml:space="preserve"> </w:t>
      </w:r>
      <w:r w:rsidR="00554B1C" w:rsidRPr="00CF6FB0">
        <w:rPr>
          <w:rFonts w:ascii="Book Antiqua" w:eastAsia="Book Antiqua" w:hAnsi="Book Antiqua" w:cs="Book Antiqua"/>
          <w:b/>
          <w:bCs/>
          <w:color w:val="000000" w:themeColor="text1"/>
          <w:sz w:val="52"/>
          <w:szCs w:val="52"/>
          <w:lang w:val="es-US"/>
        </w:rPr>
        <w:t>S</w:t>
      </w:r>
      <w:r w:rsidR="2366A448" w:rsidRPr="00CF6FB0">
        <w:rPr>
          <w:rFonts w:ascii="Book Antiqua" w:eastAsia="Book Antiqua" w:hAnsi="Book Antiqua" w:cs="Book Antiqua"/>
          <w:b/>
          <w:bCs/>
          <w:color w:val="000000" w:themeColor="text1"/>
          <w:sz w:val="52"/>
          <w:szCs w:val="52"/>
          <w:lang w:val="es-US"/>
        </w:rPr>
        <w:t xml:space="preserve">. </w:t>
      </w:r>
      <w:r w:rsidR="00554B1C" w:rsidRPr="00CF6FB0">
        <w:rPr>
          <w:rFonts w:ascii="Book Antiqua" w:eastAsia="Book Antiqua" w:hAnsi="Book Antiqua" w:cs="Book Antiqua"/>
          <w:b/>
          <w:bCs/>
          <w:color w:val="000000" w:themeColor="text1"/>
          <w:sz w:val="52"/>
          <w:szCs w:val="52"/>
          <w:lang w:val="es-US"/>
        </w:rPr>
        <w:t>652</w:t>
      </w:r>
      <w:r w:rsidR="00AF76D3" w:rsidRPr="00CF6FB0">
        <w:rPr>
          <w:rFonts w:ascii="Book Antiqua" w:eastAsia="Book Antiqua" w:hAnsi="Book Antiqua" w:cs="Book Antiqua"/>
          <w:b/>
          <w:bCs/>
          <w:color w:val="000000" w:themeColor="text1"/>
          <w:sz w:val="52"/>
          <w:szCs w:val="52"/>
          <w:lang w:val="es-US"/>
        </w:rPr>
        <w:t xml:space="preserve"> </w:t>
      </w:r>
    </w:p>
    <w:p w14:paraId="654BEA48" w14:textId="202DC23D" w:rsidR="00D21F6F" w:rsidRPr="00CF6FB0"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00CF6FB0">
        <w:rPr>
          <w:rFonts w:ascii="Book Antiqua" w:eastAsia="Book Antiqua" w:hAnsi="Book Antiqua" w:cs="Book Antiqua"/>
          <w:b/>
          <w:bCs/>
          <w:color w:val="000000" w:themeColor="text1"/>
          <w:sz w:val="28"/>
          <w:szCs w:val="28"/>
          <w:lang w:val="es-US"/>
        </w:rPr>
        <w:t>INFORME POSITIVO</w:t>
      </w:r>
    </w:p>
    <w:p w14:paraId="6201E0D2" w14:textId="1CD7F9A1" w:rsidR="00D21F6F" w:rsidRPr="00CF6FB0" w:rsidRDefault="00C50B9B" w:rsidP="00945C08">
      <w:pPr>
        <w:spacing w:after="0" w:line="360" w:lineRule="auto"/>
        <w:jc w:val="center"/>
        <w:rPr>
          <w:rFonts w:ascii="Book Antiqua" w:eastAsia="Book Antiqua" w:hAnsi="Book Antiqua" w:cs="Book Antiqua"/>
          <w:color w:val="000000" w:themeColor="text1"/>
          <w:sz w:val="24"/>
          <w:szCs w:val="24"/>
          <w:lang w:val="es-US"/>
        </w:rPr>
      </w:pPr>
      <w:proofErr w:type="gramStart"/>
      <w:r>
        <w:rPr>
          <w:rFonts w:ascii="Book Antiqua" w:eastAsia="Book Antiqua" w:hAnsi="Book Antiqua" w:cs="Book Antiqua"/>
          <w:color w:val="000000" w:themeColor="text1"/>
          <w:sz w:val="24"/>
          <w:szCs w:val="24"/>
          <w:lang w:val="es-US"/>
        </w:rPr>
        <w:t xml:space="preserve">18  </w:t>
      </w:r>
      <w:r w:rsidR="0E4637C4" w:rsidRPr="00CF6FB0">
        <w:rPr>
          <w:rFonts w:ascii="Book Antiqua" w:eastAsia="Book Antiqua" w:hAnsi="Book Antiqua" w:cs="Book Antiqua"/>
          <w:color w:val="000000" w:themeColor="text1"/>
          <w:sz w:val="24"/>
          <w:szCs w:val="24"/>
          <w:lang w:val="es-US"/>
        </w:rPr>
        <w:t>de</w:t>
      </w:r>
      <w:proofErr w:type="gramEnd"/>
      <w:r w:rsidR="0E4637C4" w:rsidRPr="00CF6FB0">
        <w:rPr>
          <w:rFonts w:ascii="Book Antiqua" w:eastAsia="Book Antiqua" w:hAnsi="Book Antiqua" w:cs="Book Antiqua"/>
          <w:color w:val="000000" w:themeColor="text1"/>
          <w:sz w:val="24"/>
          <w:szCs w:val="24"/>
          <w:lang w:val="es-US"/>
        </w:rPr>
        <w:t xml:space="preserve"> </w:t>
      </w:r>
      <w:r w:rsidR="00AF76D3" w:rsidRPr="00CF6FB0">
        <w:rPr>
          <w:rFonts w:ascii="Book Antiqua" w:eastAsia="Book Antiqua" w:hAnsi="Book Antiqua" w:cs="Book Antiqua"/>
          <w:color w:val="000000" w:themeColor="text1"/>
          <w:sz w:val="24"/>
          <w:szCs w:val="24"/>
          <w:lang w:val="es-US"/>
        </w:rPr>
        <w:t>septiembre</w:t>
      </w:r>
      <w:r w:rsidR="0E4637C4" w:rsidRPr="00CF6FB0">
        <w:rPr>
          <w:rFonts w:ascii="Book Antiqua" w:eastAsia="Book Antiqua" w:hAnsi="Book Antiqua" w:cs="Book Antiqua"/>
          <w:color w:val="000000" w:themeColor="text1"/>
          <w:sz w:val="24"/>
          <w:szCs w:val="24"/>
          <w:lang w:val="es-US"/>
        </w:rPr>
        <w:t xml:space="preserve"> de 2025</w:t>
      </w:r>
    </w:p>
    <w:p w14:paraId="7212135B" w14:textId="291FFF9B" w:rsidR="002217BA" w:rsidRPr="00CF6FB0"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00CF6FB0">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F6FB0"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012BD5E4" w:rsidR="002217BA" w:rsidRPr="00CF6FB0" w:rsidRDefault="0E4637C4" w:rsidP="47B2C723">
      <w:pPr>
        <w:spacing w:after="0" w:line="240" w:lineRule="auto"/>
        <w:ind w:firstLine="720"/>
        <w:jc w:val="both"/>
        <w:rPr>
          <w:rFonts w:ascii="Book Antiqua" w:eastAsia="Book Antiqua" w:hAnsi="Book Antiqua" w:cs="Book Antiqua"/>
          <w:sz w:val="24"/>
          <w:szCs w:val="24"/>
          <w:lang w:val="es-PR"/>
        </w:rPr>
      </w:pPr>
      <w:r w:rsidRPr="00CF6FB0">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00CF6FB0">
        <w:rPr>
          <w:rFonts w:ascii="Book Antiqua" w:eastAsia="Book Antiqua" w:hAnsi="Book Antiqua" w:cs="Book Antiqua"/>
          <w:color w:val="000000" w:themeColor="text1"/>
          <w:sz w:val="24"/>
          <w:szCs w:val="24"/>
          <w:lang w:val="es-PR"/>
        </w:rPr>
        <w:t>e</w:t>
      </w:r>
      <w:r w:rsidR="00554B1C" w:rsidRPr="00CF6FB0">
        <w:rPr>
          <w:rFonts w:ascii="Book Antiqua" w:eastAsia="Book Antiqua" w:hAnsi="Book Antiqua" w:cs="Book Antiqua"/>
          <w:color w:val="000000" w:themeColor="text1"/>
          <w:sz w:val="24"/>
          <w:szCs w:val="24"/>
          <w:lang w:val="es-PR"/>
        </w:rPr>
        <w:t>l S</w:t>
      </w:r>
      <w:r w:rsidR="005E3474" w:rsidRPr="00CF6FB0">
        <w:rPr>
          <w:rFonts w:ascii="Book Antiqua" w:eastAsia="Book Antiqua" w:hAnsi="Book Antiqua" w:cs="Book Antiqua"/>
          <w:color w:val="000000" w:themeColor="text1"/>
          <w:sz w:val="24"/>
          <w:szCs w:val="24"/>
          <w:lang w:val="es-PR"/>
        </w:rPr>
        <w:t xml:space="preserve">. </w:t>
      </w:r>
      <w:r w:rsidR="00554B1C" w:rsidRPr="00CF6FB0">
        <w:rPr>
          <w:rFonts w:ascii="Book Antiqua" w:eastAsia="Book Antiqua" w:hAnsi="Book Antiqua" w:cs="Book Antiqua"/>
          <w:color w:val="000000" w:themeColor="text1"/>
          <w:sz w:val="24"/>
          <w:szCs w:val="24"/>
          <w:lang w:val="es-PR"/>
        </w:rPr>
        <w:t>652</w:t>
      </w:r>
      <w:r w:rsidRPr="00CF6FB0">
        <w:rPr>
          <w:rFonts w:ascii="Book Antiqua" w:eastAsia="Book Antiqua" w:hAnsi="Book Antiqua" w:cs="Book Antiqua"/>
          <w:color w:val="000000" w:themeColor="text1"/>
          <w:sz w:val="24"/>
          <w:szCs w:val="24"/>
          <w:lang w:val="es-PR"/>
        </w:rPr>
        <w:t xml:space="preserve">, </w:t>
      </w:r>
      <w:r w:rsidR="7FB9071D" w:rsidRPr="00CF6FB0">
        <w:rPr>
          <w:rFonts w:ascii="Book Antiqua" w:eastAsia="Book Antiqua" w:hAnsi="Book Antiqua" w:cs="Book Antiqua"/>
          <w:sz w:val="24"/>
          <w:szCs w:val="24"/>
          <w:lang w:val="es-PR"/>
        </w:rPr>
        <w:t>co</w:t>
      </w:r>
      <w:r w:rsidR="733E28D8" w:rsidRPr="00CF6FB0">
        <w:rPr>
          <w:rFonts w:ascii="Book Antiqua" w:eastAsia="Book Antiqua" w:hAnsi="Book Antiqua" w:cs="Book Antiqua"/>
          <w:sz w:val="24"/>
          <w:szCs w:val="24"/>
          <w:lang w:val="es-PR"/>
        </w:rPr>
        <w:t>n</w:t>
      </w:r>
      <w:r w:rsidR="5349914D" w:rsidRPr="00CF6FB0">
        <w:rPr>
          <w:rFonts w:ascii="Book Antiqua" w:eastAsia="Book Antiqua" w:hAnsi="Book Antiqua" w:cs="Book Antiqua"/>
          <w:sz w:val="24"/>
          <w:szCs w:val="24"/>
          <w:lang w:val="es-PR"/>
        </w:rPr>
        <w:t xml:space="preserve"> enmiendas</w:t>
      </w:r>
      <w:r w:rsidR="13A6079A" w:rsidRPr="00CF6FB0">
        <w:rPr>
          <w:rFonts w:ascii="Book Antiqua" w:eastAsia="Book Antiqua" w:hAnsi="Book Antiqua" w:cs="Book Antiqua"/>
          <w:sz w:val="24"/>
          <w:szCs w:val="24"/>
          <w:lang w:val="es-PR"/>
        </w:rPr>
        <w:t xml:space="preserve"> en el entirillado electrónico que se acompaña. </w:t>
      </w:r>
      <w:r w:rsidR="2C5AE9CE" w:rsidRPr="00CF6FB0">
        <w:rPr>
          <w:rFonts w:ascii="Book Antiqua" w:eastAsia="Book Antiqua" w:hAnsi="Book Antiqua" w:cs="Book Antiqua"/>
          <w:sz w:val="24"/>
          <w:szCs w:val="24"/>
          <w:lang w:val="es-PR"/>
        </w:rPr>
        <w:t xml:space="preserve"> </w:t>
      </w:r>
    </w:p>
    <w:p w14:paraId="7561C94C" w14:textId="77777777" w:rsidR="00B84008" w:rsidRPr="00CF6FB0"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F6FB0"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00CF6FB0">
        <w:rPr>
          <w:rFonts w:ascii="Book Antiqua" w:eastAsia="Book Antiqua" w:hAnsi="Book Antiqua" w:cs="Book Antiqua"/>
          <w:b/>
          <w:bCs/>
          <w:sz w:val="24"/>
          <w:szCs w:val="24"/>
          <w:lang w:val="es-PR"/>
        </w:rPr>
        <w:t>ALCANCE DE LA MEDIDA</w:t>
      </w:r>
    </w:p>
    <w:bookmarkEnd w:id="1"/>
    <w:p w14:paraId="0B5508B6" w14:textId="6F4389BD" w:rsidR="0095525D" w:rsidRPr="00CF6FB0"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59518A70" w:rsidR="0095525D" w:rsidRPr="00CF6FB0"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00CF6FB0">
        <w:rPr>
          <w:rFonts w:ascii="Book Antiqua" w:eastAsia="Book Antiqua" w:hAnsi="Book Antiqua" w:cs="Book Antiqua"/>
          <w:color w:val="000000" w:themeColor="text1"/>
          <w:sz w:val="24"/>
          <w:szCs w:val="24"/>
          <w:lang w:val="es-ES"/>
        </w:rPr>
        <w:t>El Proyecto de</w:t>
      </w:r>
      <w:r w:rsidR="00554B1C" w:rsidRPr="00CF6FB0">
        <w:rPr>
          <w:rFonts w:ascii="Book Antiqua" w:eastAsia="Book Antiqua" w:hAnsi="Book Antiqua" w:cs="Book Antiqua"/>
          <w:color w:val="000000" w:themeColor="text1"/>
          <w:sz w:val="24"/>
          <w:szCs w:val="24"/>
          <w:lang w:val="es-ES"/>
        </w:rPr>
        <w:t>l</w:t>
      </w:r>
      <w:r w:rsidR="69D66CB4" w:rsidRPr="00CF6FB0">
        <w:rPr>
          <w:rFonts w:ascii="Book Antiqua" w:eastAsia="Book Antiqua" w:hAnsi="Book Antiqua" w:cs="Book Antiqua"/>
          <w:color w:val="000000" w:themeColor="text1"/>
          <w:sz w:val="24"/>
          <w:szCs w:val="24"/>
          <w:lang w:val="es-ES"/>
        </w:rPr>
        <w:t xml:space="preserve"> </w:t>
      </w:r>
      <w:r w:rsidR="00554B1C" w:rsidRPr="00CF6FB0">
        <w:rPr>
          <w:rFonts w:ascii="Book Antiqua" w:eastAsia="Book Antiqua" w:hAnsi="Book Antiqua" w:cs="Book Antiqua"/>
          <w:color w:val="000000" w:themeColor="text1"/>
          <w:sz w:val="24"/>
          <w:szCs w:val="24"/>
          <w:lang w:val="es-ES"/>
        </w:rPr>
        <w:t>Senado</w:t>
      </w:r>
      <w:r w:rsidR="69D66CB4" w:rsidRPr="00CF6FB0">
        <w:rPr>
          <w:rFonts w:ascii="Book Antiqua" w:eastAsia="Book Antiqua" w:hAnsi="Book Antiqua" w:cs="Book Antiqua"/>
          <w:color w:val="000000" w:themeColor="text1"/>
          <w:sz w:val="24"/>
          <w:szCs w:val="24"/>
          <w:lang w:val="es-ES"/>
        </w:rPr>
        <w:t xml:space="preserve"> </w:t>
      </w:r>
      <w:r w:rsidR="00554B1C" w:rsidRPr="00CF6FB0">
        <w:rPr>
          <w:rFonts w:ascii="Book Antiqua" w:eastAsia="Book Antiqua" w:hAnsi="Book Antiqua" w:cs="Book Antiqua"/>
          <w:color w:val="000000" w:themeColor="text1"/>
          <w:sz w:val="24"/>
          <w:szCs w:val="24"/>
          <w:lang w:val="es-ES"/>
        </w:rPr>
        <w:t>652</w:t>
      </w:r>
      <w:r w:rsidRPr="00CF6FB0">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F6FB0" w:rsidRDefault="0095525D" w:rsidP="3C3F330B">
      <w:pPr>
        <w:spacing w:after="0" w:line="240" w:lineRule="auto"/>
        <w:jc w:val="both"/>
        <w:rPr>
          <w:rFonts w:ascii="Book Antiqua" w:eastAsia="Book Antiqua" w:hAnsi="Book Antiqua" w:cs="Book Antiqua"/>
          <w:sz w:val="24"/>
          <w:szCs w:val="24"/>
          <w:lang w:val="es-ES"/>
        </w:rPr>
      </w:pPr>
    </w:p>
    <w:p w14:paraId="5131ABCE" w14:textId="6A09B7F3" w:rsidR="00DD0955" w:rsidRPr="00CF6FB0" w:rsidRDefault="00554B1C" w:rsidP="00554B1C">
      <w:pPr>
        <w:suppressLineNumbers/>
        <w:ind w:left="706" w:hanging="706"/>
        <w:jc w:val="both"/>
        <w:rPr>
          <w:rFonts w:ascii="Book Antiqua" w:hAnsi="Book Antiqua"/>
          <w:color w:val="000000"/>
          <w:lang w:val="es-ES_tradnl"/>
        </w:rPr>
      </w:pPr>
      <w:r w:rsidRPr="00CF6FB0">
        <w:rPr>
          <w:rFonts w:ascii="Book Antiqua" w:hAnsi="Book Antiqua"/>
          <w:color w:val="000000"/>
          <w:lang w:val="es-ES_tradnl"/>
        </w:rPr>
        <w:t xml:space="preserve">Para enmendar los Artículos 2, 3, 4, 5, 8 y 9, crear los nuevos Artículos 12, 13 y 14 y renumerar los Artículos 12, 13, 14 y 15 de la Ley Núm. 82-2023, según enmendada, mejor conocida como la “Ley sobre la Política Pública del Cuidado Informal de Puerto Rico", </w:t>
      </w:r>
      <w:bookmarkStart w:id="2" w:name="_Hlk199334574"/>
      <w:r w:rsidRPr="00CF6FB0">
        <w:rPr>
          <w:rFonts w:ascii="Book Antiqua" w:hAnsi="Book Antiqua"/>
          <w:color w:val="000000"/>
          <w:lang w:val="es-ES_tradnl"/>
        </w:rPr>
        <w:t xml:space="preserve">a la luz de las disposiciones de la Ley federal equivalente, conocida como </w:t>
      </w:r>
      <w:proofErr w:type="spellStart"/>
      <w:r w:rsidRPr="00CF6FB0">
        <w:rPr>
          <w:rFonts w:ascii="Book Antiqua" w:hAnsi="Book Antiqua"/>
          <w:i/>
          <w:iCs/>
          <w:color w:val="000000"/>
          <w:lang w:val="es-ES_tradnl"/>
        </w:rPr>
        <w:t>The</w:t>
      </w:r>
      <w:proofErr w:type="spellEnd"/>
      <w:r w:rsidRPr="00CF6FB0">
        <w:rPr>
          <w:rFonts w:ascii="Book Antiqua" w:hAnsi="Book Antiqua"/>
          <w:i/>
          <w:iCs/>
          <w:color w:val="000000"/>
          <w:lang w:val="es-ES_tradnl"/>
        </w:rPr>
        <w:t xml:space="preserve"> </w:t>
      </w:r>
      <w:proofErr w:type="spellStart"/>
      <w:r w:rsidRPr="00CF6FB0">
        <w:rPr>
          <w:rFonts w:ascii="Book Antiqua" w:hAnsi="Book Antiqua"/>
          <w:i/>
          <w:iCs/>
          <w:color w:val="000000"/>
          <w:lang w:val="es-ES_tradnl"/>
        </w:rPr>
        <w:t>Recognize</w:t>
      </w:r>
      <w:proofErr w:type="spellEnd"/>
      <w:r w:rsidRPr="00CF6FB0">
        <w:rPr>
          <w:rFonts w:ascii="Book Antiqua" w:hAnsi="Book Antiqua"/>
          <w:i/>
          <w:iCs/>
          <w:color w:val="000000"/>
          <w:lang w:val="es-ES_tradnl"/>
        </w:rPr>
        <w:t xml:space="preserve">, </w:t>
      </w:r>
      <w:proofErr w:type="spellStart"/>
      <w:r w:rsidRPr="00CF6FB0">
        <w:rPr>
          <w:rFonts w:ascii="Book Antiqua" w:hAnsi="Book Antiqua"/>
          <w:i/>
          <w:iCs/>
          <w:color w:val="000000"/>
          <w:lang w:val="es-ES_tradnl"/>
        </w:rPr>
        <w:t>Assist</w:t>
      </w:r>
      <w:proofErr w:type="spellEnd"/>
      <w:r w:rsidRPr="00CF6FB0">
        <w:rPr>
          <w:rFonts w:ascii="Book Antiqua" w:hAnsi="Book Antiqua"/>
          <w:i/>
          <w:iCs/>
          <w:color w:val="000000"/>
          <w:lang w:val="es-ES_tradnl"/>
        </w:rPr>
        <w:t xml:space="preserve">, </w:t>
      </w:r>
      <w:proofErr w:type="spellStart"/>
      <w:r w:rsidRPr="00CF6FB0">
        <w:rPr>
          <w:rFonts w:ascii="Book Antiqua" w:hAnsi="Book Antiqua"/>
          <w:i/>
          <w:iCs/>
          <w:color w:val="000000"/>
          <w:lang w:val="es-ES_tradnl"/>
        </w:rPr>
        <w:t>Include</w:t>
      </w:r>
      <w:proofErr w:type="spellEnd"/>
      <w:r w:rsidRPr="00CF6FB0">
        <w:rPr>
          <w:rFonts w:ascii="Book Antiqua" w:hAnsi="Book Antiqua"/>
          <w:i/>
          <w:iCs/>
          <w:color w:val="000000"/>
          <w:lang w:val="es-ES_tradnl"/>
        </w:rPr>
        <w:t xml:space="preserve">, </w:t>
      </w:r>
      <w:proofErr w:type="spellStart"/>
      <w:r w:rsidRPr="00CF6FB0">
        <w:rPr>
          <w:rFonts w:ascii="Book Antiqua" w:hAnsi="Book Antiqua"/>
          <w:i/>
          <w:iCs/>
          <w:color w:val="000000"/>
          <w:lang w:val="es-ES_tradnl"/>
        </w:rPr>
        <w:t>Support</w:t>
      </w:r>
      <w:proofErr w:type="spellEnd"/>
      <w:r w:rsidRPr="00CF6FB0">
        <w:rPr>
          <w:rFonts w:ascii="Book Antiqua" w:hAnsi="Book Antiqua"/>
          <w:i/>
          <w:iCs/>
          <w:color w:val="000000"/>
          <w:lang w:val="es-ES_tradnl"/>
        </w:rPr>
        <w:t xml:space="preserve">, &amp; </w:t>
      </w:r>
      <w:proofErr w:type="spellStart"/>
      <w:r w:rsidRPr="00CF6FB0">
        <w:rPr>
          <w:rFonts w:ascii="Book Antiqua" w:hAnsi="Book Antiqua"/>
          <w:i/>
          <w:iCs/>
          <w:color w:val="000000"/>
          <w:lang w:val="es-ES_tradnl"/>
        </w:rPr>
        <w:t>Engage</w:t>
      </w:r>
      <w:proofErr w:type="spellEnd"/>
      <w:r w:rsidRPr="00CF6FB0">
        <w:rPr>
          <w:rFonts w:ascii="Book Antiqua" w:hAnsi="Book Antiqua"/>
          <w:i/>
          <w:iCs/>
          <w:color w:val="000000"/>
          <w:lang w:val="es-ES_tradnl"/>
        </w:rPr>
        <w:t xml:space="preserve"> (RAISE) </w:t>
      </w:r>
      <w:proofErr w:type="spellStart"/>
      <w:r w:rsidRPr="00CF6FB0">
        <w:rPr>
          <w:rFonts w:ascii="Book Antiqua" w:hAnsi="Book Antiqua"/>
          <w:i/>
          <w:iCs/>
          <w:color w:val="000000"/>
          <w:lang w:val="es-ES_tradnl"/>
        </w:rPr>
        <w:t>Family</w:t>
      </w:r>
      <w:proofErr w:type="spellEnd"/>
      <w:r w:rsidRPr="00CF6FB0">
        <w:rPr>
          <w:rFonts w:ascii="Book Antiqua" w:hAnsi="Book Antiqua"/>
          <w:i/>
          <w:iCs/>
          <w:color w:val="000000"/>
          <w:lang w:val="es-ES_tradnl"/>
        </w:rPr>
        <w:t xml:space="preserve"> </w:t>
      </w:r>
      <w:proofErr w:type="spellStart"/>
      <w:r w:rsidRPr="00CF6FB0">
        <w:rPr>
          <w:rFonts w:ascii="Book Antiqua" w:hAnsi="Book Antiqua"/>
          <w:i/>
          <w:iCs/>
          <w:color w:val="000000"/>
          <w:lang w:val="es-ES_tradnl"/>
        </w:rPr>
        <w:t>Caregivers</w:t>
      </w:r>
      <w:proofErr w:type="spellEnd"/>
      <w:r w:rsidRPr="00CF6FB0">
        <w:rPr>
          <w:rFonts w:ascii="Book Antiqua" w:hAnsi="Book Antiqua"/>
          <w:i/>
          <w:iCs/>
          <w:color w:val="000000"/>
          <w:lang w:val="es-ES_tradnl"/>
        </w:rPr>
        <w:t xml:space="preserve"> </w:t>
      </w:r>
      <w:proofErr w:type="spellStart"/>
      <w:r w:rsidRPr="00CF6FB0">
        <w:rPr>
          <w:rFonts w:ascii="Book Antiqua" w:hAnsi="Book Antiqua"/>
          <w:i/>
          <w:iCs/>
          <w:color w:val="000000"/>
          <w:lang w:val="es-ES_tradnl"/>
        </w:rPr>
        <w:t>Act</w:t>
      </w:r>
      <w:proofErr w:type="spellEnd"/>
      <w:r w:rsidRPr="00CF6FB0">
        <w:rPr>
          <w:rFonts w:ascii="Book Antiqua" w:hAnsi="Book Antiqua"/>
          <w:i/>
          <w:iCs/>
          <w:color w:val="000000"/>
          <w:lang w:val="es-ES_tradnl"/>
        </w:rPr>
        <w:t xml:space="preserve"> </w:t>
      </w:r>
      <w:proofErr w:type="spellStart"/>
      <w:r w:rsidRPr="00CF6FB0">
        <w:rPr>
          <w:rFonts w:ascii="Book Antiqua" w:hAnsi="Book Antiqua"/>
          <w:i/>
          <w:iCs/>
          <w:color w:val="000000"/>
          <w:lang w:val="es-ES_tradnl"/>
        </w:rPr>
        <w:t>of</w:t>
      </w:r>
      <w:proofErr w:type="spellEnd"/>
      <w:r w:rsidRPr="00CF6FB0">
        <w:rPr>
          <w:rFonts w:ascii="Book Antiqua" w:hAnsi="Book Antiqua"/>
          <w:i/>
          <w:iCs/>
          <w:color w:val="000000"/>
          <w:lang w:val="es-ES_tradnl"/>
        </w:rPr>
        <w:t xml:space="preserve"> 2017</w:t>
      </w:r>
      <w:r w:rsidRPr="00CF6FB0">
        <w:rPr>
          <w:rFonts w:ascii="Book Antiqua" w:hAnsi="Book Antiqua"/>
          <w:color w:val="000000"/>
          <w:lang w:val="es-ES_tradnl"/>
        </w:rPr>
        <w:t>, (</w:t>
      </w:r>
      <w:proofErr w:type="spellStart"/>
      <w:r w:rsidRPr="00CF6FB0">
        <w:rPr>
          <w:rFonts w:ascii="Book Antiqua" w:hAnsi="Book Antiqua"/>
          <w:color w:val="000000"/>
          <w:lang w:val="es-ES_tradnl"/>
        </w:rPr>
        <w:t>Public</w:t>
      </w:r>
      <w:proofErr w:type="spellEnd"/>
      <w:r w:rsidRPr="00CF6FB0">
        <w:rPr>
          <w:rFonts w:ascii="Book Antiqua" w:hAnsi="Book Antiqua"/>
          <w:color w:val="000000"/>
          <w:lang w:val="es-ES_tradnl"/>
        </w:rPr>
        <w:t xml:space="preserve"> </w:t>
      </w:r>
      <w:proofErr w:type="spellStart"/>
      <w:r w:rsidRPr="00CF6FB0">
        <w:rPr>
          <w:rFonts w:ascii="Book Antiqua" w:hAnsi="Book Antiqua"/>
          <w:color w:val="000000"/>
          <w:lang w:val="es-ES_tradnl"/>
        </w:rPr>
        <w:t>Law</w:t>
      </w:r>
      <w:proofErr w:type="spellEnd"/>
      <w:r w:rsidRPr="00CF6FB0">
        <w:rPr>
          <w:rFonts w:ascii="Book Antiqua" w:hAnsi="Book Antiqua"/>
          <w:color w:val="000000"/>
          <w:lang w:val="es-ES_tradnl"/>
        </w:rPr>
        <w:t xml:space="preserve"> 115-119), </w:t>
      </w:r>
      <w:bookmarkEnd w:id="2"/>
      <w:r w:rsidRPr="00CF6FB0">
        <w:rPr>
          <w:rFonts w:ascii="Book Antiqua" w:hAnsi="Book Antiqua"/>
          <w:bCs/>
          <w:color w:val="000000"/>
          <w:lang w:val="es-ES"/>
        </w:rPr>
        <w:t xml:space="preserve">con el fin de </w:t>
      </w:r>
      <w:r w:rsidRPr="00CF6FB0">
        <w:rPr>
          <w:rFonts w:ascii="Book Antiqua" w:hAnsi="Book Antiqua"/>
          <w:bCs/>
          <w:color w:val="000000"/>
          <w:lang w:val="es-ES"/>
        </w:rPr>
        <w:tab/>
        <w:t>expandir el alcance de la Ley 82-2023 en cuanto a las áreas de atención a la población de cuidadores informales en Puerto Rico con las disposiciones pertinentes; y para otros fines relacionados.</w:t>
      </w:r>
    </w:p>
    <w:p w14:paraId="1D63CE56" w14:textId="24B3846E" w:rsidR="3C3F330B" w:rsidRPr="00CF6FB0"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00CF6FB0">
        <w:rPr>
          <w:rFonts w:ascii="Book Antiqua" w:eastAsia="Book Antiqua" w:hAnsi="Book Antiqua" w:cs="Book Antiqua"/>
          <w:b/>
          <w:bCs/>
          <w:color w:val="000000" w:themeColor="text1"/>
          <w:sz w:val="24"/>
          <w:szCs w:val="24"/>
          <w:lang w:val="es-ES"/>
        </w:rPr>
        <w:t>INTRODUCCIÓN</w:t>
      </w:r>
    </w:p>
    <w:p w14:paraId="188DCA0C" w14:textId="77777777" w:rsidR="00554B1C" w:rsidRPr="00CF6FB0" w:rsidRDefault="00554B1C" w:rsidP="00554B1C">
      <w:pPr>
        <w:spacing w:before="240" w:after="24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La Comisión de Adultos Mayores y Bienestar Social tuvo ante su consideración el Proyecto del Senado 652, radicado el 30 de mayo de 2025 por los senadores Rivera </w:t>
      </w:r>
      <w:proofErr w:type="spellStart"/>
      <w:r w:rsidRPr="00CF6FB0">
        <w:rPr>
          <w:rFonts w:ascii="Book Antiqua" w:eastAsia="Book Antiqua" w:hAnsi="Book Antiqua" w:cs="Book Antiqua"/>
          <w:sz w:val="24"/>
          <w:szCs w:val="24"/>
          <w:lang w:val="es-US"/>
        </w:rPr>
        <w:t>Schatz</w:t>
      </w:r>
      <w:proofErr w:type="spellEnd"/>
      <w:r w:rsidRPr="00CF6FB0">
        <w:rPr>
          <w:rFonts w:ascii="Book Antiqua" w:eastAsia="Book Antiqua" w:hAnsi="Book Antiqua" w:cs="Book Antiqua"/>
          <w:sz w:val="24"/>
          <w:szCs w:val="24"/>
          <w:lang w:val="es-US"/>
        </w:rPr>
        <w:t xml:space="preserve"> y Soto Tolentino, con coautoría de los senadores Álvarez Conde, Matías Rosario y Toledo López. La medida propone enmendar varios artículos de la Ley Núm. 82-2023, conocida </w:t>
      </w:r>
      <w:r w:rsidRPr="00CF6FB0">
        <w:rPr>
          <w:rFonts w:ascii="Book Antiqua" w:eastAsia="Book Antiqua" w:hAnsi="Book Antiqua" w:cs="Book Antiqua"/>
          <w:sz w:val="24"/>
          <w:szCs w:val="24"/>
          <w:lang w:val="es-US"/>
        </w:rPr>
        <w:lastRenderedPageBreak/>
        <w:t>como la “Ley sobre la Política Pública del Cuidado Informal de Puerto Rico”, a los fines de armonizar su alcance con la legislación federal equivalente, la Ley RAISE, y fortalecer la política pública local sobre cuidadores informales.</w:t>
      </w:r>
    </w:p>
    <w:p w14:paraId="128CEF66" w14:textId="77777777" w:rsidR="00554B1C" w:rsidRPr="00CF6FB0" w:rsidRDefault="00554B1C" w:rsidP="00554B1C">
      <w:pPr>
        <w:spacing w:before="240" w:after="24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El Proyecto del Senado 652 persigue ampliar las definiciones y propósitos de la Ley 82-2023 para reconocer derechos y servicios adicionales a los cuidadores informales, incluir disposiciones sobre planificación futura, planes de emergencia y redes de voluntariado, así como establecer una Carta de Derechos del Cuidador Informal que garantice acceso a servicios de respiro, adiestramiento y reconocimiento en los procesos de salud. De igual forma, crea nuevos artículos sobre cuidado prolongado, cuidadores formales y planificación futura, alineados con los objetivos federales de la Ley RAISE.</w:t>
      </w:r>
    </w:p>
    <w:p w14:paraId="43C8E902" w14:textId="77777777" w:rsidR="00554B1C" w:rsidRPr="00CF6FB0" w:rsidRDefault="00554B1C" w:rsidP="00554B1C">
      <w:pPr>
        <w:spacing w:before="240" w:after="24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La Comisión reconoce la importancia de actualizar y expandir la Ley 82-2023 a la luz de las recomendaciones de la Comisión Federal RAISE y del </w:t>
      </w:r>
      <w:proofErr w:type="spellStart"/>
      <w:r w:rsidRPr="00CF6FB0">
        <w:rPr>
          <w:rFonts w:ascii="Book Antiqua" w:eastAsia="Book Antiqua" w:hAnsi="Book Antiqua" w:cs="Book Antiqua"/>
          <w:sz w:val="24"/>
          <w:szCs w:val="24"/>
          <w:lang w:val="es-US"/>
        </w:rPr>
        <w:t>Task</w:t>
      </w:r>
      <w:proofErr w:type="spellEnd"/>
      <w:r w:rsidRPr="00CF6FB0">
        <w:rPr>
          <w:rFonts w:ascii="Book Antiqua" w:eastAsia="Book Antiqua" w:hAnsi="Book Antiqua" w:cs="Book Antiqua"/>
          <w:sz w:val="24"/>
          <w:szCs w:val="24"/>
          <w:lang w:val="es-US"/>
        </w:rPr>
        <w:t xml:space="preserve"> </w:t>
      </w:r>
      <w:proofErr w:type="spellStart"/>
      <w:r w:rsidRPr="00CF6FB0">
        <w:rPr>
          <w:rFonts w:ascii="Book Antiqua" w:eastAsia="Book Antiqua" w:hAnsi="Book Antiqua" w:cs="Book Antiqua"/>
          <w:sz w:val="24"/>
          <w:szCs w:val="24"/>
          <w:lang w:val="es-US"/>
        </w:rPr>
        <w:t>Force</w:t>
      </w:r>
      <w:proofErr w:type="spellEnd"/>
      <w:r w:rsidRPr="00CF6FB0">
        <w:rPr>
          <w:rFonts w:ascii="Book Antiqua" w:eastAsia="Book Antiqua" w:hAnsi="Book Antiqua" w:cs="Book Antiqua"/>
          <w:sz w:val="24"/>
          <w:szCs w:val="24"/>
          <w:lang w:val="es-US"/>
        </w:rPr>
        <w:t xml:space="preserve"> de Cuidadores Familiares en Puerto Rico creado mediante la Resolución de la Cámara 584 de 2021. El análisis realizado evidencia que la población de cuidadores en Puerto Rico asciende a más de 440,000 personas, equivalente al 14% de la población, y que la mayoría son adultos mayores de 55 años que enfrentan retos de salud, económicos y sociales. Los cuidadores demandan apoyo en adiestramiento, servicios de respiro, flexibilidad laboral y acceso a recursos de planificación. La medida atiende de manera integral estos asuntos, reconociendo y fortaleciendo la figura del cuidador informal como pieza esencial del sistema de cuidado prolongado.</w:t>
      </w:r>
    </w:p>
    <w:p w14:paraId="0D9FBA1C" w14:textId="77777777" w:rsidR="00554B1C" w:rsidRPr="00CF6FB0" w:rsidRDefault="00554B1C" w:rsidP="00554B1C">
      <w:pPr>
        <w:spacing w:before="240" w:after="24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Por las razones antes expuestas, esta Comisión recomienda la aprobación del Proyecto del Senado 652. Se favorece la política pública que visibiliza, apoya y protege al cuidador informal, se acogen las disposiciones que amplían la cobertura de servicios, la capacitación y la planificación futura, y se exhorta al Departamento de la Familia, al Departamento de Salud y a las demás agencias concernidas a realizar los arreglos presupuestarios necesarios para implementar esta política de manera efectiva.</w:t>
      </w:r>
    </w:p>
    <w:p w14:paraId="2FEDACC1" w14:textId="476EE06B" w:rsidR="007728D9" w:rsidRPr="00CF6FB0"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00CF6FB0">
        <w:rPr>
          <w:rFonts w:ascii="Book Antiqua" w:eastAsia="Book Antiqua" w:hAnsi="Book Antiqua" w:cs="Book Antiqua"/>
          <w:b/>
          <w:bCs/>
          <w:color w:val="000000" w:themeColor="text1"/>
          <w:sz w:val="24"/>
          <w:szCs w:val="24"/>
          <w:lang w:val="es-ES"/>
        </w:rPr>
        <w:t>ANÁLISIS DE LA MEDIDA</w:t>
      </w:r>
      <w:r w:rsidR="4EFC05C2" w:rsidRPr="00CF6FB0">
        <w:rPr>
          <w:rFonts w:ascii="Book Antiqua" w:eastAsia="Book Antiqua" w:hAnsi="Book Antiqua" w:cs="Book Antiqua"/>
          <w:b/>
          <w:bCs/>
          <w:color w:val="000000" w:themeColor="text1"/>
          <w:sz w:val="24"/>
          <w:szCs w:val="24"/>
          <w:lang w:val="es-ES"/>
        </w:rPr>
        <w:t xml:space="preserve"> </w:t>
      </w:r>
    </w:p>
    <w:p w14:paraId="39573828"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Del análisis de la medida se desprende que el Proyecto del Senado 652 constituye un esfuerzo legislativo abarcador para ampliar la política pública sobre el cuidado informal en Puerto Rico. </w:t>
      </w:r>
    </w:p>
    <w:p w14:paraId="6FDEF248"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p>
    <w:p w14:paraId="780C382F"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La propuesta atiende de manera integral las necesidades de los cuidadores informales al reconocerles como parte esencial del sistema de salud y cuidado prolongado, establecer una Carta de Derechos que formaliza su protección y proveer acceso a servicios de respiro, adiestramiento y capacitación. Además, integra conceptos innovadores como la planificación futura, los planes de emergencia y la inclusión de los cuidadores en la toma de decisiones sobre la persona que recibe apoyo. La medida armoniza la legislación local con la ley federal RAISE, lo que permite fortalecer los programas y servicios de apoyo bajo un marco legal coherente y actualizado. </w:t>
      </w:r>
    </w:p>
    <w:p w14:paraId="7650F63C"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p>
    <w:p w14:paraId="7F090FD3" w14:textId="07D44B14"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El análisis de la Comisión reconoce que la población de cuidadores, estimada en más de 440,000 personas en la Isla, representa un sector fundamental para la atención de adultos mayores y personas con impedimentos, pero enfrenta retos significativos en su salud física, emocional y económica. La aprobación de esta medida proveerá las herramientas necesarias para que el Gobierno, en colaboración con los municipios y el sector privado, implemente iniciativas que protejan a los cuidadores informales, promuevan su bienestar y garanticen una mejor calidad de vida tanto para ellos como para las personas que reciben apoyo.</w:t>
      </w:r>
    </w:p>
    <w:p w14:paraId="0356E605" w14:textId="6EC2BE0D" w:rsidR="00CD1DE7" w:rsidRPr="00CF6FB0" w:rsidRDefault="00CD1DE7" w:rsidP="00CD1DE7">
      <w:pPr>
        <w:pStyle w:val="ListParagraph"/>
        <w:spacing w:after="0"/>
        <w:ind w:left="90" w:firstLine="630"/>
        <w:jc w:val="both"/>
        <w:rPr>
          <w:rFonts w:ascii="Book Antiqua" w:eastAsia="Book Antiqua" w:hAnsi="Book Antiqua" w:cs="Book Antiqua"/>
          <w:sz w:val="24"/>
          <w:szCs w:val="24"/>
          <w:lang w:val="es-US"/>
        </w:rPr>
      </w:pPr>
    </w:p>
    <w:p w14:paraId="5636A895" w14:textId="6ED88C27" w:rsidR="00004154" w:rsidRPr="00CF6FB0" w:rsidRDefault="000B7AD7" w:rsidP="00004154">
      <w:pPr>
        <w:pStyle w:val="ListParagraph"/>
        <w:spacing w:after="0"/>
        <w:jc w:val="center"/>
        <w:rPr>
          <w:rFonts w:ascii="Book Antiqua" w:eastAsia="Book Antiqua" w:hAnsi="Book Antiqua" w:cs="Book Antiqua"/>
          <w:b/>
          <w:bCs/>
          <w:sz w:val="24"/>
          <w:szCs w:val="24"/>
          <w:lang w:val="es-PR"/>
        </w:rPr>
      </w:pPr>
      <w:r w:rsidRPr="00CF6FB0">
        <w:rPr>
          <w:rFonts w:ascii="Book Antiqua" w:eastAsia="Book Antiqua" w:hAnsi="Book Antiqua" w:cs="Book Antiqua"/>
          <w:b/>
          <w:bCs/>
          <w:sz w:val="24"/>
          <w:szCs w:val="24"/>
          <w:lang w:val="es-PR"/>
        </w:rPr>
        <w:t>RESUMEN DE PONENCIAS</w:t>
      </w:r>
    </w:p>
    <w:p w14:paraId="61AF7D93" w14:textId="77777777" w:rsidR="00004154" w:rsidRPr="00CF6FB0" w:rsidRDefault="00004154" w:rsidP="00004154">
      <w:pPr>
        <w:spacing w:after="0"/>
        <w:jc w:val="both"/>
        <w:rPr>
          <w:rFonts w:ascii="Book Antiqua" w:eastAsia="Book Antiqua" w:hAnsi="Book Antiqua" w:cs="Book Antiqua"/>
          <w:sz w:val="24"/>
          <w:szCs w:val="24"/>
          <w:lang w:val="es-PR"/>
        </w:rPr>
      </w:pPr>
    </w:p>
    <w:p w14:paraId="3E2A2944" w14:textId="4C2B4A79" w:rsidR="00CD1DE7" w:rsidRPr="00263A8B" w:rsidRDefault="00004154" w:rsidP="00263A8B">
      <w:pPr>
        <w:spacing w:after="0"/>
        <w:ind w:firstLine="720"/>
        <w:jc w:val="both"/>
        <w:rPr>
          <w:rFonts w:ascii="Book Antiqua" w:eastAsia="Book Antiqua" w:hAnsi="Book Antiqua" w:cs="Book Antiqua"/>
          <w:sz w:val="24"/>
          <w:szCs w:val="24"/>
          <w:lang w:val="es-PR"/>
        </w:rPr>
      </w:pPr>
      <w:r w:rsidRPr="00CF6FB0">
        <w:rPr>
          <w:rFonts w:ascii="Book Antiqua" w:eastAsia="Book Antiqua" w:hAnsi="Book Antiqua" w:cs="Book Antiqua"/>
          <w:sz w:val="24"/>
          <w:szCs w:val="24"/>
          <w:lang w:val="es-PR"/>
        </w:rPr>
        <w:t>A continuación, se exponen los comentarios y recomendaciones de las entidades participantes, los cuales han servido de base para la evaluación legislativa de esta Comisión.</w:t>
      </w:r>
    </w:p>
    <w:p w14:paraId="1D03A602" w14:textId="095FA3FD" w:rsidR="00200967" w:rsidRPr="00CF6FB0" w:rsidRDefault="00554B1C" w:rsidP="00A47859">
      <w:pPr>
        <w:pStyle w:val="ListParagraph"/>
        <w:spacing w:after="0" w:line="240" w:lineRule="auto"/>
        <w:jc w:val="center"/>
        <w:rPr>
          <w:rFonts w:ascii="Book Antiqua" w:eastAsia="Book Antiqua" w:hAnsi="Book Antiqua" w:cs="Book Antiqua"/>
          <w:b/>
          <w:bCs/>
          <w:sz w:val="24"/>
          <w:szCs w:val="24"/>
          <w:lang w:val="es-PR"/>
        </w:rPr>
      </w:pPr>
      <w:r w:rsidRPr="00CF6FB0">
        <w:rPr>
          <w:rFonts w:ascii="Book Antiqua" w:eastAsia="Book Antiqua" w:hAnsi="Book Antiqua" w:cs="Book Antiqua"/>
          <w:b/>
          <w:bCs/>
          <w:sz w:val="24"/>
          <w:szCs w:val="24"/>
          <w:lang w:val="es-PR"/>
        </w:rPr>
        <w:t>Departamento de Salud</w:t>
      </w:r>
    </w:p>
    <w:p w14:paraId="12ADFD7D" w14:textId="77777777" w:rsidR="00554B1C" w:rsidRPr="00CF6FB0" w:rsidRDefault="00554B1C" w:rsidP="00A47859">
      <w:pPr>
        <w:pStyle w:val="ListParagraph"/>
        <w:spacing w:after="0" w:line="240" w:lineRule="auto"/>
        <w:jc w:val="center"/>
        <w:rPr>
          <w:rFonts w:ascii="Book Antiqua" w:eastAsia="Book Antiqua" w:hAnsi="Book Antiqua" w:cs="Book Antiqua"/>
          <w:b/>
          <w:bCs/>
          <w:sz w:val="24"/>
          <w:szCs w:val="24"/>
          <w:lang w:val="es-PR"/>
        </w:rPr>
      </w:pPr>
    </w:p>
    <w:p w14:paraId="5E847B53" w14:textId="07C376A5"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Del memorial sometido por el Departamento de Salud se desprende que la agencia endosa el Proyecto del Senado 652, destacando que los cuidadores, tanto formales como informales, juegan un papel fundamental en el bienestar de las poblaciones vulnerables, en particular de los adultos mayores. Según expresaron, la labor de los cuidadores informales, aunque no remunerada, complementa y refuerza el sistema de salud, permitiendo que las personas a su cargo reciban atención continua, personalizada y culturalmente adecuada. El Departamento enfatizó que estos cuidadores se convierten en promotores de salud comunitarios con impacto directo en los indicadores de salud pública.</w:t>
      </w:r>
    </w:p>
    <w:p w14:paraId="78B23FEF"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p>
    <w:p w14:paraId="501AA11B"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El análisis presentado reconoce que los cuidadores enfrentan múltiples necesidades que impactan su bienestar físico y emocional, incluyendo la falta de acceso a capacitación especializada, el agotamiento por la carga de trabajo y la precariedad económica. El Departamento entiende que la medida responde a una necesidad urgente de visibilizar a los cuidadores informales, atender integralmente sus necesidades y garantizar sus derechos bajo principios de equidad, dignidad y accesibilidad. Asimismo, resaltó que el P. del S. 652 cobra relevancia al considerar el rápido envejecimiento de la población y la falta de profesionales de salud especializados, como geriatras, lo que hace que el apoyo de cuidadores informales sea aún más esencial. </w:t>
      </w:r>
    </w:p>
    <w:p w14:paraId="1DCA5A77"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p>
    <w:p w14:paraId="5E45E9B4" w14:textId="39F2DC29"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El memorial también detalló programas vigentes de la agencia en beneficio de los cuidadores, tales como el Programa Stress-</w:t>
      </w:r>
      <w:proofErr w:type="spellStart"/>
      <w:r w:rsidRPr="00CF6FB0">
        <w:rPr>
          <w:rFonts w:ascii="Book Antiqua" w:eastAsia="Book Antiqua" w:hAnsi="Book Antiqua" w:cs="Book Antiqua"/>
          <w:sz w:val="24"/>
          <w:szCs w:val="24"/>
          <w:lang w:val="es-US"/>
        </w:rPr>
        <w:t>Busting</w:t>
      </w:r>
      <w:proofErr w:type="spellEnd"/>
      <w:r w:rsidRPr="00CF6FB0">
        <w:rPr>
          <w:rFonts w:ascii="Book Antiqua" w:eastAsia="Book Antiqua" w:hAnsi="Book Antiqua" w:cs="Book Antiqua"/>
          <w:sz w:val="24"/>
          <w:szCs w:val="24"/>
          <w:lang w:val="es-US"/>
        </w:rPr>
        <w:t xml:space="preserve"> para cuidadores de personas con demencia o condiciones crónicas, que ofrece nueve sesiones semanales dirigidas a la reducción del estrés. Igualmente, mencionaron los servicios del Centro para la </w:t>
      </w:r>
      <w:r w:rsidRPr="00CF6FB0">
        <w:rPr>
          <w:rFonts w:ascii="Book Antiqua" w:eastAsia="Book Antiqua" w:hAnsi="Book Antiqua" w:cs="Book Antiqua"/>
          <w:sz w:val="24"/>
          <w:szCs w:val="24"/>
          <w:lang w:val="es-US"/>
        </w:rPr>
        <w:lastRenderedPageBreak/>
        <w:t xml:space="preserve">Coordinación de Servicios a Personas con Alzheimer, que ofrece sesiones educativas y grupos de apoyo virtuales. Entre octubre de 2023 y marzo de 2025, estos grupos han contado con la participación de 703 personas, de las cuales un 84.8% fueron mujeres y un 15.2% hombres, lo que evidencia el alcance y la necesidad de este tipo de recursos. </w:t>
      </w:r>
    </w:p>
    <w:p w14:paraId="324886B2" w14:textId="77777777" w:rsidR="00554B1C" w:rsidRPr="00CF6FB0" w:rsidRDefault="00554B1C" w:rsidP="00554B1C">
      <w:pPr>
        <w:pStyle w:val="ListParagraph"/>
        <w:spacing w:after="0"/>
        <w:ind w:left="90" w:firstLine="630"/>
        <w:jc w:val="both"/>
        <w:rPr>
          <w:rFonts w:ascii="Book Antiqua" w:eastAsia="Book Antiqua" w:hAnsi="Book Antiqua" w:cs="Book Antiqua"/>
          <w:sz w:val="24"/>
          <w:szCs w:val="24"/>
          <w:lang w:val="es-US"/>
        </w:rPr>
      </w:pPr>
    </w:p>
    <w:p w14:paraId="47B730B4" w14:textId="4C160620" w:rsidR="00263A8B" w:rsidRDefault="00554B1C" w:rsidP="00263A8B">
      <w:pPr>
        <w:pStyle w:val="ListParagraph"/>
        <w:spacing w:after="0"/>
        <w:ind w:left="90" w:firstLine="63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Finalmente, el Departamento de Salud reiteró su disposición a colaborar con el Departamento de la Familia en la atención de desigualdades que afectan a los cuidadores, pero recomendó enmendar la medida para contemplar la asignación de fondos recurrentes de aproximadamente $200,000 a fin de garantizar la efectiva implementación de las disposiciones del P. del S. 652</w:t>
      </w:r>
      <w:r w:rsidR="00263A8B">
        <w:rPr>
          <w:rFonts w:ascii="Book Antiqua" w:eastAsia="Book Antiqua" w:hAnsi="Book Antiqua" w:cs="Book Antiqua"/>
          <w:sz w:val="24"/>
          <w:szCs w:val="24"/>
          <w:lang w:val="es-US"/>
        </w:rPr>
        <w:t>.</w:t>
      </w:r>
    </w:p>
    <w:p w14:paraId="08203505" w14:textId="77777777" w:rsidR="00263A8B" w:rsidRPr="00263A8B" w:rsidRDefault="00263A8B" w:rsidP="00263A8B">
      <w:pPr>
        <w:pStyle w:val="ListParagraph"/>
        <w:spacing w:after="0"/>
        <w:ind w:left="90" w:firstLine="630"/>
        <w:jc w:val="both"/>
        <w:rPr>
          <w:rFonts w:ascii="Book Antiqua" w:eastAsia="Book Antiqua" w:hAnsi="Book Antiqua" w:cs="Book Antiqua"/>
          <w:sz w:val="24"/>
          <w:szCs w:val="24"/>
          <w:lang w:val="es-US"/>
        </w:rPr>
      </w:pPr>
    </w:p>
    <w:p w14:paraId="248DD882" w14:textId="5AF82DD5" w:rsidR="00863309" w:rsidRPr="00263A8B" w:rsidRDefault="00D86239" w:rsidP="00263A8B">
      <w:pPr>
        <w:pStyle w:val="ListParagraph"/>
        <w:spacing w:after="0" w:line="240" w:lineRule="auto"/>
        <w:jc w:val="center"/>
        <w:rPr>
          <w:rFonts w:ascii="Book Antiqua" w:eastAsia="Book Antiqua" w:hAnsi="Book Antiqua" w:cs="Book Antiqua"/>
          <w:b/>
          <w:bCs/>
          <w:sz w:val="24"/>
          <w:szCs w:val="24"/>
          <w:lang w:val="es-PR"/>
        </w:rPr>
      </w:pPr>
      <w:r w:rsidRPr="00CF6FB0">
        <w:rPr>
          <w:rFonts w:ascii="Book Antiqua" w:eastAsia="Book Antiqua" w:hAnsi="Book Antiqua" w:cs="Book Antiqua"/>
          <w:b/>
          <w:bCs/>
          <w:sz w:val="24"/>
          <w:szCs w:val="24"/>
          <w:lang w:val="es-PR"/>
        </w:rPr>
        <w:t xml:space="preserve">AARP </w:t>
      </w:r>
    </w:p>
    <w:p w14:paraId="12E8C2D4" w14:textId="77777777" w:rsidR="007924DF" w:rsidRPr="00CF6FB0" w:rsidRDefault="007924DF" w:rsidP="007924DF">
      <w:pPr>
        <w:spacing w:after="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Del análisis de los memoriales recibidos, esta Comisión observa que existe consenso general en torno a la necesidad de aprobar el Proyecto del Senado 652 para fortalecer la política pública relacionada con los cuidadores informales en Puerto Rico. El Departamento de Salud endosó la medida y destacó la función esencial que desempeñan los cuidadores informales en la continuidad del sistema de salud, al proveer atención culturalmente adecuada y personalizada a poblaciones vulnerables. </w:t>
      </w:r>
    </w:p>
    <w:p w14:paraId="048FC0BD" w14:textId="77777777" w:rsidR="007924DF" w:rsidRPr="00CF6FB0" w:rsidRDefault="007924DF" w:rsidP="007924DF">
      <w:pPr>
        <w:spacing w:after="0" w:line="240" w:lineRule="auto"/>
        <w:ind w:firstLine="720"/>
        <w:jc w:val="both"/>
        <w:rPr>
          <w:rFonts w:ascii="Book Antiqua" w:eastAsia="Book Antiqua" w:hAnsi="Book Antiqua" w:cs="Book Antiqua"/>
          <w:sz w:val="24"/>
          <w:szCs w:val="24"/>
          <w:lang w:val="es-US"/>
        </w:rPr>
      </w:pPr>
    </w:p>
    <w:p w14:paraId="4EFFCE40" w14:textId="06870321" w:rsidR="007924DF" w:rsidRPr="00CF6FB0" w:rsidRDefault="007924DF" w:rsidP="007924DF">
      <w:pPr>
        <w:spacing w:after="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La agencia resaltó los retos de agotamiento, falta de adiestramiento especializado y precariedad económica que enfrentan estos cuidadores, por lo que catalogó la medida como urgente y necesaria para visibilizar y proteger sus derechos. Salud puntualizó, sin embargo, la importancia de contemplar una asignación presupuestaria recurrente de aproximadamente doscientos mil dólares para garantizar la implementación efectiva de sus disposiciones.</w:t>
      </w:r>
    </w:p>
    <w:p w14:paraId="0649F514" w14:textId="77777777" w:rsidR="007924DF" w:rsidRPr="00CF6FB0" w:rsidRDefault="007924DF" w:rsidP="007924DF">
      <w:pPr>
        <w:spacing w:after="0" w:line="240" w:lineRule="auto"/>
        <w:ind w:firstLine="720"/>
        <w:jc w:val="both"/>
        <w:rPr>
          <w:rFonts w:ascii="Book Antiqua" w:eastAsia="Book Antiqua" w:hAnsi="Book Antiqua" w:cs="Book Antiqua"/>
          <w:sz w:val="24"/>
          <w:szCs w:val="24"/>
          <w:lang w:val="es-US"/>
        </w:rPr>
      </w:pPr>
    </w:p>
    <w:p w14:paraId="469847EA" w14:textId="77777777" w:rsidR="007924DF" w:rsidRPr="00CF6FB0" w:rsidRDefault="007924DF" w:rsidP="007924DF">
      <w:pPr>
        <w:spacing w:after="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Por su parte, AARP Puerto Rico expresó un firme endoso al proyecto, recordando que la medida surge como resultado de un trabajo colaborativo multisectorial con organizaciones de apoyo, academia y proveedores de servicios, en seguimiento al </w:t>
      </w:r>
      <w:proofErr w:type="spellStart"/>
      <w:r w:rsidRPr="00CF6FB0">
        <w:rPr>
          <w:rFonts w:ascii="Book Antiqua" w:eastAsia="Book Antiqua" w:hAnsi="Book Antiqua" w:cs="Book Antiqua"/>
          <w:sz w:val="24"/>
          <w:szCs w:val="24"/>
          <w:lang w:val="es-US"/>
        </w:rPr>
        <w:t>Task</w:t>
      </w:r>
      <w:proofErr w:type="spellEnd"/>
      <w:r w:rsidRPr="00CF6FB0">
        <w:rPr>
          <w:rFonts w:ascii="Book Antiqua" w:eastAsia="Book Antiqua" w:hAnsi="Book Antiqua" w:cs="Book Antiqua"/>
          <w:sz w:val="24"/>
          <w:szCs w:val="24"/>
          <w:lang w:val="es-US"/>
        </w:rPr>
        <w:t xml:space="preserve"> </w:t>
      </w:r>
      <w:proofErr w:type="spellStart"/>
      <w:r w:rsidRPr="00CF6FB0">
        <w:rPr>
          <w:rFonts w:ascii="Book Antiqua" w:eastAsia="Book Antiqua" w:hAnsi="Book Antiqua" w:cs="Book Antiqua"/>
          <w:sz w:val="24"/>
          <w:szCs w:val="24"/>
          <w:lang w:val="es-US"/>
        </w:rPr>
        <w:t>Force</w:t>
      </w:r>
      <w:proofErr w:type="spellEnd"/>
      <w:r w:rsidRPr="00CF6FB0">
        <w:rPr>
          <w:rFonts w:ascii="Book Antiqua" w:eastAsia="Book Antiqua" w:hAnsi="Book Antiqua" w:cs="Book Antiqua"/>
          <w:sz w:val="24"/>
          <w:szCs w:val="24"/>
          <w:lang w:val="es-US"/>
        </w:rPr>
        <w:t xml:space="preserve"> de Cuidadores Familiares creado mediante la Resolución de la Cámara 584 de 2021. AARP enfatizó que los cuidadores informales son la espina dorsal del sistema de cuidado prolongado en la Isla, dado que los programas federales como Medicare y Medicaid no cubren servicios de larga duración. En su memorial, subrayaron la importancia de las enmiendas propuestas en el P. del S. 652, que incluyen el reconocimiento formal de la figura del cuidador, la creación de recursos de capacitación continua, mayores protecciones de flexibilidad laboral, herramientas de planificación financiera, y la inclusión del cuidador en los equipos de atención. Asimismo, señalaron la relevancia de expandir programas de apoyo, crear redes de voluntariado, establecer protocolos de asistencia en emergencias e incentivar la investigación sobre el rol y las necesidades de los cuidadores.</w:t>
      </w:r>
    </w:p>
    <w:p w14:paraId="1AB100E3" w14:textId="77777777" w:rsidR="007924DF" w:rsidRPr="00CF6FB0" w:rsidRDefault="007924DF" w:rsidP="007924DF">
      <w:pPr>
        <w:spacing w:after="0" w:line="240" w:lineRule="auto"/>
        <w:ind w:firstLine="720"/>
        <w:jc w:val="both"/>
        <w:rPr>
          <w:rFonts w:ascii="Book Antiqua" w:eastAsia="Book Antiqua" w:hAnsi="Book Antiqua" w:cs="Book Antiqua"/>
          <w:sz w:val="24"/>
          <w:szCs w:val="24"/>
          <w:lang w:val="es-US"/>
        </w:rPr>
      </w:pPr>
    </w:p>
    <w:p w14:paraId="644A3FD0" w14:textId="3ACF0FBA" w:rsidR="00863309" w:rsidRPr="00263A8B" w:rsidRDefault="007924DF" w:rsidP="00263A8B">
      <w:pPr>
        <w:spacing w:after="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En conjunto, los memoriales destacan que la medida fortalece la Ley 82-2023 al armonizarla con la Ley RAISE a nivel federal y responde a las recomendaciones del </w:t>
      </w:r>
      <w:proofErr w:type="spellStart"/>
      <w:r w:rsidRPr="00CF6FB0">
        <w:rPr>
          <w:rFonts w:ascii="Book Antiqua" w:eastAsia="Book Antiqua" w:hAnsi="Book Antiqua" w:cs="Book Antiqua"/>
          <w:sz w:val="24"/>
          <w:szCs w:val="24"/>
          <w:lang w:val="es-US"/>
        </w:rPr>
        <w:t>Task</w:t>
      </w:r>
      <w:proofErr w:type="spellEnd"/>
      <w:r w:rsidRPr="00CF6FB0">
        <w:rPr>
          <w:rFonts w:ascii="Book Antiqua" w:eastAsia="Book Antiqua" w:hAnsi="Book Antiqua" w:cs="Book Antiqua"/>
          <w:sz w:val="24"/>
          <w:szCs w:val="24"/>
          <w:lang w:val="es-US"/>
        </w:rPr>
        <w:t xml:space="preserve"> </w:t>
      </w:r>
      <w:proofErr w:type="spellStart"/>
      <w:r w:rsidRPr="00CF6FB0">
        <w:rPr>
          <w:rFonts w:ascii="Book Antiqua" w:eastAsia="Book Antiqua" w:hAnsi="Book Antiqua" w:cs="Book Antiqua"/>
          <w:sz w:val="24"/>
          <w:szCs w:val="24"/>
          <w:lang w:val="es-US"/>
        </w:rPr>
        <w:lastRenderedPageBreak/>
        <w:t>Force</w:t>
      </w:r>
      <w:proofErr w:type="spellEnd"/>
      <w:r w:rsidRPr="00CF6FB0">
        <w:rPr>
          <w:rFonts w:ascii="Book Antiqua" w:eastAsia="Book Antiqua" w:hAnsi="Book Antiqua" w:cs="Book Antiqua"/>
          <w:sz w:val="24"/>
          <w:szCs w:val="24"/>
          <w:lang w:val="es-US"/>
        </w:rPr>
        <w:t xml:space="preserve"> legislativo local. Tanto Salud como AARP coinciden en que el proyecto atiende las áreas críticas de apoyo, adiestramiento, protección de derechos, planificación futura y reconocimiento formal de los cuidadores, constituyéndose en una pieza legislativa necesaria para garantizar el bienestar de esta población y de las personas a quienes brindan cuidado.</w:t>
      </w:r>
    </w:p>
    <w:p w14:paraId="7D11DD7E" w14:textId="7CC69412" w:rsidR="007924DF" w:rsidRPr="00263A8B" w:rsidRDefault="007924DF" w:rsidP="00263A8B">
      <w:pPr>
        <w:pStyle w:val="ListParagraph"/>
        <w:spacing w:after="0" w:line="240" w:lineRule="auto"/>
        <w:jc w:val="center"/>
        <w:rPr>
          <w:rFonts w:ascii="Book Antiqua" w:eastAsia="Book Antiqua" w:hAnsi="Book Antiqua" w:cs="Book Antiqua"/>
          <w:b/>
          <w:bCs/>
          <w:sz w:val="24"/>
          <w:szCs w:val="24"/>
          <w:lang w:val="es-PR"/>
        </w:rPr>
      </w:pPr>
      <w:r w:rsidRPr="00CF6FB0">
        <w:rPr>
          <w:rFonts w:ascii="Book Antiqua" w:eastAsia="Book Antiqua" w:hAnsi="Book Antiqua" w:cs="Book Antiqua"/>
          <w:b/>
          <w:bCs/>
          <w:sz w:val="24"/>
          <w:szCs w:val="24"/>
          <w:lang w:val="es-PR"/>
        </w:rPr>
        <w:t>Departamento de la Familia</w:t>
      </w:r>
    </w:p>
    <w:p w14:paraId="1DEA300D"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El Departamento de la Familia favorece la aprobación del Proyecto del Senado 652, pero hace varias observaciones importantes sobre el contenido de la medida. En primer lugar, señalan que la Sección 6 del proyecto enmienda el Artículo 9 de la Ley 82-2023 para incluir nuevamente talleres educativos sobre destrezas de cuidado del paciente, lo cual ya está contemplado en artículos anteriores de la propia ley. Por esta razón, no recomiendan duplicar ese lenguaje y sugieren mantener el Artículo 9 centrado en las oportunidades de respiro y descanso para los cuidadores.</w:t>
      </w:r>
    </w:p>
    <w:p w14:paraId="6B0F4957"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3C421EF7"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cuanto a la Sección 7, que añade el nuevo Artículo 12 sobre Cuidado Prolongado, Cuidadores Formales y Profesionales de la Salud, el Departamento advierte que esta disposición introduce estrategias dirigidas a mejorar condiciones de cuidadores formales remunerados (como salarios, retención y adiestramientos). Entienden que este enfoque no corresponde a la Ley 82-2023, ya que la misma está dirigida a cuidadores informales. A su juicio, las disposiciones relativas a cuidadores formales deberían atenderse en legislación independiente.</w:t>
      </w:r>
    </w:p>
    <w:p w14:paraId="1BC61C06"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4FAAC511"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Respecto al nuevo Artículo 14 sobre Planes de Emergencia, el Departamento no tiene reparos en que se priorice a los cuidadores informales, pero recomienda aclarar que el beneficio no debe limitarse a quienes estén inscritos en el Registro de Cuidadores Informales, pues ello excluiría a gran parte de la población que aún no se ha registrado. Enfatizan que toda medida debe procurar que la protección y apoyo alcance a todos los cuidadores informales, inscritos o no.</w:t>
      </w:r>
    </w:p>
    <w:p w14:paraId="6A941DB9"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6557071F"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términos generales, el Departamento de la Familia reiteró su compromiso de continuar fortaleciendo las iniciativas que apoyen a los adultos mayores y a los cuidadores, y favoreció la aprobación de la medida, siempre que se consideren estas recomendaciones específicas.</w:t>
      </w:r>
    </w:p>
    <w:p w14:paraId="063CB72D"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5E9B4B85" w14:textId="27A64210" w:rsidR="00A47859" w:rsidRDefault="007924DF" w:rsidP="00263A8B">
      <w:pPr>
        <w:pStyle w:val="ListParagraph"/>
        <w:spacing w:after="0" w:line="240" w:lineRule="auto"/>
        <w:jc w:val="center"/>
        <w:rPr>
          <w:rFonts w:ascii="Book Antiqua" w:eastAsia="Book Antiqua" w:hAnsi="Book Antiqua" w:cs="Book Antiqua"/>
          <w:b/>
          <w:bCs/>
          <w:sz w:val="24"/>
          <w:szCs w:val="24"/>
          <w:lang w:val="es-US"/>
        </w:rPr>
      </w:pPr>
      <w:r w:rsidRPr="00CF6FB0">
        <w:rPr>
          <w:rFonts w:ascii="Book Antiqua" w:eastAsia="Book Antiqua" w:hAnsi="Book Antiqua" w:cs="Book Antiqua"/>
          <w:b/>
          <w:bCs/>
          <w:sz w:val="24"/>
          <w:szCs w:val="24"/>
          <w:lang w:val="es-US"/>
        </w:rPr>
        <w:t>Administración de Servicios de Salud Mental y Contra la Adicción (ASSMCA)</w:t>
      </w:r>
    </w:p>
    <w:p w14:paraId="4E3FB084" w14:textId="77777777" w:rsidR="00263A8B" w:rsidRPr="00263A8B" w:rsidRDefault="00263A8B" w:rsidP="00263A8B">
      <w:pPr>
        <w:pStyle w:val="ListParagraph"/>
        <w:spacing w:after="0" w:line="240" w:lineRule="auto"/>
        <w:jc w:val="center"/>
        <w:rPr>
          <w:rFonts w:ascii="Book Antiqua" w:eastAsia="Book Antiqua" w:hAnsi="Book Antiqua" w:cs="Book Antiqua"/>
          <w:b/>
          <w:bCs/>
          <w:sz w:val="24"/>
          <w:szCs w:val="24"/>
          <w:lang w:val="es-US"/>
        </w:rPr>
      </w:pPr>
    </w:p>
    <w:p w14:paraId="4961594F"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La Administración de Servicios de Salud Mental y Contra la Adicción (ASSMCA) compareció ante la Comisión de Adultos Mayores y Bienestar Social para expresar su posición sobre el Proyecto del Senado 652. La agencia destacó que, si bien la labor del cuidador informal es gratificante y positiva, también puede generar serias consecuencias físicas, emocionales y sociales. Señalaron que el agotamiento propio de las funciones del </w:t>
      </w:r>
      <w:r w:rsidRPr="00CF6FB0">
        <w:rPr>
          <w:rFonts w:ascii="Book Antiqua" w:eastAsia="Book Antiqua" w:hAnsi="Book Antiqua" w:cs="Book Antiqua"/>
          <w:sz w:val="24"/>
          <w:szCs w:val="24"/>
          <w:lang w:val="es-US"/>
        </w:rPr>
        <w:lastRenderedPageBreak/>
        <w:t xml:space="preserve">cuidador puede desembocar en el llamado “síndrome del cuidador quemado o </w:t>
      </w:r>
      <w:proofErr w:type="spellStart"/>
      <w:r w:rsidRPr="00CF6FB0">
        <w:rPr>
          <w:rFonts w:ascii="Book Antiqua" w:eastAsia="Book Antiqua" w:hAnsi="Book Antiqua" w:cs="Book Antiqua"/>
          <w:sz w:val="24"/>
          <w:szCs w:val="24"/>
          <w:lang w:val="es-US"/>
        </w:rPr>
        <w:t>burn-out</w:t>
      </w:r>
      <w:proofErr w:type="spellEnd"/>
      <w:r w:rsidRPr="00CF6FB0">
        <w:rPr>
          <w:rFonts w:ascii="Book Antiqua" w:eastAsia="Book Antiqua" w:hAnsi="Book Antiqua" w:cs="Book Antiqua"/>
          <w:sz w:val="24"/>
          <w:szCs w:val="24"/>
          <w:lang w:val="es-US"/>
        </w:rPr>
        <w:t>”, caracterizado por cansancio extremo, problemas de sueño, irritabilidad, sentimientos de culpa, aislamiento social y pérdida de interés en actividades previamente placenteras. En ese contexto, resaltaron la importancia de incluir en la política pública disposiciones claras de educación, autocuidado y manejo del estrés para los cuidadores.</w:t>
      </w:r>
    </w:p>
    <w:p w14:paraId="36AC193F" w14:textId="77777777" w:rsidR="007924DF" w:rsidRPr="00CF6FB0" w:rsidRDefault="007924DF" w:rsidP="007924DF">
      <w:pPr>
        <w:pStyle w:val="ListParagraph"/>
        <w:spacing w:after="0"/>
        <w:ind w:left="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La agencia contextualizó sus recomendaciones con datos poblacionales, recordando que en Puerto Rico el grupo de personas mayores de 60 años representa más del 27% de la población y que este sector continúa en aumento. Por ello, enfatizaron que el proyecto resulta indispensable para apoyar a los cuidadores informales en la medida en que se intensifica el proceso de envejecimiento poblacional en la Isla.</w:t>
      </w:r>
    </w:p>
    <w:p w14:paraId="1F537CB3" w14:textId="77777777" w:rsidR="007924DF" w:rsidRPr="00CF6FB0" w:rsidRDefault="007924DF" w:rsidP="007924DF">
      <w:pPr>
        <w:pStyle w:val="ListParagraph"/>
        <w:spacing w:after="0"/>
        <w:ind w:left="0"/>
        <w:jc w:val="both"/>
        <w:rPr>
          <w:rFonts w:ascii="Book Antiqua" w:eastAsia="Book Antiqua" w:hAnsi="Book Antiqua" w:cs="Book Antiqua"/>
          <w:sz w:val="24"/>
          <w:szCs w:val="24"/>
          <w:lang w:val="es-US"/>
        </w:rPr>
      </w:pPr>
    </w:p>
    <w:p w14:paraId="03514ECC"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ASSMCA endosó el P. del S. 652 y presentó un conjunto de recomendaciones específicas para fortalecer la medida. Entre ellas, sugirieron incluir disposiciones sobre formación y capacitación continua a cuidadores informales en técnicas de cuidado, manejo del estrés y bienestar emocional; establecer apoyos psicosociales mediante servicios psicológicos y grupos de ayuda especializados para cuidadores; evaluar la posibilidad de incentivos económicos que reconozcan la dedicación significativa al cuidado prolongado; y disponer revisiones periódicas del impacto de la ley para asegurar la identificación oportuna de necesidades emergentes. También recomendaron fomentar el desarrollo de redes comunitarias de apoyo y alianzas con entidades gubernamentales y organizaciones sin fines de lucro, garantizar acceso preferencial a servicios médicos y de salud mental, implementar programas preventivos dirigidos a detectar tempranamente síntomas de estrés, depresión y ansiedad, y establecer sistemas de monitoreo y seguimiento continuo del bienestar de los cuidadores.</w:t>
      </w:r>
    </w:p>
    <w:p w14:paraId="16D12105"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17A0971E" w14:textId="18742713" w:rsidR="007924DF" w:rsidRPr="00CF6FB0" w:rsidRDefault="007924DF" w:rsidP="00263A8B">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conclusión, ASSMCA favoreció la aprobación del P. del S. 652, señalando que sus disposiciones, acompañadas de las recomendaciones propuestas, representan un marco legislativo integral para proteger la salud mental y emocional de los cuidadores informales y, a la vez, fortalecer su rol dentro del sistema de cuidado prolongado en Puerto Rico.</w:t>
      </w:r>
    </w:p>
    <w:p w14:paraId="7F461CA2" w14:textId="24FF9A45" w:rsidR="007924DF" w:rsidRPr="00263A8B" w:rsidRDefault="007924DF" w:rsidP="00263A8B">
      <w:pPr>
        <w:pStyle w:val="ListParagraph"/>
        <w:spacing w:after="0" w:line="240" w:lineRule="auto"/>
        <w:ind w:left="0"/>
        <w:jc w:val="center"/>
        <w:rPr>
          <w:rFonts w:ascii="Book Antiqua" w:eastAsia="Book Antiqua" w:hAnsi="Book Antiqua" w:cs="Book Antiqua"/>
          <w:b/>
          <w:bCs/>
          <w:sz w:val="24"/>
          <w:szCs w:val="24"/>
          <w:lang w:val="es-US"/>
        </w:rPr>
      </w:pPr>
      <w:r w:rsidRPr="00CF6FB0">
        <w:rPr>
          <w:rFonts w:ascii="Book Antiqua" w:eastAsia="Book Antiqua" w:hAnsi="Book Antiqua" w:cs="Book Antiqua"/>
          <w:b/>
          <w:bCs/>
          <w:sz w:val="24"/>
          <w:szCs w:val="24"/>
          <w:lang w:val="es-US"/>
        </w:rPr>
        <w:t>Defensoría de las Personas con Impedimentos (DPI)</w:t>
      </w:r>
    </w:p>
    <w:p w14:paraId="2C9F81CC" w14:textId="77777777" w:rsidR="007924DF" w:rsidRPr="00CF6FB0" w:rsidRDefault="007924DF" w:rsidP="007924DF">
      <w:pPr>
        <w:pStyle w:val="ListParagraph"/>
        <w:spacing w:after="0" w:line="240" w:lineRule="auto"/>
        <w:ind w:left="0"/>
        <w:jc w:val="both"/>
        <w:rPr>
          <w:rFonts w:ascii="Book Antiqua" w:eastAsia="Book Antiqua" w:hAnsi="Book Antiqua" w:cs="Book Antiqua"/>
          <w:lang w:val="es-US"/>
        </w:rPr>
      </w:pPr>
      <w:r w:rsidRPr="00CF6FB0">
        <w:rPr>
          <w:rFonts w:ascii="Book Antiqua" w:eastAsia="Book Antiqua" w:hAnsi="Book Antiqua" w:cs="Book Antiqua"/>
          <w:sz w:val="24"/>
          <w:szCs w:val="24"/>
          <w:lang w:val="es-PR"/>
        </w:rPr>
        <w:tab/>
      </w:r>
      <w:r w:rsidRPr="00CF6FB0">
        <w:rPr>
          <w:rFonts w:ascii="Book Antiqua" w:eastAsia="Book Antiqua" w:hAnsi="Book Antiqua" w:cs="Book Antiqua"/>
          <w:lang w:val="es-US"/>
        </w:rPr>
        <w:t>La Defensoría de las Personas con Impedimentos (DPI) reconoció la pertinencia del Proyecto del Senado 652 en el contexto del rápido envejecimiento poblacional y la creciente necesidad de servicios de cuidado prolongado. Destacaron que en Puerto Rico existen 765,503 personas con alguna discapacidad, lo que representa un 24.2% de la población, y que este sector demanda apoyos específicos y especializados, particularmente en el caso de adultos mayores con condiciones múltiples.</w:t>
      </w:r>
    </w:p>
    <w:p w14:paraId="4494D3D8" w14:textId="77777777" w:rsidR="007924DF" w:rsidRPr="00CF6FB0" w:rsidRDefault="007924DF" w:rsidP="007924DF">
      <w:pPr>
        <w:pStyle w:val="ListParagraph"/>
        <w:spacing w:after="0" w:line="240" w:lineRule="auto"/>
        <w:ind w:left="0"/>
        <w:jc w:val="both"/>
        <w:rPr>
          <w:rFonts w:ascii="Book Antiqua" w:eastAsia="Book Antiqua" w:hAnsi="Book Antiqua" w:cs="Book Antiqua"/>
          <w:lang w:val="es-US"/>
        </w:rPr>
      </w:pPr>
    </w:p>
    <w:p w14:paraId="7E4340ED"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El memorial enfatizó que muchas personas con impedimentos requieren la asistencia de cuidadores especializados que atiendan sus necesidades particulares, por lo que la política pública debe reconocer las intersecciones entre envejecimiento, discapacidad y condiciones de salud crónicas. La Defensoría subrayó que el P. del S. 652 </w:t>
      </w:r>
      <w:r w:rsidRPr="00CF6FB0">
        <w:rPr>
          <w:rFonts w:ascii="Book Antiqua" w:eastAsia="Book Antiqua" w:hAnsi="Book Antiqua" w:cs="Book Antiqua"/>
          <w:sz w:val="24"/>
          <w:szCs w:val="24"/>
          <w:lang w:val="es-US"/>
        </w:rPr>
        <w:lastRenderedPageBreak/>
        <w:t xml:space="preserve">se alinea con la Ley RAISE federal, así como con las recomendaciones del </w:t>
      </w:r>
      <w:proofErr w:type="spellStart"/>
      <w:r w:rsidRPr="00CF6FB0">
        <w:rPr>
          <w:rFonts w:ascii="Book Antiqua" w:eastAsia="Book Antiqua" w:hAnsi="Book Antiqua" w:cs="Book Antiqua"/>
          <w:sz w:val="24"/>
          <w:szCs w:val="24"/>
          <w:lang w:val="es-US"/>
        </w:rPr>
        <w:t>Task</w:t>
      </w:r>
      <w:proofErr w:type="spellEnd"/>
      <w:r w:rsidRPr="00CF6FB0">
        <w:rPr>
          <w:rFonts w:ascii="Book Antiqua" w:eastAsia="Book Antiqua" w:hAnsi="Book Antiqua" w:cs="Book Antiqua"/>
          <w:sz w:val="24"/>
          <w:szCs w:val="24"/>
          <w:lang w:val="es-US"/>
        </w:rPr>
        <w:t xml:space="preserve"> </w:t>
      </w:r>
      <w:proofErr w:type="spellStart"/>
      <w:r w:rsidRPr="00CF6FB0">
        <w:rPr>
          <w:rFonts w:ascii="Book Antiqua" w:eastAsia="Book Antiqua" w:hAnsi="Book Antiqua" w:cs="Book Antiqua"/>
          <w:sz w:val="24"/>
          <w:szCs w:val="24"/>
          <w:lang w:val="es-US"/>
        </w:rPr>
        <w:t>Force</w:t>
      </w:r>
      <w:proofErr w:type="spellEnd"/>
      <w:r w:rsidRPr="00CF6FB0">
        <w:rPr>
          <w:rFonts w:ascii="Book Antiqua" w:eastAsia="Book Antiqua" w:hAnsi="Book Antiqua" w:cs="Book Antiqua"/>
          <w:sz w:val="24"/>
          <w:szCs w:val="24"/>
          <w:lang w:val="es-US"/>
        </w:rPr>
        <w:t xml:space="preserve"> legislativo creado por la R. de la C. 584 de 2021, que ya había resaltado la necesidad de mayor apoyo a cuidadores informales y familiares.</w:t>
      </w:r>
    </w:p>
    <w:p w14:paraId="2F0136FF"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751ED1C9" w14:textId="1952835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La agencia resaltó además que los cuidadores informales asumen cargas significativas de responsabilidad en la vida diaria de las personas con impedimentos, lo cual incide directamente en su inclusión social, acceso a servicios y calidad de vida. Destacaron que el proyecto reafirma la importancia de garantizar un marco legal que proteja la dignidad de los cuidadores y de las personas a quienes apoyan, promoviendo la integración comunitaria, la igualdad de oportunidades y la accesibilidad en cumplimiento con la ADA y otras disposiciones federales y estatales.</w:t>
      </w:r>
    </w:p>
    <w:p w14:paraId="51560003"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3A62F871"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términos de recomendaciones, la DPI favoreció el proyecto, sugiriendo fortalecer el reconocimiento expreso de los cuidadores de personas con impedimentos dentro de la ley y asegurar que el acceso a programas, servicios y beneficios no se limite exclusivamente al sector de adultos mayores, sino que se extienda también a personas de todas las edades con necesidades de apoyo. Igualmente, instaron a que se promuevan programas de educación, capacitación y apoyo psicosocial dirigidos a estos cuidadores, reconociendo el doble reto que enfrentan al atender tanto a adultos mayores como a personas con diversidad funcional.</w:t>
      </w:r>
    </w:p>
    <w:p w14:paraId="44AD62CB"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01E1DA9A"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conclusión, la Defensoría de las Personas con Impedimentos endosó el P. del S. 652 y recomendó su aprobación, señalando que la medida robustece la política pública sobre el cuidado informal y atiende las realidades de una población amplia y diversa que requiere atención especializada y sostenida.</w:t>
      </w:r>
    </w:p>
    <w:p w14:paraId="731C3D93"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p>
    <w:p w14:paraId="225532E2" w14:textId="4DCDB5F3" w:rsidR="007924DF" w:rsidRPr="00263A8B" w:rsidRDefault="007924DF" w:rsidP="00263A8B">
      <w:pPr>
        <w:pStyle w:val="ListParagraph"/>
        <w:spacing w:after="0"/>
        <w:ind w:left="0" w:firstLine="720"/>
        <w:jc w:val="center"/>
        <w:rPr>
          <w:rFonts w:ascii="Book Antiqua" w:eastAsia="Book Antiqua" w:hAnsi="Book Antiqua" w:cs="Book Antiqua"/>
          <w:b/>
          <w:bCs/>
          <w:sz w:val="24"/>
          <w:szCs w:val="24"/>
          <w:lang w:val="es-US"/>
        </w:rPr>
      </w:pPr>
      <w:r w:rsidRPr="00CF6FB0">
        <w:rPr>
          <w:rFonts w:ascii="Book Antiqua" w:eastAsia="Book Antiqua" w:hAnsi="Book Antiqua" w:cs="Book Antiqua"/>
          <w:b/>
          <w:bCs/>
          <w:sz w:val="24"/>
          <w:szCs w:val="24"/>
          <w:lang w:val="es-US"/>
        </w:rPr>
        <w:t>Recinto de Ciencias Médicas</w:t>
      </w:r>
    </w:p>
    <w:p w14:paraId="774A2291"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El Recinto de Ciencias Médicas (RCM) endosó el Proyecto del Senado 652 y resaltó la urgencia de atender la realidad del acelerado envejecimiento poblacional en Puerto Rico, señalando que uno de cada cuatro puertorriqueños tiene más de 65 años y que gran parte de esta población presenta limitaciones funcionales y enfermedades crónicas. Destacaron la alta carga que esto impone a los cuidadores informales: en Puerto Rico, el 57.8% dedica más de 20 horas semanales al cuidado y un 41.2% dedica 40 horas o más, lo que refleja la magnitud del desgaste que enfrentan.</w:t>
      </w:r>
    </w:p>
    <w:p w14:paraId="721CFAA7" w14:textId="77777777" w:rsidR="007924DF"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El RCM reconoció que la medida armoniza la política pública con la Ley RAISE federal, pero recomendó añadir un reconocimiento expreso a los cuidadores de personas con condiciones severas de salud mental (como esquizofrenia o trastorno bipolar), de adultos con condiciones del neurodesarrollo (autismo y discapacidad intelectual) y de adultos con condiciones crónicas complejas. Entre sus propuestas, destacaron la creación de la figura legal de “cuidador designado”, que permita a los cuidadores participar en </w:t>
      </w:r>
      <w:r w:rsidRPr="00CF6FB0">
        <w:rPr>
          <w:rFonts w:ascii="Book Antiqua" w:eastAsia="Book Antiqua" w:hAnsi="Book Antiqua" w:cs="Book Antiqua"/>
          <w:sz w:val="24"/>
          <w:szCs w:val="24"/>
          <w:lang w:val="es-US"/>
        </w:rPr>
        <w:lastRenderedPageBreak/>
        <w:t>decisiones clínicas sin necesidad de tutoría legal formal, en conformidad con HIPAA y la reglamentación local.</w:t>
      </w:r>
    </w:p>
    <w:p w14:paraId="4C448D60" w14:textId="77777777" w:rsidR="00263A8B" w:rsidRPr="00CF6FB0" w:rsidRDefault="00263A8B" w:rsidP="007924DF">
      <w:pPr>
        <w:pStyle w:val="ListParagraph"/>
        <w:spacing w:after="0"/>
        <w:ind w:left="0" w:firstLine="720"/>
        <w:jc w:val="both"/>
        <w:rPr>
          <w:rFonts w:ascii="Book Antiqua" w:eastAsia="Book Antiqua" w:hAnsi="Book Antiqua" w:cs="Book Antiqua"/>
          <w:sz w:val="24"/>
          <w:szCs w:val="24"/>
          <w:lang w:val="es-US"/>
        </w:rPr>
      </w:pPr>
    </w:p>
    <w:p w14:paraId="5CC8BABF" w14:textId="77777777" w:rsidR="007924DF"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Asimismo, recomendaron la implementación de protocolos de autorización flexible para garantizar que los pacientes puedan designar cuidadores de confianza; la inclusión de módulos de orientación temprana a familias y cuidadores al momento del diagnóstico de condiciones de dependencia prolongada; el desarrollo de guías clínicas interinstitucionales uniformes sobre la inclusión de cuidadores en decisiones clínicas; y la promoción de procesos de mediación en conflictos para proteger a pacientes y apoyar a profesionales de la salud.</w:t>
      </w:r>
    </w:p>
    <w:p w14:paraId="2F4B45E1" w14:textId="77777777" w:rsidR="00263A8B" w:rsidRPr="00CF6FB0" w:rsidRDefault="00263A8B" w:rsidP="007924DF">
      <w:pPr>
        <w:pStyle w:val="ListParagraph"/>
        <w:spacing w:after="0"/>
        <w:ind w:left="0" w:firstLine="720"/>
        <w:jc w:val="both"/>
        <w:rPr>
          <w:rFonts w:ascii="Book Antiqua" w:eastAsia="Book Antiqua" w:hAnsi="Book Antiqua" w:cs="Book Antiqua"/>
          <w:sz w:val="24"/>
          <w:szCs w:val="24"/>
          <w:lang w:val="es-US"/>
        </w:rPr>
      </w:pPr>
    </w:p>
    <w:p w14:paraId="1BB128C0" w14:textId="77777777" w:rsidR="007924DF"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El RCM subrayó además la capacidad de sus escuelas y centros especializados —incluyendo la Escuela de Salud Pública, la Escuela de Enfermería, la Escuela de Medicina Dental, el CIEG y el </w:t>
      </w:r>
      <w:proofErr w:type="spellStart"/>
      <w:r w:rsidRPr="00CF6FB0">
        <w:rPr>
          <w:rFonts w:ascii="Book Antiqua" w:eastAsia="Book Antiqua" w:hAnsi="Book Antiqua" w:cs="Book Antiqua"/>
          <w:sz w:val="24"/>
          <w:szCs w:val="24"/>
          <w:lang w:val="es-US"/>
        </w:rPr>
        <w:t>IAGero</w:t>
      </w:r>
      <w:proofErr w:type="spellEnd"/>
      <w:r w:rsidRPr="00CF6FB0">
        <w:rPr>
          <w:rFonts w:ascii="Book Antiqua" w:eastAsia="Book Antiqua" w:hAnsi="Book Antiqua" w:cs="Book Antiqua"/>
          <w:sz w:val="24"/>
          <w:szCs w:val="24"/>
          <w:lang w:val="es-US"/>
        </w:rPr>
        <w:t>— para aportar a la preparación de cuidadores mediante programas formales de certificación, manuales especializados y adiestramientos interdisciplinarios. Resaltaron que estos programas ya han capacitado a cientos de cuidadores y que deben integrarse como componente esencial en la implantación del PS 652.</w:t>
      </w:r>
    </w:p>
    <w:p w14:paraId="1130F560" w14:textId="77777777" w:rsidR="00263A8B" w:rsidRPr="00CF6FB0" w:rsidRDefault="00263A8B" w:rsidP="007924DF">
      <w:pPr>
        <w:pStyle w:val="ListParagraph"/>
        <w:spacing w:after="0"/>
        <w:ind w:left="0" w:firstLine="720"/>
        <w:jc w:val="both"/>
        <w:rPr>
          <w:rFonts w:ascii="Book Antiqua" w:eastAsia="Book Antiqua" w:hAnsi="Book Antiqua" w:cs="Book Antiqua"/>
          <w:sz w:val="24"/>
          <w:szCs w:val="24"/>
          <w:lang w:val="es-US"/>
        </w:rPr>
      </w:pPr>
    </w:p>
    <w:p w14:paraId="76750EC9" w14:textId="77777777" w:rsidR="007924DF"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términos presupuestarios, identificaron necesidades específicas por un estimado de $150,000 para fortalecer su oferta de talleres, contratación de facultad y apoyo administrativo, lo que permitiría expandir la preparación de cuidadores de manera sostenible. También recomendaron que se incluya la salud oral como componente esencial de la capacitación, dada la relevancia de la atención odontológica en adultos mayores y la reciente Ley 79-2025 que impone revisiones orales anuales a esta población.</w:t>
      </w:r>
    </w:p>
    <w:p w14:paraId="69A61C6F" w14:textId="77777777" w:rsidR="00263A8B" w:rsidRPr="00CF6FB0" w:rsidRDefault="00263A8B" w:rsidP="007924DF">
      <w:pPr>
        <w:pStyle w:val="ListParagraph"/>
        <w:spacing w:after="0"/>
        <w:ind w:left="0" w:firstLine="720"/>
        <w:jc w:val="both"/>
        <w:rPr>
          <w:rFonts w:ascii="Book Antiqua" w:eastAsia="Book Antiqua" w:hAnsi="Book Antiqua" w:cs="Book Antiqua"/>
          <w:sz w:val="24"/>
          <w:szCs w:val="24"/>
          <w:lang w:val="es-US"/>
        </w:rPr>
      </w:pPr>
    </w:p>
    <w:p w14:paraId="03C52857" w14:textId="77777777" w:rsidR="007924DF" w:rsidRPr="00CF6FB0" w:rsidRDefault="007924DF" w:rsidP="007924DF">
      <w:pPr>
        <w:pStyle w:val="ListParagraph"/>
        <w:spacing w:after="0"/>
        <w:ind w:left="0"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conclusión, el RCM favoreció la aprobación del PS 652, reiterando su disposición de colaborar con el Gobierno y la Asamblea Legislativa para viabilizar la medida y asegurar que se traduzca en programas de capacitación, servicios de respiro y apoyo comunitario sostenibles para cuidadores informales en Puerto Rico.</w:t>
      </w:r>
    </w:p>
    <w:p w14:paraId="3B79587D" w14:textId="508BE75D" w:rsidR="007924DF" w:rsidRPr="00CF6FB0" w:rsidRDefault="007924DF" w:rsidP="00A47859">
      <w:pPr>
        <w:pStyle w:val="ListParagraph"/>
        <w:spacing w:after="0" w:line="240" w:lineRule="auto"/>
        <w:jc w:val="center"/>
        <w:rPr>
          <w:rFonts w:ascii="Book Antiqua" w:eastAsia="Book Antiqua" w:hAnsi="Book Antiqua" w:cs="Book Antiqua"/>
          <w:b/>
          <w:bCs/>
          <w:sz w:val="24"/>
          <w:szCs w:val="24"/>
          <w:lang w:val="es-PR"/>
        </w:rPr>
      </w:pPr>
    </w:p>
    <w:p w14:paraId="090A2112" w14:textId="3D28ABCF" w:rsidR="00C57C4A" w:rsidRPr="00CF6FB0" w:rsidRDefault="00C57C4A" w:rsidP="47B2C723">
      <w:pPr>
        <w:spacing w:after="0" w:line="240" w:lineRule="auto"/>
        <w:jc w:val="both"/>
        <w:rPr>
          <w:rFonts w:ascii="Book Antiqua" w:eastAsia="Book Antiqua" w:hAnsi="Book Antiqua" w:cs="Book Antiqua"/>
          <w:b/>
          <w:bCs/>
          <w:sz w:val="24"/>
          <w:szCs w:val="24"/>
          <w:lang w:val="es-PR"/>
        </w:rPr>
      </w:pPr>
      <w:r w:rsidRPr="00CF6FB0">
        <w:rPr>
          <w:rFonts w:ascii="Book Antiqua" w:eastAsia="Book Antiqua" w:hAnsi="Book Antiqua" w:cs="Book Antiqua"/>
          <w:b/>
          <w:bCs/>
          <w:sz w:val="24"/>
          <w:szCs w:val="24"/>
          <w:lang w:val="es-PR"/>
        </w:rPr>
        <w:t>RECOMENDACIONES</w:t>
      </w:r>
      <w:r w:rsidR="003E7904" w:rsidRPr="00CF6FB0">
        <w:rPr>
          <w:rFonts w:ascii="Book Antiqua" w:eastAsia="Book Antiqua" w:hAnsi="Book Antiqua" w:cs="Book Antiqua"/>
          <w:b/>
          <w:bCs/>
          <w:sz w:val="24"/>
          <w:szCs w:val="24"/>
          <w:lang w:val="es-PR"/>
        </w:rPr>
        <w:t xml:space="preserve"> Y CONCLUSIONES</w:t>
      </w:r>
    </w:p>
    <w:p w14:paraId="1BF888AA" w14:textId="77777777" w:rsidR="00606461" w:rsidRPr="00CF6FB0" w:rsidRDefault="00606461" w:rsidP="00606461">
      <w:pPr>
        <w:spacing w:after="0" w:line="240" w:lineRule="auto"/>
        <w:ind w:firstLine="720"/>
        <w:jc w:val="both"/>
        <w:rPr>
          <w:rFonts w:ascii="Book Antiqua" w:eastAsia="Book Antiqua" w:hAnsi="Book Antiqua" w:cs="Book Antiqua"/>
          <w:sz w:val="24"/>
          <w:szCs w:val="24"/>
          <w:lang w:val="es-PR"/>
        </w:rPr>
      </w:pPr>
    </w:p>
    <w:p w14:paraId="7C12A76A" w14:textId="77777777" w:rsidR="00D70EE0" w:rsidRPr="00CF6FB0" w:rsidRDefault="00D70EE0" w:rsidP="00D70EE0">
      <w:pPr>
        <w:spacing w:after="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 xml:space="preserve">Tras evaluar los memoriales y ponencias recibidas, esta Comisión reconoce la importancia de aprobar el Proyecto del Senado 652 como una medida indispensable para fortalecer la política pública de apoyo a los cuidadores informales en Puerto Rico. Existe un consenso claro entre las agencias y organizaciones comparecientes en torno a la necesidad de ampliar los derechos, recursos y apoyos disponibles para esta población, en armonía con las disposiciones de la Ley Federal RAISE y el trabajo realizado por el </w:t>
      </w:r>
      <w:proofErr w:type="spellStart"/>
      <w:r w:rsidRPr="00CF6FB0">
        <w:rPr>
          <w:rFonts w:ascii="Book Antiqua" w:eastAsia="Book Antiqua" w:hAnsi="Book Antiqua" w:cs="Book Antiqua"/>
          <w:sz w:val="24"/>
          <w:szCs w:val="24"/>
          <w:lang w:val="es-US"/>
        </w:rPr>
        <w:t>Task</w:t>
      </w:r>
      <w:proofErr w:type="spellEnd"/>
      <w:r w:rsidRPr="00CF6FB0">
        <w:rPr>
          <w:rFonts w:ascii="Book Antiqua" w:eastAsia="Book Antiqua" w:hAnsi="Book Antiqua" w:cs="Book Antiqua"/>
          <w:sz w:val="24"/>
          <w:szCs w:val="24"/>
          <w:lang w:val="es-US"/>
        </w:rPr>
        <w:t xml:space="preserve"> </w:t>
      </w:r>
      <w:proofErr w:type="spellStart"/>
      <w:r w:rsidRPr="00CF6FB0">
        <w:rPr>
          <w:rFonts w:ascii="Book Antiqua" w:eastAsia="Book Antiqua" w:hAnsi="Book Antiqua" w:cs="Book Antiqua"/>
          <w:sz w:val="24"/>
          <w:szCs w:val="24"/>
          <w:lang w:val="es-US"/>
        </w:rPr>
        <w:t>Force</w:t>
      </w:r>
      <w:proofErr w:type="spellEnd"/>
      <w:r w:rsidRPr="00CF6FB0">
        <w:rPr>
          <w:rFonts w:ascii="Book Antiqua" w:eastAsia="Book Antiqua" w:hAnsi="Book Antiqua" w:cs="Book Antiqua"/>
          <w:sz w:val="24"/>
          <w:szCs w:val="24"/>
          <w:lang w:val="es-US"/>
        </w:rPr>
        <w:t xml:space="preserve"> legislativo creado mediante la Resolución de la Cámara 584 de 2021.</w:t>
      </w:r>
    </w:p>
    <w:p w14:paraId="4DB41392" w14:textId="77777777" w:rsidR="00D70EE0" w:rsidRPr="00CF6FB0" w:rsidRDefault="00D70EE0" w:rsidP="00D70EE0">
      <w:pPr>
        <w:spacing w:after="0" w:line="240" w:lineRule="auto"/>
        <w:ind w:firstLine="720"/>
        <w:jc w:val="both"/>
        <w:rPr>
          <w:rFonts w:ascii="Book Antiqua" w:eastAsia="Book Antiqua" w:hAnsi="Book Antiqua" w:cs="Book Antiqua"/>
          <w:sz w:val="24"/>
          <w:szCs w:val="24"/>
          <w:lang w:val="es-US"/>
        </w:rPr>
      </w:pPr>
    </w:p>
    <w:p w14:paraId="72AD786D" w14:textId="77777777" w:rsidR="00D70EE0" w:rsidRPr="00CF6FB0" w:rsidRDefault="00D70EE0" w:rsidP="00D70EE0">
      <w:pPr>
        <w:spacing w:after="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Los memoriales recibidos plantean observaciones puntuales que esta Comisión entiende razonables y que deben ser consideradas en el trámite legislativo. Entre ellas, el Departamento de Salud subrayó la necesidad de contemplar una asignación presupuestaria recurrente para garantizar la implantación efectiva de la medida; el Departamento de la Familia advirtió sobre la conveniencia de mantener el alcance de la ley centrado en cuidadores informales y no formales, evitando duplicidad en disposiciones ya existentes; y la ASSMCA recomendó fortalecer el componente de salud mental y emocional mediante programas de apoyo psicosocial, monitoreo continuo y capacitación en técnicas de autocuidado. Por su parte, la Defensoría de las Personas con Impedimentos resaltó la necesidad de extender los beneficios a cuidadores de personas con diversidad funcional, mientras que el Recinto de Ciencias Médicas propuso reconocer a cuidadores de personas con condiciones severas de salud mental y neurodesarrollo, así como crear la figura del “cuidador designado” para garantizar su inclusión en decisiones clínicas. AARP, finalmente, respaldó la medida e insistió en la necesidad de proveer recursos de capacitación, flexibilidad laboral, planificación financiera, redes de apoyo y protocolos de emergencia.</w:t>
      </w:r>
    </w:p>
    <w:p w14:paraId="42392ABC" w14:textId="77777777" w:rsidR="00D70EE0" w:rsidRPr="00CF6FB0" w:rsidRDefault="00D70EE0" w:rsidP="00D70EE0">
      <w:pPr>
        <w:spacing w:after="0" w:line="240" w:lineRule="auto"/>
        <w:ind w:firstLine="720"/>
        <w:jc w:val="both"/>
        <w:rPr>
          <w:rFonts w:ascii="Book Antiqua" w:eastAsia="Book Antiqua" w:hAnsi="Book Antiqua" w:cs="Book Antiqua"/>
          <w:sz w:val="24"/>
          <w:szCs w:val="24"/>
          <w:lang w:val="es-US"/>
        </w:rPr>
      </w:pPr>
    </w:p>
    <w:p w14:paraId="03F1F599" w14:textId="77777777" w:rsidR="00D70EE0" w:rsidRPr="00CF6FB0" w:rsidRDefault="00D70EE0" w:rsidP="00D70EE0">
      <w:pPr>
        <w:spacing w:after="0" w:line="240" w:lineRule="auto"/>
        <w:ind w:firstLine="720"/>
        <w:jc w:val="both"/>
        <w:rPr>
          <w:rFonts w:ascii="Book Antiqua" w:eastAsia="Book Antiqua" w:hAnsi="Book Antiqua" w:cs="Book Antiqua"/>
          <w:sz w:val="24"/>
          <w:szCs w:val="24"/>
          <w:lang w:val="es-US"/>
        </w:rPr>
      </w:pPr>
      <w:r w:rsidRPr="00CF6FB0">
        <w:rPr>
          <w:rFonts w:ascii="Book Antiqua" w:eastAsia="Book Antiqua" w:hAnsi="Book Antiqua" w:cs="Book Antiqua"/>
          <w:sz w:val="24"/>
          <w:szCs w:val="24"/>
          <w:lang w:val="es-US"/>
        </w:rPr>
        <w:t>En conclusión, esta Comisión recomienda la aprobación del Proyecto del Senado 652, reconociendo que el mismo constituye un paso firme en la dirección de proteger y fortalecer a los cuidadores informales, quienes son pieza clave en la atención a adultos mayores y personas con impedimentos. Se acogen las recomendaciones de las agencias y organizaciones comparecientes en la medida en que fortalecen su implementación, particularmente aquellas dirigidas a asegurar financiamiento recurrente, ampliar la cobertura de beneficiarios y garantizar apoyos de salud mental, emocional y social. De igual forma, esta Comisión exhorta al Ejecutivo y a las agencias concernidas a realizar los ajustes presupuestarios necesarios para viabilizar esta política pública de manera responsable y sostenible, garantizando que los cuidadores puedan contar con los recursos y apoyos que les permitan continuar desempeñando su función esencial para el bienestar de nuestro pueblo.</w:t>
      </w:r>
    </w:p>
    <w:p w14:paraId="2285D07C" w14:textId="77777777" w:rsidR="00D86239" w:rsidRPr="00CF6FB0" w:rsidRDefault="00D86239" w:rsidP="47B2C723">
      <w:pPr>
        <w:spacing w:after="0" w:line="240" w:lineRule="auto"/>
        <w:ind w:firstLine="720"/>
        <w:jc w:val="both"/>
        <w:rPr>
          <w:rFonts w:ascii="Book Antiqua" w:eastAsia="Book Antiqua" w:hAnsi="Book Antiqua" w:cs="Book Antiqua"/>
          <w:sz w:val="24"/>
          <w:szCs w:val="24"/>
          <w:lang w:val="es-US"/>
        </w:rPr>
      </w:pPr>
    </w:p>
    <w:p w14:paraId="25EC8531" w14:textId="7A650401" w:rsidR="5AA65BF5" w:rsidRDefault="5AA65BF5" w:rsidP="5EDC41F8">
      <w:pPr>
        <w:ind w:firstLine="720"/>
        <w:jc w:val="both"/>
        <w:rPr>
          <w:rFonts w:ascii="Book Antiqua" w:eastAsia="Book Antiqua" w:hAnsi="Book Antiqua" w:cs="Book Antiqua"/>
          <w:sz w:val="24"/>
          <w:szCs w:val="24"/>
          <w:lang w:val="es-PR"/>
        </w:rPr>
      </w:pPr>
      <w:r w:rsidRPr="00CF6FB0">
        <w:rPr>
          <w:rFonts w:ascii="Book Antiqua" w:eastAsia="Book Antiqua" w:hAnsi="Book Antiqua" w:cs="Book Antiqua"/>
          <w:b/>
          <w:bCs/>
          <w:color w:val="000000" w:themeColor="text1"/>
          <w:sz w:val="24"/>
          <w:szCs w:val="24"/>
          <w:lang w:val="es-ES"/>
        </w:rPr>
        <w:t>POR TODO LO ANTES EXPUESTO</w:t>
      </w:r>
      <w:r w:rsidRPr="00CF6FB0">
        <w:rPr>
          <w:rFonts w:ascii="Book Antiqua" w:eastAsia="Book Antiqua" w:hAnsi="Book Antiqua" w:cs="Book Antiqua"/>
          <w:color w:val="000000" w:themeColor="text1"/>
          <w:sz w:val="24"/>
          <w:szCs w:val="24"/>
          <w:lang w:val="es-ES"/>
        </w:rPr>
        <w:t>, l</w:t>
      </w:r>
      <w:r w:rsidRPr="00CF6FB0">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CF6FB0">
        <w:rPr>
          <w:rFonts w:ascii="Book Antiqua" w:eastAsia="Book Antiqua" w:hAnsi="Book Antiqua" w:cs="Book Antiqua"/>
          <w:color w:val="000000" w:themeColor="text1"/>
          <w:sz w:val="24"/>
          <w:szCs w:val="24"/>
          <w:lang w:val="es-ES"/>
        </w:rPr>
        <w:t>, previo estudio y consideración, recomienda la aprobación del P. d</w:t>
      </w:r>
      <w:r w:rsidR="00D70EE0" w:rsidRPr="00CF6FB0">
        <w:rPr>
          <w:rFonts w:ascii="Book Antiqua" w:eastAsia="Book Antiqua" w:hAnsi="Book Antiqua" w:cs="Book Antiqua"/>
          <w:color w:val="000000" w:themeColor="text1"/>
          <w:sz w:val="24"/>
          <w:szCs w:val="24"/>
          <w:lang w:val="es-ES"/>
        </w:rPr>
        <w:t>el</w:t>
      </w:r>
      <w:r w:rsidR="3FDF74A5" w:rsidRPr="00CF6FB0">
        <w:rPr>
          <w:rFonts w:ascii="Book Antiqua" w:eastAsia="Book Antiqua" w:hAnsi="Book Antiqua" w:cs="Book Antiqua"/>
          <w:color w:val="000000" w:themeColor="text1"/>
          <w:sz w:val="24"/>
          <w:szCs w:val="24"/>
          <w:lang w:val="es-ES"/>
        </w:rPr>
        <w:t xml:space="preserve"> </w:t>
      </w:r>
      <w:r w:rsidR="00D70EE0" w:rsidRPr="00CF6FB0">
        <w:rPr>
          <w:rFonts w:ascii="Book Antiqua" w:eastAsia="Book Antiqua" w:hAnsi="Book Antiqua" w:cs="Book Antiqua"/>
          <w:color w:val="000000" w:themeColor="text1"/>
          <w:sz w:val="24"/>
          <w:szCs w:val="24"/>
          <w:lang w:val="es-ES"/>
        </w:rPr>
        <w:t>S</w:t>
      </w:r>
      <w:r w:rsidRPr="00CF6FB0">
        <w:rPr>
          <w:rFonts w:ascii="Book Antiqua" w:eastAsia="Book Antiqua" w:hAnsi="Book Antiqua" w:cs="Book Antiqua"/>
          <w:color w:val="000000" w:themeColor="text1"/>
          <w:sz w:val="24"/>
          <w:szCs w:val="24"/>
          <w:lang w:val="es-ES"/>
        </w:rPr>
        <w:t xml:space="preserve">. </w:t>
      </w:r>
      <w:r w:rsidR="00D70EE0" w:rsidRPr="00CF6FB0">
        <w:rPr>
          <w:rFonts w:ascii="Book Antiqua" w:eastAsia="Book Antiqua" w:hAnsi="Book Antiqua" w:cs="Book Antiqua"/>
          <w:color w:val="000000" w:themeColor="text1"/>
          <w:sz w:val="24"/>
          <w:szCs w:val="24"/>
          <w:lang w:val="es-ES"/>
        </w:rPr>
        <w:t>652,</w:t>
      </w:r>
      <w:r w:rsidRPr="00CF6FB0">
        <w:rPr>
          <w:rFonts w:ascii="Book Antiqua" w:eastAsia="Book Antiqua" w:hAnsi="Book Antiqua" w:cs="Book Antiqua"/>
          <w:color w:val="000000" w:themeColor="text1"/>
          <w:sz w:val="24"/>
          <w:szCs w:val="24"/>
          <w:lang w:val="es-ES"/>
        </w:rPr>
        <w:t xml:space="preserve"> </w:t>
      </w:r>
      <w:r w:rsidR="1A31ABA2" w:rsidRPr="00CF6FB0">
        <w:rPr>
          <w:rFonts w:ascii="Book Antiqua" w:eastAsia="Book Antiqua" w:hAnsi="Book Antiqua" w:cs="Book Antiqua"/>
          <w:sz w:val="24"/>
          <w:szCs w:val="24"/>
          <w:lang w:val="es-PR"/>
        </w:rPr>
        <w:t>con enmiendas en el entirillado electrónico que se acompaña.</w:t>
      </w:r>
      <w:r w:rsidR="1A31ABA2" w:rsidRPr="5EDC41F8">
        <w:rPr>
          <w:rFonts w:ascii="Book Antiqua" w:eastAsia="Book Antiqua" w:hAnsi="Book Antiqua" w:cs="Book Antiqua"/>
          <w:sz w:val="24"/>
          <w:szCs w:val="24"/>
          <w:lang w:val="es-PR"/>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30C1750E" w:rsidR="6FF13472" w:rsidRDefault="5AA65BF5" w:rsidP="00263A8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40102FE2" w14:textId="77777777" w:rsidR="00263A8B" w:rsidRDefault="00263A8B"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47B2C723">
        <w:rPr>
          <w:rFonts w:ascii="Book Antiqua" w:eastAsia="Book Antiqua" w:hAnsi="Book Antiqua" w:cs="Book Antiqua"/>
          <w:b/>
          <w:bCs/>
          <w:color w:val="000000" w:themeColor="text1"/>
          <w:sz w:val="24"/>
          <w:szCs w:val="24"/>
          <w:lang w:val="es-ES"/>
        </w:rPr>
        <w:t>Hon</w:t>
      </w:r>
      <w:proofErr w:type="spellEnd"/>
      <w:r w:rsidRPr="47B2C723">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8EE67" w14:textId="77777777" w:rsidR="00F81D1A" w:rsidRDefault="00F81D1A" w:rsidP="002217BA">
      <w:pPr>
        <w:spacing w:after="0" w:line="240" w:lineRule="auto"/>
      </w:pPr>
      <w:r>
        <w:separator/>
      </w:r>
    </w:p>
  </w:endnote>
  <w:endnote w:type="continuationSeparator" w:id="0">
    <w:p w14:paraId="10D0BA47" w14:textId="77777777" w:rsidR="00F81D1A" w:rsidRDefault="00F81D1A"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5A37B354"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554B1C">
      <w:rPr>
        <w:rFonts w:ascii="Book Antiqua" w:hAnsi="Book Antiqua"/>
        <w:smallCaps/>
        <w:sz w:val="16"/>
        <w:szCs w:val="16"/>
        <w:lang w:val="es-PR" w:eastAsia="es-PR"/>
      </w:rPr>
      <w:t>l S</w:t>
    </w:r>
    <w:r w:rsidRPr="3C3F330B">
      <w:rPr>
        <w:rFonts w:ascii="Book Antiqua" w:hAnsi="Book Antiqua"/>
        <w:smallCaps/>
        <w:sz w:val="16"/>
        <w:szCs w:val="16"/>
        <w:lang w:val="es-PR" w:eastAsia="es-PR"/>
      </w:rPr>
      <w:t xml:space="preserve">. </w:t>
    </w:r>
    <w:r w:rsidR="00554B1C">
      <w:rPr>
        <w:rFonts w:ascii="Book Antiqua" w:hAnsi="Book Antiqua"/>
        <w:smallCaps/>
        <w:sz w:val="16"/>
        <w:szCs w:val="16"/>
        <w:lang w:val="es-PR" w:eastAsia="es-PR"/>
      </w:rPr>
      <w:t>652</w:t>
    </w:r>
    <w:r w:rsidRPr="3C3F330B">
      <w:rPr>
        <w:rFonts w:ascii="Book Antiqua" w:hAnsi="Book Antiqua"/>
        <w:smallCaps/>
        <w:sz w:val="16"/>
        <w:szCs w:val="16"/>
        <w:lang w:val="es-PR" w:eastAsia="es-PR"/>
      </w:rPr>
      <w:t xml:space="preserve"> |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08910" w14:textId="77777777" w:rsidR="00F81D1A" w:rsidRDefault="00F81D1A" w:rsidP="002217BA">
      <w:pPr>
        <w:spacing w:after="0" w:line="240" w:lineRule="auto"/>
      </w:pPr>
      <w:r>
        <w:separator/>
      </w:r>
    </w:p>
  </w:footnote>
  <w:footnote w:type="continuationSeparator" w:id="0">
    <w:p w14:paraId="575B8750" w14:textId="77777777" w:rsidR="00F81D1A" w:rsidRDefault="00F81D1A"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8"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1"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6"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6"/>
  </w:num>
  <w:num w:numId="2" w16cid:durableId="37828396">
    <w:abstractNumId w:val="11"/>
  </w:num>
  <w:num w:numId="3" w16cid:durableId="1079641635">
    <w:abstractNumId w:val="15"/>
  </w:num>
  <w:num w:numId="4" w16cid:durableId="553732606">
    <w:abstractNumId w:val="2"/>
  </w:num>
  <w:num w:numId="5" w16cid:durableId="578715436">
    <w:abstractNumId w:val="0"/>
  </w:num>
  <w:num w:numId="6" w16cid:durableId="1615363827">
    <w:abstractNumId w:val="4"/>
  </w:num>
  <w:num w:numId="7" w16cid:durableId="252666089">
    <w:abstractNumId w:val="1"/>
  </w:num>
  <w:num w:numId="8" w16cid:durableId="1765228413">
    <w:abstractNumId w:val="7"/>
  </w:num>
  <w:num w:numId="9" w16cid:durableId="1017661359">
    <w:abstractNumId w:val="10"/>
  </w:num>
  <w:num w:numId="10" w16cid:durableId="2035307679">
    <w:abstractNumId w:val="12"/>
  </w:num>
  <w:num w:numId="11" w16cid:durableId="1614704334">
    <w:abstractNumId w:val="9"/>
  </w:num>
  <w:num w:numId="12" w16cid:durableId="693963319">
    <w:abstractNumId w:val="6"/>
  </w:num>
  <w:num w:numId="13" w16cid:durableId="1360815836">
    <w:abstractNumId w:val="13"/>
  </w:num>
  <w:num w:numId="14" w16cid:durableId="1066226203">
    <w:abstractNumId w:val="3"/>
  </w:num>
  <w:num w:numId="15" w16cid:durableId="445470389">
    <w:abstractNumId w:val="8"/>
  </w:num>
  <w:num w:numId="16" w16cid:durableId="1265772866">
    <w:abstractNumId w:val="14"/>
  </w:num>
  <w:num w:numId="17" w16cid:durableId="20774292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2041D"/>
    <w:rsid w:val="00032997"/>
    <w:rsid w:val="00032F5D"/>
    <w:rsid w:val="000417FE"/>
    <w:rsid w:val="00050D4E"/>
    <w:rsid w:val="00055BE5"/>
    <w:rsid w:val="0006747A"/>
    <w:rsid w:val="0007484E"/>
    <w:rsid w:val="000817D5"/>
    <w:rsid w:val="000A28D4"/>
    <w:rsid w:val="000A7F9D"/>
    <w:rsid w:val="000B22F5"/>
    <w:rsid w:val="000B7AD7"/>
    <w:rsid w:val="00105432"/>
    <w:rsid w:val="00106A99"/>
    <w:rsid w:val="00130CB1"/>
    <w:rsid w:val="00132EA1"/>
    <w:rsid w:val="001475A0"/>
    <w:rsid w:val="001570ED"/>
    <w:rsid w:val="001579C5"/>
    <w:rsid w:val="00173B14"/>
    <w:rsid w:val="001C139B"/>
    <w:rsid w:val="001E558A"/>
    <w:rsid w:val="001E56E2"/>
    <w:rsid w:val="00200967"/>
    <w:rsid w:val="002217BA"/>
    <w:rsid w:val="002262C6"/>
    <w:rsid w:val="00242247"/>
    <w:rsid w:val="002438BA"/>
    <w:rsid w:val="00263A8B"/>
    <w:rsid w:val="002705BE"/>
    <w:rsid w:val="00271F8E"/>
    <w:rsid w:val="00274F27"/>
    <w:rsid w:val="002A3090"/>
    <w:rsid w:val="003178E1"/>
    <w:rsid w:val="0036258B"/>
    <w:rsid w:val="00365275"/>
    <w:rsid w:val="003801CC"/>
    <w:rsid w:val="0038433A"/>
    <w:rsid w:val="003A132E"/>
    <w:rsid w:val="003A6E5C"/>
    <w:rsid w:val="003C49E6"/>
    <w:rsid w:val="003C682D"/>
    <w:rsid w:val="003E7904"/>
    <w:rsid w:val="003F4784"/>
    <w:rsid w:val="004327CB"/>
    <w:rsid w:val="004419C5"/>
    <w:rsid w:val="00441FB3"/>
    <w:rsid w:val="004643E2"/>
    <w:rsid w:val="004714D3"/>
    <w:rsid w:val="0048155A"/>
    <w:rsid w:val="00487B0E"/>
    <w:rsid w:val="004B262F"/>
    <w:rsid w:val="004C61E3"/>
    <w:rsid w:val="004E05EF"/>
    <w:rsid w:val="00504555"/>
    <w:rsid w:val="00520124"/>
    <w:rsid w:val="00537342"/>
    <w:rsid w:val="005404B7"/>
    <w:rsid w:val="00554B1C"/>
    <w:rsid w:val="00582260"/>
    <w:rsid w:val="00593B10"/>
    <w:rsid w:val="005C7810"/>
    <w:rsid w:val="005E0030"/>
    <w:rsid w:val="005E3474"/>
    <w:rsid w:val="005F59A3"/>
    <w:rsid w:val="005F59FE"/>
    <w:rsid w:val="00600D0B"/>
    <w:rsid w:val="00606461"/>
    <w:rsid w:val="00610533"/>
    <w:rsid w:val="00635D79"/>
    <w:rsid w:val="0063670F"/>
    <w:rsid w:val="00657B19"/>
    <w:rsid w:val="006748E5"/>
    <w:rsid w:val="00681739"/>
    <w:rsid w:val="00681843"/>
    <w:rsid w:val="006A3FAA"/>
    <w:rsid w:val="006A5414"/>
    <w:rsid w:val="006A701D"/>
    <w:rsid w:val="006A7F2F"/>
    <w:rsid w:val="006B54BB"/>
    <w:rsid w:val="006C1EF8"/>
    <w:rsid w:val="00700385"/>
    <w:rsid w:val="0070345F"/>
    <w:rsid w:val="00706556"/>
    <w:rsid w:val="0071049F"/>
    <w:rsid w:val="00753238"/>
    <w:rsid w:val="007728D9"/>
    <w:rsid w:val="00777779"/>
    <w:rsid w:val="00785D10"/>
    <w:rsid w:val="007924DF"/>
    <w:rsid w:val="007939DD"/>
    <w:rsid w:val="00794FA8"/>
    <w:rsid w:val="007C79D7"/>
    <w:rsid w:val="007F2465"/>
    <w:rsid w:val="00806783"/>
    <w:rsid w:val="008510F9"/>
    <w:rsid w:val="00862A62"/>
    <w:rsid w:val="00863309"/>
    <w:rsid w:val="00864450"/>
    <w:rsid w:val="0089026A"/>
    <w:rsid w:val="008A03CB"/>
    <w:rsid w:val="008C7B3E"/>
    <w:rsid w:val="008D3BA4"/>
    <w:rsid w:val="008F42A0"/>
    <w:rsid w:val="0091207F"/>
    <w:rsid w:val="00945C08"/>
    <w:rsid w:val="0095525D"/>
    <w:rsid w:val="00955E39"/>
    <w:rsid w:val="0098522B"/>
    <w:rsid w:val="009C5CC2"/>
    <w:rsid w:val="009D00CC"/>
    <w:rsid w:val="009D5D8E"/>
    <w:rsid w:val="00A06458"/>
    <w:rsid w:val="00A06866"/>
    <w:rsid w:val="00A32497"/>
    <w:rsid w:val="00A47859"/>
    <w:rsid w:val="00A52CC7"/>
    <w:rsid w:val="00A71AD7"/>
    <w:rsid w:val="00A77700"/>
    <w:rsid w:val="00A86C5B"/>
    <w:rsid w:val="00AB748A"/>
    <w:rsid w:val="00AB7F65"/>
    <w:rsid w:val="00ABE48F"/>
    <w:rsid w:val="00AC34BC"/>
    <w:rsid w:val="00AC76B8"/>
    <w:rsid w:val="00AD1E96"/>
    <w:rsid w:val="00AD79DC"/>
    <w:rsid w:val="00AF1A22"/>
    <w:rsid w:val="00AF76D3"/>
    <w:rsid w:val="00B4056F"/>
    <w:rsid w:val="00B55C7F"/>
    <w:rsid w:val="00B56938"/>
    <w:rsid w:val="00B60AAF"/>
    <w:rsid w:val="00B745E1"/>
    <w:rsid w:val="00B75911"/>
    <w:rsid w:val="00B83661"/>
    <w:rsid w:val="00B84008"/>
    <w:rsid w:val="00B950C6"/>
    <w:rsid w:val="00BA7F2B"/>
    <w:rsid w:val="00BB187C"/>
    <w:rsid w:val="00BC6271"/>
    <w:rsid w:val="00BD3710"/>
    <w:rsid w:val="00BE40E8"/>
    <w:rsid w:val="00C00424"/>
    <w:rsid w:val="00C04A4D"/>
    <w:rsid w:val="00C06313"/>
    <w:rsid w:val="00C33CD5"/>
    <w:rsid w:val="00C3725D"/>
    <w:rsid w:val="00C50B9B"/>
    <w:rsid w:val="00C53316"/>
    <w:rsid w:val="00C57C4A"/>
    <w:rsid w:val="00CA4D71"/>
    <w:rsid w:val="00CD1DE7"/>
    <w:rsid w:val="00CF22AB"/>
    <w:rsid w:val="00CF6FB0"/>
    <w:rsid w:val="00D01CA9"/>
    <w:rsid w:val="00D05709"/>
    <w:rsid w:val="00D21F6F"/>
    <w:rsid w:val="00D23D7F"/>
    <w:rsid w:val="00D34EC5"/>
    <w:rsid w:val="00D448D6"/>
    <w:rsid w:val="00D55328"/>
    <w:rsid w:val="00D55FC3"/>
    <w:rsid w:val="00D70EE0"/>
    <w:rsid w:val="00D85E2D"/>
    <w:rsid w:val="00D86239"/>
    <w:rsid w:val="00D94E98"/>
    <w:rsid w:val="00DA25B5"/>
    <w:rsid w:val="00DA424A"/>
    <w:rsid w:val="00DC178C"/>
    <w:rsid w:val="00DD0955"/>
    <w:rsid w:val="00DE1560"/>
    <w:rsid w:val="00E00B9B"/>
    <w:rsid w:val="00E17D03"/>
    <w:rsid w:val="00E27F0C"/>
    <w:rsid w:val="00E42B4E"/>
    <w:rsid w:val="00E456D3"/>
    <w:rsid w:val="00E45B78"/>
    <w:rsid w:val="00E51B91"/>
    <w:rsid w:val="00E55046"/>
    <w:rsid w:val="00EA666E"/>
    <w:rsid w:val="00EA6DB2"/>
    <w:rsid w:val="00EE2D33"/>
    <w:rsid w:val="00EE46B9"/>
    <w:rsid w:val="00EF004F"/>
    <w:rsid w:val="00F03BAD"/>
    <w:rsid w:val="00F06EE1"/>
    <w:rsid w:val="00F10A10"/>
    <w:rsid w:val="00F14B46"/>
    <w:rsid w:val="00F372C5"/>
    <w:rsid w:val="00F448AE"/>
    <w:rsid w:val="00F8041B"/>
    <w:rsid w:val="00F80692"/>
    <w:rsid w:val="00F81D1A"/>
    <w:rsid w:val="00F853E4"/>
    <w:rsid w:val="00F912AF"/>
    <w:rsid w:val="00FE6FE0"/>
    <w:rsid w:val="00FF2261"/>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53850">
      <w:bodyDiv w:val="1"/>
      <w:marLeft w:val="0"/>
      <w:marRight w:val="0"/>
      <w:marTop w:val="0"/>
      <w:marBottom w:val="0"/>
      <w:divBdr>
        <w:top w:val="none" w:sz="0" w:space="0" w:color="auto"/>
        <w:left w:val="none" w:sz="0" w:space="0" w:color="auto"/>
        <w:bottom w:val="none" w:sz="0" w:space="0" w:color="auto"/>
        <w:right w:val="none" w:sz="0" w:space="0" w:color="auto"/>
      </w:divBdr>
    </w:div>
    <w:div w:id="126748752">
      <w:bodyDiv w:val="1"/>
      <w:marLeft w:val="0"/>
      <w:marRight w:val="0"/>
      <w:marTop w:val="0"/>
      <w:marBottom w:val="0"/>
      <w:divBdr>
        <w:top w:val="none" w:sz="0" w:space="0" w:color="auto"/>
        <w:left w:val="none" w:sz="0" w:space="0" w:color="auto"/>
        <w:bottom w:val="none" w:sz="0" w:space="0" w:color="auto"/>
        <w:right w:val="none" w:sz="0" w:space="0" w:color="auto"/>
      </w:divBdr>
    </w:div>
    <w:div w:id="185142667">
      <w:bodyDiv w:val="1"/>
      <w:marLeft w:val="0"/>
      <w:marRight w:val="0"/>
      <w:marTop w:val="0"/>
      <w:marBottom w:val="0"/>
      <w:divBdr>
        <w:top w:val="none" w:sz="0" w:space="0" w:color="auto"/>
        <w:left w:val="none" w:sz="0" w:space="0" w:color="auto"/>
        <w:bottom w:val="none" w:sz="0" w:space="0" w:color="auto"/>
        <w:right w:val="none" w:sz="0" w:space="0" w:color="auto"/>
      </w:divBdr>
    </w:div>
    <w:div w:id="458456673">
      <w:bodyDiv w:val="1"/>
      <w:marLeft w:val="0"/>
      <w:marRight w:val="0"/>
      <w:marTop w:val="0"/>
      <w:marBottom w:val="0"/>
      <w:divBdr>
        <w:top w:val="none" w:sz="0" w:space="0" w:color="auto"/>
        <w:left w:val="none" w:sz="0" w:space="0" w:color="auto"/>
        <w:bottom w:val="none" w:sz="0" w:space="0" w:color="auto"/>
        <w:right w:val="none" w:sz="0" w:space="0" w:color="auto"/>
      </w:divBdr>
    </w:div>
    <w:div w:id="461852378">
      <w:bodyDiv w:val="1"/>
      <w:marLeft w:val="0"/>
      <w:marRight w:val="0"/>
      <w:marTop w:val="0"/>
      <w:marBottom w:val="0"/>
      <w:divBdr>
        <w:top w:val="none" w:sz="0" w:space="0" w:color="auto"/>
        <w:left w:val="none" w:sz="0" w:space="0" w:color="auto"/>
        <w:bottom w:val="none" w:sz="0" w:space="0" w:color="auto"/>
        <w:right w:val="none" w:sz="0" w:space="0" w:color="auto"/>
      </w:divBdr>
    </w:div>
    <w:div w:id="550578103">
      <w:bodyDiv w:val="1"/>
      <w:marLeft w:val="0"/>
      <w:marRight w:val="0"/>
      <w:marTop w:val="0"/>
      <w:marBottom w:val="0"/>
      <w:divBdr>
        <w:top w:val="none" w:sz="0" w:space="0" w:color="auto"/>
        <w:left w:val="none" w:sz="0" w:space="0" w:color="auto"/>
        <w:bottom w:val="none" w:sz="0" w:space="0" w:color="auto"/>
        <w:right w:val="none" w:sz="0" w:space="0" w:color="auto"/>
      </w:divBdr>
    </w:div>
    <w:div w:id="580144040">
      <w:bodyDiv w:val="1"/>
      <w:marLeft w:val="0"/>
      <w:marRight w:val="0"/>
      <w:marTop w:val="0"/>
      <w:marBottom w:val="0"/>
      <w:divBdr>
        <w:top w:val="none" w:sz="0" w:space="0" w:color="auto"/>
        <w:left w:val="none" w:sz="0" w:space="0" w:color="auto"/>
        <w:bottom w:val="none" w:sz="0" w:space="0" w:color="auto"/>
        <w:right w:val="none" w:sz="0" w:space="0" w:color="auto"/>
      </w:divBdr>
    </w:div>
    <w:div w:id="754785312">
      <w:bodyDiv w:val="1"/>
      <w:marLeft w:val="0"/>
      <w:marRight w:val="0"/>
      <w:marTop w:val="0"/>
      <w:marBottom w:val="0"/>
      <w:divBdr>
        <w:top w:val="none" w:sz="0" w:space="0" w:color="auto"/>
        <w:left w:val="none" w:sz="0" w:space="0" w:color="auto"/>
        <w:bottom w:val="none" w:sz="0" w:space="0" w:color="auto"/>
        <w:right w:val="none" w:sz="0" w:space="0" w:color="auto"/>
      </w:divBdr>
    </w:div>
    <w:div w:id="802848328">
      <w:bodyDiv w:val="1"/>
      <w:marLeft w:val="0"/>
      <w:marRight w:val="0"/>
      <w:marTop w:val="0"/>
      <w:marBottom w:val="0"/>
      <w:divBdr>
        <w:top w:val="none" w:sz="0" w:space="0" w:color="auto"/>
        <w:left w:val="none" w:sz="0" w:space="0" w:color="auto"/>
        <w:bottom w:val="none" w:sz="0" w:space="0" w:color="auto"/>
        <w:right w:val="none" w:sz="0" w:space="0" w:color="auto"/>
      </w:divBdr>
    </w:div>
    <w:div w:id="863441070">
      <w:bodyDiv w:val="1"/>
      <w:marLeft w:val="0"/>
      <w:marRight w:val="0"/>
      <w:marTop w:val="0"/>
      <w:marBottom w:val="0"/>
      <w:divBdr>
        <w:top w:val="none" w:sz="0" w:space="0" w:color="auto"/>
        <w:left w:val="none" w:sz="0" w:space="0" w:color="auto"/>
        <w:bottom w:val="none" w:sz="0" w:space="0" w:color="auto"/>
        <w:right w:val="none" w:sz="0" w:space="0" w:color="auto"/>
      </w:divBdr>
    </w:div>
    <w:div w:id="1022901144">
      <w:bodyDiv w:val="1"/>
      <w:marLeft w:val="0"/>
      <w:marRight w:val="0"/>
      <w:marTop w:val="0"/>
      <w:marBottom w:val="0"/>
      <w:divBdr>
        <w:top w:val="none" w:sz="0" w:space="0" w:color="auto"/>
        <w:left w:val="none" w:sz="0" w:space="0" w:color="auto"/>
        <w:bottom w:val="none" w:sz="0" w:space="0" w:color="auto"/>
        <w:right w:val="none" w:sz="0" w:space="0" w:color="auto"/>
      </w:divBdr>
    </w:div>
    <w:div w:id="1117525495">
      <w:bodyDiv w:val="1"/>
      <w:marLeft w:val="0"/>
      <w:marRight w:val="0"/>
      <w:marTop w:val="0"/>
      <w:marBottom w:val="0"/>
      <w:divBdr>
        <w:top w:val="none" w:sz="0" w:space="0" w:color="auto"/>
        <w:left w:val="none" w:sz="0" w:space="0" w:color="auto"/>
        <w:bottom w:val="none" w:sz="0" w:space="0" w:color="auto"/>
        <w:right w:val="none" w:sz="0" w:space="0" w:color="auto"/>
      </w:divBdr>
    </w:div>
    <w:div w:id="1205405798">
      <w:bodyDiv w:val="1"/>
      <w:marLeft w:val="0"/>
      <w:marRight w:val="0"/>
      <w:marTop w:val="0"/>
      <w:marBottom w:val="0"/>
      <w:divBdr>
        <w:top w:val="none" w:sz="0" w:space="0" w:color="auto"/>
        <w:left w:val="none" w:sz="0" w:space="0" w:color="auto"/>
        <w:bottom w:val="none" w:sz="0" w:space="0" w:color="auto"/>
        <w:right w:val="none" w:sz="0" w:space="0" w:color="auto"/>
      </w:divBdr>
    </w:div>
    <w:div w:id="1388988894">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931771487">
      <w:bodyDiv w:val="1"/>
      <w:marLeft w:val="0"/>
      <w:marRight w:val="0"/>
      <w:marTop w:val="0"/>
      <w:marBottom w:val="0"/>
      <w:divBdr>
        <w:top w:val="none" w:sz="0" w:space="0" w:color="auto"/>
        <w:left w:val="none" w:sz="0" w:space="0" w:color="auto"/>
        <w:bottom w:val="none" w:sz="0" w:space="0" w:color="auto"/>
        <w:right w:val="none" w:sz="0" w:space="0" w:color="auto"/>
      </w:divBdr>
    </w:div>
    <w:div w:id="1950163924">
      <w:bodyDiv w:val="1"/>
      <w:marLeft w:val="0"/>
      <w:marRight w:val="0"/>
      <w:marTop w:val="0"/>
      <w:marBottom w:val="0"/>
      <w:divBdr>
        <w:top w:val="none" w:sz="0" w:space="0" w:color="auto"/>
        <w:left w:val="none" w:sz="0" w:space="0" w:color="auto"/>
        <w:bottom w:val="none" w:sz="0" w:space="0" w:color="auto"/>
        <w:right w:val="none" w:sz="0" w:space="0" w:color="auto"/>
      </w:divBdr>
    </w:div>
    <w:div w:id="2005011326">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0930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3625</Words>
  <Characters>20663</Characters>
  <Application>Microsoft Office Word</Application>
  <DocSecurity>4</DocSecurity>
  <Lines>172</Lines>
  <Paragraphs>48</Paragraphs>
  <ScaleCrop>false</ScaleCrop>
  <Company/>
  <LinksUpToDate>false</LinksUpToDate>
  <CharactersWithSpaces>24240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2023-09-05T14:52:00Z</cp:lastPrinted>
  <dcterms:created xsi:type="dcterms:W3CDTF">2025-09-18T20:02:00Z</dcterms:created>
  <dcterms:modified xsi:type="dcterms:W3CDTF">2025-09-18T20:02:00Z</dcterms:modified>
</cp:coreProperties>
</file>