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EE025EC"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1721BB">
        <w:rPr>
          <w:rFonts w:ascii="Book Antiqua" w:hAnsi="Book Antiqua"/>
          <w:b/>
          <w:sz w:val="52"/>
          <w:szCs w:val="52"/>
          <w:lang w:val="es-ES"/>
        </w:rPr>
        <w:t xml:space="preserve"> </w:t>
      </w:r>
      <w:r w:rsidRPr="003E3789">
        <w:rPr>
          <w:rFonts w:ascii="Book Antiqua" w:hAnsi="Book Antiqua"/>
          <w:b/>
          <w:sz w:val="52"/>
          <w:szCs w:val="52"/>
          <w:lang w:val="es-ES"/>
        </w:rPr>
        <w:t>l</w:t>
      </w:r>
      <w:r w:rsidR="001721BB">
        <w:rPr>
          <w:rFonts w:ascii="Book Antiqua" w:hAnsi="Book Antiqua"/>
          <w:b/>
          <w:sz w:val="52"/>
          <w:szCs w:val="52"/>
          <w:lang w:val="es-ES"/>
        </w:rPr>
        <w:t>a</w:t>
      </w:r>
      <w:r w:rsidRPr="003E3789">
        <w:rPr>
          <w:rFonts w:ascii="Book Antiqua" w:hAnsi="Book Antiqua"/>
          <w:b/>
          <w:sz w:val="52"/>
          <w:szCs w:val="52"/>
          <w:lang w:val="es-ES"/>
        </w:rPr>
        <w:t xml:space="preserve"> </w:t>
      </w:r>
      <w:r w:rsidR="001721BB">
        <w:rPr>
          <w:rFonts w:ascii="Book Antiqua" w:hAnsi="Book Antiqua"/>
          <w:b/>
          <w:sz w:val="52"/>
          <w:szCs w:val="52"/>
          <w:lang w:val="es-ES"/>
        </w:rPr>
        <w:t>C</w:t>
      </w:r>
      <w:r w:rsidRPr="003E3789">
        <w:rPr>
          <w:rFonts w:ascii="Book Antiqua" w:hAnsi="Book Antiqua"/>
          <w:b/>
          <w:sz w:val="52"/>
          <w:szCs w:val="52"/>
          <w:lang w:val="es-ES"/>
        </w:rPr>
        <w:t xml:space="preserve">. </w:t>
      </w:r>
      <w:r w:rsidR="001721BB">
        <w:rPr>
          <w:rFonts w:ascii="Book Antiqua" w:hAnsi="Book Antiqua"/>
          <w:b/>
          <w:sz w:val="52"/>
          <w:szCs w:val="52"/>
          <w:lang w:val="es-ES"/>
        </w:rPr>
        <w:t>778</w:t>
      </w:r>
    </w:p>
    <w:p w14:paraId="195D415D" w14:textId="74A1655C" w:rsidR="00B811F4" w:rsidRPr="003E3789" w:rsidRDefault="005C72EA" w:rsidP="00A41002">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B811F4"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21F30035"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895CB0">
        <w:rPr>
          <w:rFonts w:ascii="Book Antiqua" w:hAnsi="Book Antiqua"/>
          <w:lang w:val="es-ES_tradnl"/>
        </w:rPr>
        <w:t>23</w:t>
      </w:r>
      <w:r w:rsidRPr="009E60BD">
        <w:rPr>
          <w:rFonts w:ascii="Book Antiqua" w:hAnsi="Book Antiqua"/>
          <w:lang w:val="es-ES_tradnl"/>
        </w:rPr>
        <w:t xml:space="preserve"> de </w:t>
      </w:r>
      <w:r w:rsidR="00F62F94">
        <w:rPr>
          <w:rFonts w:ascii="Book Antiqua" w:hAnsi="Book Antiqua"/>
          <w:lang w:val="es-ES_tradnl"/>
        </w:rPr>
        <w:t>abril</w:t>
      </w:r>
      <w:r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70A35BBD"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DA424E">
        <w:rPr>
          <w:rFonts w:ascii="Book Antiqua" w:hAnsi="Book Antiqua"/>
          <w:lang w:val="es-ES_tradnl"/>
        </w:rPr>
        <w:t xml:space="preserve"> la Cámara 778</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r w:rsidR="001721BB">
        <w:rPr>
          <w:rFonts w:ascii="Book Antiqua" w:hAnsi="Book Antiqua"/>
          <w:lang w:val="es-ES_tradnl"/>
        </w:rPr>
        <w:t>E</w:t>
      </w:r>
      <w:r w:rsidR="00DA424E">
        <w:rPr>
          <w:rFonts w:ascii="Book Antiqua" w:hAnsi="Book Antiqua"/>
          <w:lang w:val="es-ES_tradnl"/>
        </w:rPr>
        <w:t xml:space="preserve">ntirillado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w:t>
      </w:r>
      <w:r w:rsidR="002E558E">
        <w:rPr>
          <w:rFonts w:ascii="Book Antiqua" w:hAnsi="Book Antiqua"/>
          <w:lang w:val="es-ES_tradnl"/>
        </w:rPr>
        <w:t xml:space="preserve"> segundo</w:t>
      </w:r>
      <w:r w:rsidR="001721BB">
        <w:rPr>
          <w:rFonts w:ascii="Book Antiqua" w:hAnsi="Book Antiqua"/>
          <w:lang w:val="es-ES_tradnl"/>
        </w:rPr>
        <w:t xml:space="preserve"> informe</w:t>
      </w:r>
      <w:r w:rsidR="002E558E">
        <w:rPr>
          <w:rFonts w:ascii="Book Antiqua" w:hAnsi="Book Antiqua"/>
          <w:lang w:val="es-ES_tradnl"/>
        </w:rPr>
        <w:t xml:space="preserve"> positivo</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76BE8F91"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8B7A40">
        <w:rPr>
          <w:rFonts w:ascii="Book Antiqua" w:hAnsi="Book Antiqua"/>
          <w:lang w:val="es-ES"/>
        </w:rPr>
        <w:t xml:space="preserve"> la Camara 778</w:t>
      </w:r>
      <w:r w:rsidR="00E90810" w:rsidRPr="00E24AD8">
        <w:rPr>
          <w:rFonts w:ascii="Book Antiqua" w:hAnsi="Book Antiqua"/>
          <w:lang w:val="es-ES"/>
        </w:rPr>
        <w:t xml:space="preserve"> tiene como </w:t>
      </w:r>
      <w:r w:rsidR="008B7A40" w:rsidRPr="00E24AD8">
        <w:rPr>
          <w:rFonts w:ascii="Book Antiqua" w:hAnsi="Book Antiqua"/>
          <w:lang w:val="es-ES"/>
        </w:rPr>
        <w:t>objetivo</w:t>
      </w:r>
      <w:r w:rsidR="00206C2A">
        <w:rPr>
          <w:rFonts w:ascii="Book Antiqua" w:hAnsi="Book Antiqua"/>
          <w:lang w:val="es-ES"/>
        </w:rPr>
        <w:t>,”</w:t>
      </w:r>
      <w:r w:rsidR="0009022C">
        <w:rPr>
          <w:rFonts w:ascii="Book Antiqua" w:hAnsi="Book Antiqua"/>
          <w:lang w:val="es-ES"/>
        </w:rPr>
        <w:t>…</w:t>
      </w:r>
      <w:r w:rsidR="008B7A40" w:rsidRPr="008B7A40">
        <w:rPr>
          <w:rFonts w:ascii="Book Antiqua" w:hAnsi="Book Antiqua"/>
          <w:i/>
          <w:iCs/>
          <w:lang w:val="es-ES"/>
        </w:rPr>
        <w:t>enmendar el Artículo 2.9A y el Artículo 9.12(c) de la Ley 161-2019, según enmendada, conocida como “Ley para la Reforma del Proceso de Permisos de Puerto Rico”, a los fines de excluir el requisito de un permiso de uso para la instalación de servicios básicos en una residencia para uso familiar construidas con anterioridad a la aprobación de la Ley 161, supra; y para otros fines relacionados</w:t>
      </w:r>
      <w:r w:rsidR="00B36364" w:rsidRPr="008B7A40">
        <w:rPr>
          <w:rFonts w:ascii="Book Antiqua" w:hAnsi="Book Antiqua"/>
          <w:i/>
          <w:iCs/>
          <w:lang w:val="es-ES"/>
        </w:rPr>
        <w:t>”.</w:t>
      </w:r>
    </w:p>
    <w:p w14:paraId="0303DCA4" w14:textId="77777777" w:rsidR="00B36364" w:rsidRPr="00E24AD8" w:rsidRDefault="00B36364" w:rsidP="00E24AD8">
      <w:pPr>
        <w:tabs>
          <w:tab w:val="left" w:pos="0"/>
        </w:tabs>
        <w:spacing w:line="360" w:lineRule="auto"/>
        <w:ind w:firstLine="360"/>
        <w:jc w:val="both"/>
        <w:rPr>
          <w:rFonts w:ascii="Book Antiqua" w:hAnsi="Book Antiqua"/>
          <w:lang w:val="es-ES"/>
        </w:rPr>
      </w:pPr>
    </w:p>
    <w:p w14:paraId="51DEB991" w14:textId="77777777" w:rsidR="00F62F94" w:rsidRDefault="00F62F94" w:rsidP="00E24AD8">
      <w:pPr>
        <w:spacing w:line="360" w:lineRule="auto"/>
        <w:jc w:val="center"/>
        <w:rPr>
          <w:rFonts w:ascii="Book Antiqua" w:hAnsi="Book Antiqua"/>
          <w:b/>
          <w:color w:val="000000"/>
          <w:lang w:val="es-ES"/>
        </w:rPr>
      </w:pPr>
    </w:p>
    <w:p w14:paraId="594CF9E5" w14:textId="77777777" w:rsidR="00F62F94" w:rsidRDefault="00F62F94" w:rsidP="00E24AD8">
      <w:pPr>
        <w:spacing w:line="360" w:lineRule="auto"/>
        <w:jc w:val="center"/>
        <w:rPr>
          <w:rFonts w:ascii="Book Antiqua" w:hAnsi="Book Antiqua"/>
          <w:b/>
          <w:color w:val="000000"/>
          <w:lang w:val="es-ES"/>
        </w:rPr>
      </w:pPr>
    </w:p>
    <w:p w14:paraId="21C1C842" w14:textId="6881DECB" w:rsidR="001D000E" w:rsidRPr="00E24AD8"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2163B0F6" w14:textId="4E33263C" w:rsidR="008B7A40" w:rsidRPr="008B7A40" w:rsidRDefault="009A246A" w:rsidP="008B7A40">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Pr>
          <w:rFonts w:ascii="Book Antiqua" w:hAnsi="Book Antiqua"/>
          <w:lang w:val="es-PR"/>
        </w:rPr>
        <w:tab/>
      </w:r>
      <w:r w:rsidR="008B7A40" w:rsidRPr="008B7A40">
        <w:rPr>
          <w:rFonts w:ascii="Book Antiqua" w:hAnsi="Book Antiqua"/>
          <w:lang w:val="es-PR"/>
        </w:rPr>
        <w:t>El Proyecto de la Cámara 778 propone enmendar la Ley 161</w:t>
      </w:r>
      <w:r w:rsidR="008B7A40" w:rsidRPr="008B7A40">
        <w:rPr>
          <w:rFonts w:ascii="Book Antiqua" w:hAnsi="Book Antiqua"/>
          <w:lang w:val="es-PR"/>
        </w:rPr>
        <w:noBreakHyphen/>
        <w:t xml:space="preserve">2009, conocida como “Ley para la Reforma del Proceso de Permisos de Puerto Rico”, con el fin de aclarar su alcance y atender una problemática que afecta a miles de familias puertorriqueñas que residen en estructuras construidas antes de la aprobación de </w:t>
      </w:r>
      <w:r w:rsidR="008B7A40">
        <w:rPr>
          <w:rFonts w:ascii="Book Antiqua" w:hAnsi="Book Antiqua"/>
          <w:lang w:val="es-PR"/>
        </w:rPr>
        <w:t xml:space="preserve">la mencionada </w:t>
      </w:r>
      <w:r w:rsidR="008B7A40" w:rsidRPr="008B7A40">
        <w:rPr>
          <w:rFonts w:ascii="Book Antiqua" w:hAnsi="Book Antiqua"/>
          <w:lang w:val="es-PR"/>
        </w:rPr>
        <w:t>ley. Actualmente, estas familias enfrentan obstáculos para obtener o reconectar los servicios esenciales de agua potable y energía eléctrica debido al requisito de un permiso de uso que, para el momento de la construcción de dichas viviendas, no era exigible bajo el marco regulatorio vigente.</w:t>
      </w:r>
    </w:p>
    <w:p w14:paraId="1E43D4ED" w14:textId="77777777" w:rsidR="008B7A40" w:rsidRDefault="008B7A40" w:rsidP="008B7A40">
      <w:pPr>
        <w:tabs>
          <w:tab w:val="left" w:pos="0"/>
        </w:tabs>
        <w:spacing w:line="360" w:lineRule="auto"/>
        <w:jc w:val="both"/>
        <w:rPr>
          <w:rFonts w:ascii="Book Antiqua" w:hAnsi="Book Antiqua"/>
          <w:lang w:val="es-PR"/>
        </w:rPr>
      </w:pPr>
    </w:p>
    <w:p w14:paraId="088893F4" w14:textId="37BCA428"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 xml:space="preserve">La medida busca armonizar el sistema de permisos con la realidad histórica de </w:t>
      </w:r>
      <w:r>
        <w:rPr>
          <w:rFonts w:ascii="Book Antiqua" w:hAnsi="Book Antiqua"/>
          <w:lang w:val="es-PR"/>
        </w:rPr>
        <w:t>Puerto Rico</w:t>
      </w:r>
      <w:r w:rsidRPr="008B7A40">
        <w:rPr>
          <w:rFonts w:ascii="Book Antiqua" w:hAnsi="Book Antiqua"/>
          <w:lang w:val="es-PR"/>
        </w:rPr>
        <w:t xml:space="preserve">, salvaguardando a la vez la seguridad y la </w:t>
      </w:r>
      <w:r>
        <w:rPr>
          <w:rFonts w:ascii="Book Antiqua" w:hAnsi="Book Antiqua"/>
          <w:lang w:val="es-PR"/>
        </w:rPr>
        <w:t>concesión de servicios esenciales</w:t>
      </w:r>
      <w:r w:rsidRPr="008B7A40">
        <w:rPr>
          <w:rFonts w:ascii="Book Antiqua" w:hAnsi="Book Antiqua"/>
          <w:lang w:val="es-PR"/>
        </w:rPr>
        <w:t xml:space="preserve"> mediante mecanismos de certificación técnica y verificaciones </w:t>
      </w:r>
      <w:r>
        <w:rPr>
          <w:rFonts w:ascii="Book Antiqua" w:hAnsi="Book Antiqua"/>
          <w:lang w:val="es-PR"/>
        </w:rPr>
        <w:t>razonables</w:t>
      </w:r>
      <w:r w:rsidRPr="008B7A40">
        <w:rPr>
          <w:rFonts w:ascii="Book Antiqua" w:hAnsi="Book Antiqua"/>
          <w:lang w:val="es-PR"/>
        </w:rPr>
        <w:t>. Su intención principal es asegurar que la ausencia de un permiso de uso</w:t>
      </w:r>
      <w:r>
        <w:rPr>
          <w:rFonts w:ascii="Book Antiqua" w:hAnsi="Book Antiqua"/>
          <w:lang w:val="es-PR"/>
        </w:rPr>
        <w:t>,</w:t>
      </w:r>
      <w:r w:rsidRPr="008B7A40">
        <w:rPr>
          <w:rFonts w:ascii="Book Antiqua" w:hAnsi="Book Antiqua"/>
          <w:lang w:val="es-PR"/>
        </w:rPr>
        <w:t xml:space="preserve"> en estructuras residenciales construidas antes del 1 de diciembre de 2009</w:t>
      </w:r>
      <w:r>
        <w:rPr>
          <w:rFonts w:ascii="Book Antiqua" w:hAnsi="Book Antiqua"/>
          <w:lang w:val="es-PR"/>
        </w:rPr>
        <w:t>,</w:t>
      </w:r>
      <w:r w:rsidRPr="008B7A40">
        <w:rPr>
          <w:rFonts w:ascii="Book Antiqua" w:hAnsi="Book Antiqua"/>
          <w:lang w:val="es-PR"/>
        </w:rPr>
        <w:t xml:space="preserve"> no se convierta en un impedimento para que los residentes accedan a servicios básicos indispensables para la salud, la seguridad y una vida digna.</w:t>
      </w:r>
    </w:p>
    <w:p w14:paraId="3E44329F" w14:textId="77777777" w:rsidR="008B7A40" w:rsidRDefault="008B7A40" w:rsidP="008B7A40">
      <w:pPr>
        <w:tabs>
          <w:tab w:val="left" w:pos="0"/>
        </w:tabs>
        <w:spacing w:line="360" w:lineRule="auto"/>
        <w:jc w:val="both"/>
        <w:rPr>
          <w:rFonts w:ascii="Book Antiqua" w:hAnsi="Book Antiqua"/>
          <w:lang w:val="es-PR"/>
        </w:rPr>
      </w:pPr>
    </w:p>
    <w:p w14:paraId="7AA0AF29" w14:textId="5956D5E0"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El proyecto además ordena a la Oficina de Gerencia de Permisos, a la Autoridad de Acueductos y Alcantarillados y a la Autoridad de Energía Eléctrica, incluyendo su ente administrador, a realizar los ajustes reglamentarios necesarios para implantar estas disposiciones. De igual modo, crea el mecanismo de “Endoso de Conexión de Servicios Esenciales”, que viabiliza un proceso formal, seguro y verificable para solicitar la instalación o reconexión de utilidades en estas propiedades.</w:t>
      </w:r>
    </w:p>
    <w:p w14:paraId="0DC3034E" w14:textId="77777777" w:rsidR="008B7A40" w:rsidRDefault="008B7A40" w:rsidP="008B7A40">
      <w:pPr>
        <w:tabs>
          <w:tab w:val="left" w:pos="0"/>
        </w:tabs>
        <w:spacing w:line="360" w:lineRule="auto"/>
        <w:jc w:val="both"/>
        <w:rPr>
          <w:rFonts w:ascii="Book Antiqua" w:hAnsi="Book Antiqua"/>
          <w:lang w:val="es-PR"/>
        </w:rPr>
      </w:pPr>
    </w:p>
    <w:p w14:paraId="016CA897" w14:textId="0D628D19"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Este informe examina los fundamentos de la medida, su coherencia con la política pública vigente y su impacto en las comunidades a las que se dirige, recomendando su aprobación.</w:t>
      </w:r>
    </w:p>
    <w:p w14:paraId="2BD9BC70" w14:textId="408C6386" w:rsidR="00B36364" w:rsidRDefault="00B36364" w:rsidP="001721BB">
      <w:pPr>
        <w:tabs>
          <w:tab w:val="left" w:pos="0"/>
        </w:tabs>
        <w:spacing w:line="360" w:lineRule="auto"/>
        <w:jc w:val="both"/>
        <w:rPr>
          <w:rFonts w:ascii="Book Antiqua" w:hAnsi="Book Antiqua"/>
          <w:b/>
          <w:caps/>
          <w:color w:val="000000"/>
          <w:lang w:val="es-PR"/>
        </w:rPr>
      </w:pPr>
    </w:p>
    <w:p w14:paraId="57D76FD8" w14:textId="0D0C4C59" w:rsidR="00B811F4"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lastRenderedPageBreak/>
        <w:t>AnÁlisis de la Medida</w:t>
      </w:r>
    </w:p>
    <w:p w14:paraId="4F9F6FA6" w14:textId="79E7554B" w:rsidR="008B7A40" w:rsidRDefault="008B7A40" w:rsidP="008B7A40">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Como parte del proceso de evaluación de esta medida, la Comisión recibió memoriales de la Oficina de Gerencia de Permisos (OGPe), la Junta de Planificación de Puerto Rico (JP) y el Colegio de Ingenieros y Agrimensores de Puerto Rico</w:t>
      </w:r>
      <w:r>
        <w:rPr>
          <w:rFonts w:ascii="Book Antiqua" w:hAnsi="Book Antiqua"/>
          <w:lang w:val="es-PR"/>
        </w:rPr>
        <w:t xml:space="preserve"> (CIAPR)</w:t>
      </w:r>
      <w:r w:rsidRPr="008B7A40">
        <w:rPr>
          <w:rFonts w:ascii="Book Antiqua" w:hAnsi="Book Antiqua"/>
          <w:lang w:val="es-PR"/>
        </w:rPr>
        <w:t>. Asimismo, se celebró una vista pública en la que participaron representantes de la Junta de Planificación y de la Oficina de Gerencia de Permisos, quienes presentaron sus ponencias, aclararon dudas y ofrecieron insumo técnico relacionado con la implementación del proyecto y su viabilidad dentro del marco regulatorio vigente</w:t>
      </w:r>
      <w:r w:rsidR="00E12556">
        <w:rPr>
          <w:rFonts w:ascii="Book Antiqua" w:hAnsi="Book Antiqua"/>
          <w:lang w:val="es-PR"/>
        </w:rPr>
        <w:t>.</w:t>
      </w:r>
    </w:p>
    <w:p w14:paraId="2C645984" w14:textId="77777777" w:rsidR="00E12556" w:rsidRDefault="00E12556" w:rsidP="008B7A40">
      <w:pPr>
        <w:tabs>
          <w:tab w:val="left" w:pos="0"/>
        </w:tabs>
        <w:spacing w:line="360" w:lineRule="auto"/>
        <w:ind w:firstLine="360"/>
        <w:jc w:val="both"/>
        <w:rPr>
          <w:rFonts w:ascii="Book Antiqua" w:hAnsi="Book Antiqua"/>
          <w:lang w:val="es-PR"/>
        </w:rPr>
      </w:pPr>
    </w:p>
    <w:p w14:paraId="56F31266" w14:textId="77777777" w:rsidR="00A775BB" w:rsidRDefault="006B64D2" w:rsidP="006B64D2">
      <w:pPr>
        <w:tabs>
          <w:tab w:val="left" w:pos="0"/>
        </w:tabs>
        <w:spacing w:line="360" w:lineRule="auto"/>
        <w:ind w:firstLine="360"/>
        <w:jc w:val="both"/>
        <w:rPr>
          <w:rFonts w:ascii="Book Antiqua" w:hAnsi="Book Antiqua"/>
          <w:lang w:val="es-PR"/>
        </w:rPr>
      </w:pPr>
      <w:r w:rsidRPr="006B64D2">
        <w:rPr>
          <w:rFonts w:ascii="Book Antiqua" w:hAnsi="Book Antiqua"/>
          <w:lang w:val="es-PR"/>
        </w:rPr>
        <w:t xml:space="preserve">La Junta de Planificación, como ente rector del marco reglamentario de permisos y planificación, favoreció la aprobación de la medida y reconoció la necesidad de crear el andamiaje jurídico que viabilice su implantación. En línea con ello, la OGPe recomendó que el proyecto disponga un procedimiento uniforme para la autorización propuesta y que se establezcan criterios claros para demostrar que las residencias existían antes de 2009. </w:t>
      </w:r>
    </w:p>
    <w:p w14:paraId="4C879178" w14:textId="77777777" w:rsidR="00A775BB" w:rsidRDefault="00A775BB" w:rsidP="006B64D2">
      <w:pPr>
        <w:tabs>
          <w:tab w:val="left" w:pos="0"/>
        </w:tabs>
        <w:spacing w:line="360" w:lineRule="auto"/>
        <w:ind w:firstLine="360"/>
        <w:jc w:val="both"/>
        <w:rPr>
          <w:rFonts w:ascii="Book Antiqua" w:hAnsi="Book Antiqua"/>
          <w:lang w:val="es-PR"/>
        </w:rPr>
      </w:pPr>
    </w:p>
    <w:p w14:paraId="75BD78A4" w14:textId="4615C732" w:rsidR="006B64D2" w:rsidRDefault="006B64D2" w:rsidP="006B64D2">
      <w:pPr>
        <w:tabs>
          <w:tab w:val="left" w:pos="0"/>
        </w:tabs>
        <w:spacing w:line="360" w:lineRule="auto"/>
        <w:ind w:firstLine="360"/>
        <w:jc w:val="both"/>
        <w:rPr>
          <w:rFonts w:ascii="Book Antiqua" w:hAnsi="Book Antiqua"/>
          <w:lang w:val="es-PR"/>
        </w:rPr>
      </w:pPr>
      <w:r w:rsidRPr="006B64D2">
        <w:rPr>
          <w:rFonts w:ascii="Book Antiqua" w:hAnsi="Book Antiqua"/>
          <w:lang w:val="es-PR"/>
        </w:rPr>
        <w:t>Además, planteó que la conexión de servicios se limite únicamente a viviendas unifamiliares y que, en caso de venta, la persona adquirente deba tramitar nuevamente la certificación del uso residencial. También enfatizó que esta autorización no debe entenderse como una legalización de obras realizadas sin permiso ni como sustituto del permiso de uso. Finalmente, recomendó requerir el endoso municipal y certificaciones de peritos electricistas y plomeros para garantizar la seguridad de las instalaciones.</w:t>
      </w:r>
    </w:p>
    <w:p w14:paraId="208558E7" w14:textId="77777777" w:rsidR="00B922FD" w:rsidRDefault="00B922FD" w:rsidP="00D56305">
      <w:pPr>
        <w:tabs>
          <w:tab w:val="left" w:pos="0"/>
        </w:tabs>
        <w:spacing w:line="360" w:lineRule="auto"/>
        <w:ind w:firstLine="360"/>
        <w:jc w:val="both"/>
        <w:rPr>
          <w:rFonts w:ascii="Book Antiqua" w:hAnsi="Book Antiqua"/>
          <w:lang w:val="es-PR"/>
        </w:rPr>
      </w:pPr>
    </w:p>
    <w:p w14:paraId="0E16407E" w14:textId="77777777" w:rsidR="00B922FD" w:rsidRDefault="00B922FD" w:rsidP="00D56305">
      <w:pPr>
        <w:spacing w:line="360" w:lineRule="auto"/>
        <w:jc w:val="both"/>
        <w:rPr>
          <w:rFonts w:ascii="Book Antiqua" w:hAnsi="Book Antiqua"/>
          <w:lang w:val="es-PR"/>
        </w:rPr>
      </w:pPr>
      <w:r w:rsidRPr="00A23E41">
        <w:rPr>
          <w:rFonts w:ascii="Book Antiqua" w:hAnsi="Book Antiqua"/>
          <w:lang w:val="es-PR"/>
        </w:rPr>
        <w:t>E</w:t>
      </w:r>
      <w:r w:rsidRPr="00B922FD">
        <w:rPr>
          <w:rFonts w:ascii="Book Antiqua" w:hAnsi="Book Antiqua"/>
          <w:lang w:val="es-PR"/>
        </w:rPr>
        <w:t xml:space="preserve">l Colegio de Ingenieros y Agrimensores de Puerto Rico (CIAPR), expone en su memorial que </w:t>
      </w:r>
      <w:r w:rsidRPr="00A23E41">
        <w:rPr>
          <w:rFonts w:ascii="Book Antiqua" w:hAnsi="Book Antiqua"/>
          <w:lang w:val="es-PR"/>
        </w:rPr>
        <w:t>La Ley 161-2009 en su Artículo 2.9 A</w:t>
      </w:r>
      <w:r w:rsidRPr="00B922FD">
        <w:rPr>
          <w:rFonts w:ascii="Book Antiqua" w:hAnsi="Book Antiqua"/>
          <w:lang w:val="es-PR"/>
        </w:rPr>
        <w:t>,</w:t>
      </w:r>
      <w:r w:rsidRPr="00A23E41">
        <w:rPr>
          <w:rFonts w:ascii="Book Antiqua" w:hAnsi="Book Antiqua"/>
          <w:lang w:val="es-PR"/>
        </w:rPr>
        <w:t xml:space="preserve"> permite a la Oficina de Gerencia de Permisos (</w:t>
      </w:r>
      <w:proofErr w:type="spellStart"/>
      <w:r w:rsidRPr="00A23E41">
        <w:rPr>
          <w:rFonts w:ascii="Book Antiqua" w:hAnsi="Book Antiqua"/>
          <w:lang w:val="es-PR"/>
        </w:rPr>
        <w:t>OGPe</w:t>
      </w:r>
      <w:proofErr w:type="spellEnd"/>
      <w:r w:rsidRPr="00A23E41">
        <w:rPr>
          <w:rFonts w:ascii="Book Antiqua" w:hAnsi="Book Antiqua"/>
          <w:lang w:val="es-PR"/>
        </w:rPr>
        <w:t xml:space="preserve">) expedir orden a las agencias correspondientes requiriendo la suspensión de servicios en edificaciones en violación de dicha ley, reglamentos y leyes que regulen la construcción y uso de edificios y leyes. </w:t>
      </w:r>
      <w:r w:rsidRPr="00B922FD">
        <w:rPr>
          <w:rFonts w:ascii="Book Antiqua" w:hAnsi="Book Antiqua"/>
          <w:lang w:val="es-PR"/>
        </w:rPr>
        <w:t>Para la el CIAPR,</w:t>
      </w:r>
      <w:r w:rsidRPr="00A23E41">
        <w:rPr>
          <w:rFonts w:ascii="Book Antiqua" w:hAnsi="Book Antiqua"/>
          <w:lang w:val="es-PR"/>
        </w:rPr>
        <w:t xml:space="preserve"> el proyecto no necesariamente fomenta la ilegalidad y ve</w:t>
      </w:r>
      <w:r w:rsidRPr="00B922FD">
        <w:rPr>
          <w:rFonts w:ascii="Book Antiqua" w:hAnsi="Book Antiqua"/>
          <w:lang w:val="es-PR"/>
        </w:rPr>
        <w:t>n</w:t>
      </w:r>
      <w:r w:rsidRPr="00A23E41">
        <w:rPr>
          <w:rFonts w:ascii="Book Antiqua" w:hAnsi="Book Antiqua"/>
          <w:lang w:val="es-PR"/>
        </w:rPr>
        <w:t xml:space="preserve"> </w:t>
      </w:r>
      <w:r w:rsidRPr="00B922FD">
        <w:rPr>
          <w:rFonts w:ascii="Book Antiqua" w:hAnsi="Book Antiqua"/>
          <w:lang w:val="es-PR"/>
        </w:rPr>
        <w:t>de forma positiva</w:t>
      </w:r>
      <w:r w:rsidRPr="00A23E41">
        <w:rPr>
          <w:rFonts w:ascii="Book Antiqua" w:hAnsi="Book Antiqua"/>
          <w:lang w:val="es-PR"/>
        </w:rPr>
        <w:t xml:space="preserve"> la intención </w:t>
      </w:r>
      <w:r w:rsidRPr="00B922FD">
        <w:rPr>
          <w:rFonts w:ascii="Book Antiqua" w:hAnsi="Book Antiqua"/>
          <w:lang w:val="es-PR"/>
        </w:rPr>
        <w:t xml:space="preserve">que persigue este proyecto de </w:t>
      </w:r>
      <w:r w:rsidRPr="00B922FD">
        <w:rPr>
          <w:rFonts w:ascii="Book Antiqua" w:hAnsi="Book Antiqua"/>
          <w:lang w:val="es-PR"/>
        </w:rPr>
        <w:lastRenderedPageBreak/>
        <w:t>ley</w:t>
      </w:r>
      <w:r w:rsidRPr="00A23E41">
        <w:rPr>
          <w:rFonts w:ascii="Book Antiqua" w:hAnsi="Book Antiqua"/>
          <w:lang w:val="es-PR"/>
        </w:rPr>
        <w:t xml:space="preserve">, </w:t>
      </w:r>
      <w:r w:rsidRPr="00B922FD">
        <w:rPr>
          <w:rFonts w:ascii="Book Antiqua" w:hAnsi="Book Antiqua"/>
          <w:lang w:val="es-PR"/>
        </w:rPr>
        <w:t xml:space="preserve">al </w:t>
      </w:r>
      <w:r w:rsidRPr="00A23E41">
        <w:rPr>
          <w:rFonts w:ascii="Book Antiqua" w:hAnsi="Book Antiqua"/>
          <w:lang w:val="es-PR"/>
        </w:rPr>
        <w:t>reconocer</w:t>
      </w:r>
      <w:r w:rsidRPr="00B922FD">
        <w:rPr>
          <w:rFonts w:ascii="Book Antiqua" w:hAnsi="Book Antiqua"/>
          <w:lang w:val="es-PR"/>
        </w:rPr>
        <w:t>le la provisión de</w:t>
      </w:r>
      <w:r w:rsidRPr="00A23E41">
        <w:rPr>
          <w:rFonts w:ascii="Book Antiqua" w:hAnsi="Book Antiqua"/>
          <w:lang w:val="es-PR"/>
        </w:rPr>
        <w:t xml:space="preserve"> servicios básicos de agua potable y electricidad a las edificaciones que ya tenían dichos servicios previo a la Ley 161-2009. </w:t>
      </w:r>
    </w:p>
    <w:p w14:paraId="17E0E01A" w14:textId="77777777" w:rsidR="004B1BCA" w:rsidRPr="00B922FD" w:rsidRDefault="004B1BCA" w:rsidP="00D56305">
      <w:pPr>
        <w:spacing w:line="360" w:lineRule="auto"/>
        <w:jc w:val="both"/>
        <w:rPr>
          <w:rFonts w:ascii="Book Antiqua" w:hAnsi="Book Antiqua"/>
          <w:lang w:val="es-PR"/>
        </w:rPr>
      </w:pPr>
    </w:p>
    <w:p w14:paraId="06B4DD1F" w14:textId="2901FAB9" w:rsidR="00B922FD" w:rsidRPr="00B922FD" w:rsidRDefault="004B1BCA" w:rsidP="00D56305">
      <w:pPr>
        <w:spacing w:line="360" w:lineRule="auto"/>
        <w:jc w:val="both"/>
        <w:rPr>
          <w:rFonts w:ascii="Book Antiqua" w:hAnsi="Book Antiqua"/>
          <w:lang w:val="es-PR"/>
        </w:rPr>
      </w:pPr>
      <w:r>
        <w:rPr>
          <w:rFonts w:ascii="Book Antiqua" w:hAnsi="Book Antiqua"/>
          <w:lang w:val="es-PR"/>
        </w:rPr>
        <w:tab/>
      </w:r>
      <w:r w:rsidR="00B922FD" w:rsidRPr="00A23E41">
        <w:rPr>
          <w:rFonts w:ascii="Book Antiqua" w:hAnsi="Book Antiqua"/>
          <w:lang w:val="es-PR"/>
        </w:rPr>
        <w:t>E</w:t>
      </w:r>
      <w:r w:rsidR="00B922FD" w:rsidRPr="00B922FD">
        <w:rPr>
          <w:rFonts w:ascii="Book Antiqua" w:hAnsi="Book Antiqua"/>
          <w:lang w:val="es-PR"/>
        </w:rPr>
        <w:t>l Colegio explica que e</w:t>
      </w:r>
      <w:r w:rsidR="00B922FD" w:rsidRPr="00A23E41">
        <w:rPr>
          <w:rFonts w:ascii="Book Antiqua" w:hAnsi="Book Antiqua"/>
          <w:lang w:val="es-PR"/>
        </w:rPr>
        <w:t xml:space="preserve">s una realidad que muchas edificaciones que fueron legalmente construidas, no necesariamente los titulares tienen la documentación a la mano y que han tenido servicios de agua potable y de electricidad por años. Igualmente, </w:t>
      </w:r>
      <w:r w:rsidR="00B922FD" w:rsidRPr="00B922FD">
        <w:rPr>
          <w:rFonts w:ascii="Book Antiqua" w:hAnsi="Book Antiqua"/>
          <w:lang w:val="es-PR"/>
        </w:rPr>
        <w:t xml:space="preserve">según estos, </w:t>
      </w:r>
      <w:r w:rsidR="00B922FD" w:rsidRPr="00A23E41">
        <w:rPr>
          <w:rFonts w:ascii="Book Antiqua" w:hAnsi="Book Antiqua"/>
          <w:lang w:val="es-PR"/>
        </w:rPr>
        <w:t xml:space="preserve">hay muchas edificaciones ilegales que han tenido los servicios básicos de agua y electricidad. </w:t>
      </w:r>
    </w:p>
    <w:p w14:paraId="375AFD14" w14:textId="77777777" w:rsidR="004B1BCA" w:rsidRDefault="004B1BCA" w:rsidP="00D56305">
      <w:pPr>
        <w:spacing w:after="160" w:line="360" w:lineRule="auto"/>
        <w:jc w:val="both"/>
        <w:rPr>
          <w:rFonts w:ascii="Book Antiqua" w:hAnsi="Book Antiqua"/>
          <w:lang w:val="es-PR"/>
        </w:rPr>
      </w:pPr>
      <w:r>
        <w:rPr>
          <w:rFonts w:ascii="Book Antiqua" w:hAnsi="Book Antiqua"/>
          <w:lang w:val="es-PR"/>
        </w:rPr>
        <w:tab/>
      </w:r>
    </w:p>
    <w:p w14:paraId="5E025895" w14:textId="38ABAC3A" w:rsidR="00B922FD" w:rsidRPr="00A23E41" w:rsidRDefault="004B1BCA" w:rsidP="00D56305">
      <w:pPr>
        <w:spacing w:after="160" w:line="360" w:lineRule="auto"/>
        <w:jc w:val="both"/>
        <w:rPr>
          <w:rFonts w:ascii="Book Antiqua" w:hAnsi="Book Antiqua"/>
          <w:lang w:val="es-PR"/>
        </w:rPr>
      </w:pPr>
      <w:r>
        <w:rPr>
          <w:rFonts w:ascii="Book Antiqua" w:hAnsi="Book Antiqua"/>
          <w:lang w:val="es-PR"/>
        </w:rPr>
        <w:tab/>
      </w:r>
      <w:r w:rsidR="00B922FD" w:rsidRPr="00B922FD">
        <w:rPr>
          <w:rFonts w:ascii="Book Antiqua" w:hAnsi="Book Antiqua"/>
          <w:lang w:val="es-PR"/>
        </w:rPr>
        <w:t>El gremio recalca que debería</w:t>
      </w:r>
      <w:r w:rsidR="00B922FD" w:rsidRPr="00A23E41">
        <w:rPr>
          <w:rFonts w:ascii="Book Antiqua" w:hAnsi="Book Antiqua"/>
          <w:lang w:val="es-PR"/>
        </w:rPr>
        <w:t xml:space="preserve"> quedar </w:t>
      </w:r>
      <w:r w:rsidR="00B922FD" w:rsidRPr="00B922FD">
        <w:rPr>
          <w:rFonts w:ascii="Book Antiqua" w:hAnsi="Book Antiqua"/>
          <w:lang w:val="es-PR"/>
        </w:rPr>
        <w:t>establecido que</w:t>
      </w:r>
      <w:r w:rsidR="00B922FD" w:rsidRPr="00A23E41">
        <w:rPr>
          <w:rFonts w:ascii="Book Antiqua" w:hAnsi="Book Antiqua"/>
          <w:lang w:val="es-PR"/>
        </w:rPr>
        <w:t xml:space="preserve"> </w:t>
      </w:r>
      <w:r w:rsidR="00B922FD" w:rsidRPr="00B922FD">
        <w:rPr>
          <w:rFonts w:ascii="Book Antiqua" w:hAnsi="Book Antiqua"/>
          <w:i/>
          <w:iCs/>
          <w:lang w:val="es-PR"/>
        </w:rPr>
        <w:t>“</w:t>
      </w:r>
      <w:r w:rsidR="00B922FD" w:rsidRPr="00A23E41">
        <w:rPr>
          <w:rFonts w:ascii="Book Antiqua" w:hAnsi="Book Antiqua"/>
          <w:i/>
          <w:iCs/>
          <w:lang w:val="es-PR"/>
        </w:rPr>
        <w:t>la conexión o reconexión de servicios bajo esta excepción no constituye legalización de la estructura, certificación de habitabilidad ni autorización de uso humano. Tampoco podrá invocarse como evidencia de cumplimiento con requisitos de permisos, códigos de construcción o reglamentación aplicable. La provisión de servicios no subsana violaciones, no convalida obras ilegales y no genera derechos adquiridos ni expectativas de regularización futura.</w:t>
      </w:r>
      <w:r w:rsidR="00B922FD" w:rsidRPr="00B922FD">
        <w:rPr>
          <w:rFonts w:ascii="Book Antiqua" w:hAnsi="Book Antiqua"/>
          <w:i/>
          <w:iCs/>
          <w:lang w:val="es-PR"/>
        </w:rPr>
        <w:t>”</w:t>
      </w:r>
      <w:r w:rsidR="00B922FD" w:rsidRPr="00A23E41">
        <w:rPr>
          <w:rFonts w:ascii="Book Antiqua" w:hAnsi="Book Antiqua"/>
          <w:lang w:val="es-PR"/>
        </w:rPr>
        <w:t xml:space="preserve"> </w:t>
      </w:r>
    </w:p>
    <w:p w14:paraId="33D21B00" w14:textId="77777777" w:rsidR="004B1BCA" w:rsidRDefault="004B1BCA" w:rsidP="00D56305">
      <w:pPr>
        <w:spacing w:line="360" w:lineRule="auto"/>
        <w:jc w:val="both"/>
        <w:rPr>
          <w:rFonts w:ascii="Book Antiqua" w:hAnsi="Book Antiqua"/>
          <w:lang w:val="es-PR"/>
        </w:rPr>
      </w:pPr>
    </w:p>
    <w:p w14:paraId="1B0D2273" w14:textId="1E62A2EC" w:rsidR="00B922FD" w:rsidRPr="00B922FD" w:rsidRDefault="004B1BCA" w:rsidP="00D56305">
      <w:pPr>
        <w:spacing w:line="360" w:lineRule="auto"/>
        <w:jc w:val="both"/>
        <w:rPr>
          <w:rFonts w:ascii="Book Antiqua" w:hAnsi="Book Antiqua"/>
          <w:lang w:val="es-PR"/>
        </w:rPr>
      </w:pPr>
      <w:r>
        <w:rPr>
          <w:rFonts w:ascii="Book Antiqua" w:hAnsi="Book Antiqua"/>
          <w:lang w:val="es-PR"/>
        </w:rPr>
        <w:tab/>
      </w:r>
      <w:r w:rsidR="00B922FD" w:rsidRPr="00A23E41">
        <w:rPr>
          <w:rFonts w:ascii="Book Antiqua" w:hAnsi="Book Antiqua"/>
          <w:lang w:val="es-PR"/>
        </w:rPr>
        <w:t xml:space="preserve">De igual forma, </w:t>
      </w:r>
      <w:r w:rsidR="00B922FD" w:rsidRPr="00B922FD">
        <w:rPr>
          <w:rFonts w:ascii="Book Antiqua" w:hAnsi="Book Antiqua"/>
          <w:lang w:val="es-PR"/>
        </w:rPr>
        <w:t xml:space="preserve">según establece </w:t>
      </w:r>
      <w:r w:rsidR="00B922FD" w:rsidRPr="00A23E41">
        <w:rPr>
          <w:rFonts w:ascii="Book Antiqua" w:hAnsi="Book Antiqua"/>
          <w:lang w:val="es-PR"/>
        </w:rPr>
        <w:t>el Artículo 9.12 (c)</w:t>
      </w:r>
      <w:r w:rsidR="00B922FD" w:rsidRPr="00B922FD">
        <w:rPr>
          <w:rFonts w:ascii="Book Antiqua" w:hAnsi="Book Antiqua"/>
          <w:lang w:val="es-PR"/>
        </w:rPr>
        <w:t>, se</w:t>
      </w:r>
      <w:r w:rsidR="00B922FD" w:rsidRPr="00A23E41">
        <w:rPr>
          <w:rFonts w:ascii="Book Antiqua" w:hAnsi="Book Antiqua"/>
          <w:lang w:val="es-PR"/>
        </w:rPr>
        <w:t xml:space="preserve"> requiere la presentación del permiso de uso o de construcción a las agencias correspondientes para el suministro de servicios básicos, ya sea en nuevas construcciones, alteración estructural, ampliaciones, cambios en usos. </w:t>
      </w:r>
      <w:r w:rsidR="00B922FD" w:rsidRPr="00B922FD">
        <w:rPr>
          <w:rFonts w:ascii="Book Antiqua" w:hAnsi="Book Antiqua"/>
          <w:lang w:val="es-PR"/>
        </w:rPr>
        <w:t>Según explica el CIAPR,</w:t>
      </w:r>
      <w:r w:rsidR="00B922FD" w:rsidRPr="00A23E41">
        <w:rPr>
          <w:rFonts w:ascii="Book Antiqua" w:hAnsi="Book Antiqua"/>
          <w:lang w:val="es-PR"/>
        </w:rPr>
        <w:t xml:space="preserve"> para eliminar el requisito de presentar permiso de uso para solicitar la instalación de servicios básicos de agua potable y energía eléctrica</w:t>
      </w:r>
      <w:r w:rsidR="00B922FD" w:rsidRPr="00B922FD">
        <w:rPr>
          <w:rFonts w:ascii="Book Antiqua" w:hAnsi="Book Antiqua"/>
          <w:lang w:val="es-PR"/>
        </w:rPr>
        <w:t>, estos entienden que “</w:t>
      </w:r>
      <w:r w:rsidR="00B922FD" w:rsidRPr="00B922FD">
        <w:rPr>
          <w:rFonts w:ascii="Book Antiqua" w:hAnsi="Book Antiqua"/>
          <w:i/>
          <w:iCs/>
          <w:lang w:val="es-PR"/>
        </w:rPr>
        <w:t>este inciso se enfoca en la instalación de servicios básicos para nueva construcción, alteración estructural, ampliación, traslado o uso de edificios, instalación de facilidades o demolición.”</w:t>
      </w:r>
      <w:r w:rsidR="00B922FD" w:rsidRPr="00B922FD">
        <w:rPr>
          <w:rFonts w:ascii="Book Antiqua" w:hAnsi="Book Antiqua"/>
          <w:lang w:val="es-PR"/>
        </w:rPr>
        <w:t xml:space="preserve"> </w:t>
      </w:r>
    </w:p>
    <w:p w14:paraId="2BA02B52" w14:textId="77777777" w:rsidR="004B1BCA" w:rsidRDefault="004B1BCA" w:rsidP="00D56305">
      <w:pPr>
        <w:spacing w:line="360" w:lineRule="auto"/>
        <w:jc w:val="both"/>
        <w:rPr>
          <w:rFonts w:ascii="Book Antiqua" w:hAnsi="Book Antiqua"/>
          <w:lang w:val="es-PR"/>
        </w:rPr>
      </w:pPr>
    </w:p>
    <w:p w14:paraId="61EF52D8" w14:textId="5F1C3AE3" w:rsidR="00B922FD" w:rsidRPr="00B922FD" w:rsidRDefault="004B1BCA" w:rsidP="00D56305">
      <w:pPr>
        <w:spacing w:line="360" w:lineRule="auto"/>
        <w:jc w:val="both"/>
        <w:rPr>
          <w:rFonts w:ascii="Book Antiqua" w:hAnsi="Book Antiqua"/>
          <w:i/>
          <w:iCs/>
          <w:lang w:val="es-PR"/>
        </w:rPr>
      </w:pPr>
      <w:r>
        <w:rPr>
          <w:rFonts w:ascii="Book Antiqua" w:hAnsi="Book Antiqua"/>
          <w:lang w:val="es-PR"/>
        </w:rPr>
        <w:tab/>
      </w:r>
      <w:r w:rsidR="00B922FD" w:rsidRPr="00B922FD">
        <w:rPr>
          <w:rFonts w:ascii="Book Antiqua" w:hAnsi="Book Antiqua"/>
          <w:lang w:val="es-PR"/>
        </w:rPr>
        <w:t>Explica</w:t>
      </w:r>
      <w:r>
        <w:rPr>
          <w:rFonts w:ascii="Book Antiqua" w:hAnsi="Book Antiqua"/>
          <w:lang w:val="es-PR"/>
        </w:rPr>
        <w:t xml:space="preserve"> el CIAPR</w:t>
      </w:r>
      <w:r w:rsidR="00B922FD" w:rsidRPr="00B922FD">
        <w:rPr>
          <w:rFonts w:ascii="Book Antiqua" w:hAnsi="Book Antiqua"/>
          <w:lang w:val="es-PR"/>
        </w:rPr>
        <w:t xml:space="preserve"> que, </w:t>
      </w:r>
      <w:r w:rsidR="00B922FD" w:rsidRPr="00B922FD">
        <w:rPr>
          <w:rFonts w:ascii="Book Antiqua" w:hAnsi="Book Antiqua"/>
          <w:i/>
          <w:iCs/>
          <w:lang w:val="es-PR"/>
        </w:rPr>
        <w:t>“s</w:t>
      </w:r>
      <w:r w:rsidR="00B922FD" w:rsidRPr="00A23E41">
        <w:rPr>
          <w:rFonts w:ascii="Book Antiqua" w:hAnsi="Book Antiqua"/>
          <w:i/>
          <w:iCs/>
          <w:lang w:val="es-PR"/>
        </w:rPr>
        <w:t xml:space="preserve">i el titular está expandiendo su residencia, haciendo alteraciones estructurales, añadiendo un apartamento, un piso adicional, cambiando el uso de la edificación, etc. debe poner al día los permisos de dicha residencia. Esto conlleva un diseño por un ingeniero o </w:t>
      </w:r>
      <w:r w:rsidR="00B922FD" w:rsidRPr="00A23E41">
        <w:rPr>
          <w:rFonts w:ascii="Book Antiqua" w:hAnsi="Book Antiqua"/>
          <w:i/>
          <w:iCs/>
          <w:lang w:val="es-PR"/>
        </w:rPr>
        <w:lastRenderedPageBreak/>
        <w:t>arquitecto licenciado en Puerto Rico, el pago de arbitrios de construcción y seguros, más cumplir con las leyes y reglamentos que regulan la construcción y permisos en Puerto Rico. Aunque la residencia haya sido construida previo al 2009, si están alterándola ahora, debe cumplir con las regulaciones correspondientes.</w:t>
      </w:r>
      <w:r w:rsidR="00B922FD" w:rsidRPr="00B922FD">
        <w:rPr>
          <w:rFonts w:ascii="Book Antiqua" w:hAnsi="Book Antiqua"/>
          <w:i/>
          <w:iCs/>
          <w:lang w:val="es-PR"/>
        </w:rPr>
        <w:t>”</w:t>
      </w:r>
    </w:p>
    <w:p w14:paraId="631B4E41" w14:textId="77777777" w:rsidR="00B922FD" w:rsidRPr="00B922FD" w:rsidRDefault="00B922FD" w:rsidP="00D56305">
      <w:pPr>
        <w:spacing w:line="360" w:lineRule="auto"/>
        <w:jc w:val="both"/>
        <w:rPr>
          <w:rFonts w:ascii="Book Antiqua" w:hAnsi="Book Antiqua"/>
          <w:i/>
          <w:iCs/>
          <w:lang w:val="es-PR"/>
        </w:rPr>
      </w:pPr>
    </w:p>
    <w:p w14:paraId="354A03BB" w14:textId="590BFC97" w:rsidR="00B922FD" w:rsidRPr="00B922FD" w:rsidRDefault="004B1BCA" w:rsidP="00D56305">
      <w:pPr>
        <w:spacing w:line="360" w:lineRule="auto"/>
        <w:jc w:val="both"/>
        <w:rPr>
          <w:rFonts w:ascii="Book Antiqua" w:hAnsi="Book Antiqua"/>
          <w:lang w:val="es-PR"/>
        </w:rPr>
      </w:pPr>
      <w:r>
        <w:rPr>
          <w:rFonts w:ascii="Book Antiqua" w:hAnsi="Book Antiqua"/>
          <w:lang w:val="es-PR"/>
        </w:rPr>
        <w:tab/>
      </w:r>
      <w:r w:rsidR="00B922FD" w:rsidRPr="00B922FD">
        <w:rPr>
          <w:rFonts w:ascii="Book Antiqua" w:hAnsi="Book Antiqua"/>
          <w:lang w:val="es-PR"/>
        </w:rPr>
        <w:t>En estos casos, el proyecto de ley no los contempla, por lo que en caso de que se realicen cambios en la estructura o el uso permitido, los titulares o proponentes deberán cumplir con los requisitos que establecen las leyes y reglamentos vigentes. El CIAPR concluyó su ponencia estableciendo que apoya parcialmente la medida, condicionada a que nada de lo que esta ley disponga se pueda interpretar como que se estaría legalizando una construcción ilegal, ni se permitan usos o construcciones posteriores sin cumplir con los requisitos de construcción ya establecidos a partir de la Ley 161-2009.</w:t>
      </w:r>
    </w:p>
    <w:p w14:paraId="737DFFE9" w14:textId="77777777" w:rsidR="00B922FD" w:rsidRPr="00B922FD" w:rsidRDefault="00B922FD" w:rsidP="00D56305">
      <w:pPr>
        <w:spacing w:line="20" w:lineRule="atLeast"/>
        <w:rPr>
          <w:rFonts w:ascii="Book Antiqua" w:hAnsi="Book Antiqua"/>
          <w:lang w:val="es-PR"/>
        </w:rPr>
      </w:pPr>
    </w:p>
    <w:p w14:paraId="342BBF9C" w14:textId="77777777" w:rsidR="00A775BB" w:rsidRDefault="00A775BB" w:rsidP="00E24AD8">
      <w:pPr>
        <w:pStyle w:val="NoSpacing"/>
        <w:spacing w:line="360" w:lineRule="auto"/>
        <w:jc w:val="center"/>
        <w:rPr>
          <w:rFonts w:ascii="Book Antiqua" w:hAnsi="Book Antiqua"/>
          <w:b/>
          <w:color w:val="000000"/>
          <w:szCs w:val="24"/>
          <w:lang w:val="es-ES"/>
        </w:rPr>
      </w:pPr>
    </w:p>
    <w:p w14:paraId="6A2A4A25" w14:textId="1CF312F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IM</w:t>
      </w:r>
      <w:r w:rsidR="00B811F4" w:rsidRPr="00E24AD8">
        <w:rPr>
          <w:rFonts w:ascii="Book Antiqua" w:hAnsi="Book Antiqua"/>
          <w:b/>
          <w:color w:val="000000"/>
          <w:szCs w:val="24"/>
          <w:lang w:val="es-ES"/>
        </w:rPr>
        <w:t>PACTO FISCAL</w:t>
      </w:r>
    </w:p>
    <w:p w14:paraId="6AD43E90" w14:textId="36E46AD8" w:rsidR="005C72EA" w:rsidRDefault="00805F10" w:rsidP="00E24AD8">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004B1BCA" w:rsidRPr="00E24AD8">
        <w:rPr>
          <w:rFonts w:ascii="Book Antiqua" w:hAnsi="Book Antiqua"/>
          <w:lang w:val="es-PR"/>
        </w:rPr>
        <w:t>Del análisis realizado por esta Comisión</w:t>
      </w:r>
      <w:r w:rsidR="005C72EA">
        <w:rPr>
          <w:rFonts w:ascii="Book Antiqua" w:hAnsi="Book Antiqua"/>
          <w:lang w:val="es-PR"/>
        </w:rPr>
        <w:t xml:space="preserve">, la medida </w:t>
      </w:r>
      <w:r w:rsidR="004B1BCA">
        <w:rPr>
          <w:rFonts w:ascii="Book Antiqua" w:hAnsi="Book Antiqua"/>
          <w:lang w:val="es-PR"/>
        </w:rPr>
        <w:t>n</w:t>
      </w:r>
      <w:r w:rsidR="005C72EA">
        <w:rPr>
          <w:rFonts w:ascii="Book Antiqua" w:hAnsi="Book Antiqua"/>
          <w:lang w:val="es-PR"/>
        </w:rPr>
        <w:t>o representa un impacto fiscal sustancial en las arcas del Gobierno de Puerto Rico, más allá de</w:t>
      </w:r>
      <w:r w:rsidR="004B1BCA">
        <w:rPr>
          <w:rFonts w:ascii="Book Antiqua" w:hAnsi="Book Antiqua"/>
          <w:lang w:val="es-PR"/>
        </w:rPr>
        <w:t>l</w:t>
      </w:r>
      <w:r w:rsidR="005C72EA">
        <w:rPr>
          <w:rFonts w:ascii="Book Antiqua" w:hAnsi="Book Antiqua"/>
          <w:lang w:val="es-PR"/>
        </w:rPr>
        <w:t xml:space="preserve"> recurso humano y técnico que se necesite para la creación e implementación de lo que dispone el proyecto. </w:t>
      </w:r>
    </w:p>
    <w:p w14:paraId="05EBA630" w14:textId="77777777" w:rsidR="004B1BCA" w:rsidRDefault="004B1BCA" w:rsidP="00E24AD8">
      <w:pPr>
        <w:pStyle w:val="NoSpacing"/>
        <w:spacing w:line="360" w:lineRule="auto"/>
        <w:jc w:val="both"/>
        <w:rPr>
          <w:rFonts w:ascii="Book Antiqua" w:hAnsi="Book Antiqua"/>
          <w:lang w:val="es-PR"/>
        </w:rPr>
      </w:pPr>
    </w:p>
    <w:p w14:paraId="31B62564" w14:textId="46D79E43" w:rsidR="00A775BB" w:rsidRDefault="005C72EA" w:rsidP="00E24AD8">
      <w:pPr>
        <w:pStyle w:val="NoSpacing"/>
        <w:spacing w:line="360" w:lineRule="auto"/>
        <w:jc w:val="both"/>
        <w:rPr>
          <w:rFonts w:ascii="Book Antiqua" w:hAnsi="Book Antiqua"/>
          <w:lang w:val="es-PR"/>
        </w:rPr>
      </w:pPr>
      <w:r>
        <w:rPr>
          <w:rFonts w:ascii="Book Antiqua" w:hAnsi="Book Antiqua"/>
          <w:lang w:val="es-PR"/>
        </w:rPr>
        <w:tab/>
      </w:r>
      <w:r w:rsidR="004B1BCA">
        <w:rPr>
          <w:rFonts w:ascii="Book Antiqua" w:hAnsi="Book Antiqua"/>
          <w:lang w:val="es-PR"/>
        </w:rPr>
        <w:t>De igual modo</w:t>
      </w:r>
      <w:r w:rsidR="00805F10" w:rsidRPr="00E24AD8">
        <w:rPr>
          <w:rFonts w:ascii="Book Antiqua" w:hAnsi="Book Antiqua"/>
          <w:lang w:val="es-PR"/>
        </w:rPr>
        <w:t>, a tenor con el Artículo 1.007 de la Ley 107-2020, según enmendada, conocida como "Código Municipal de Puerto Rico", no surge que la medida tenga impacto fiscal sobre las finanzas municipales.</w:t>
      </w:r>
      <w:r w:rsidR="00A775BB">
        <w:rPr>
          <w:rFonts w:ascii="Book Antiqua" w:hAnsi="Book Antiqua"/>
          <w:lang w:val="es-PR"/>
        </w:rPr>
        <w:t xml:space="preserve"> </w:t>
      </w:r>
    </w:p>
    <w:p w14:paraId="625E862E" w14:textId="0C387675" w:rsidR="00805F10" w:rsidRPr="00E24AD8" w:rsidRDefault="00A775BB" w:rsidP="00E24AD8">
      <w:pPr>
        <w:pStyle w:val="NoSpacing"/>
        <w:spacing w:line="360" w:lineRule="auto"/>
        <w:jc w:val="both"/>
        <w:rPr>
          <w:rFonts w:ascii="Book Antiqua" w:hAnsi="Book Antiqua"/>
          <w:b/>
          <w:color w:val="000000"/>
          <w:szCs w:val="24"/>
          <w:lang w:val="es-ES"/>
        </w:rPr>
      </w:pPr>
      <w:r>
        <w:rPr>
          <w:rFonts w:ascii="Book Antiqua" w:hAnsi="Book Antiqua"/>
          <w:lang w:val="es-PR"/>
        </w:rPr>
        <w:tab/>
        <w:t xml:space="preserve"> </w:t>
      </w:r>
    </w:p>
    <w:p w14:paraId="4DAE4E97" w14:textId="56A57BD9" w:rsidR="00B811F4" w:rsidRDefault="00B811F4" w:rsidP="00E24AD8">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2C0420A7" w14:textId="2E22C45C" w:rsidR="00A775BB" w:rsidRDefault="009166FB" w:rsidP="000C4E98">
      <w:pPr>
        <w:spacing w:line="360" w:lineRule="auto"/>
        <w:jc w:val="both"/>
        <w:rPr>
          <w:rFonts w:ascii="Book Antiqua" w:hAnsi="Book Antiqua"/>
          <w:bCs/>
          <w:lang w:val="es-PR"/>
        </w:rPr>
      </w:pPr>
      <w:r>
        <w:rPr>
          <w:rFonts w:ascii="Book Antiqua" w:hAnsi="Book Antiqua"/>
          <w:bCs/>
          <w:lang w:val="es-PR"/>
        </w:rPr>
        <w:tab/>
      </w:r>
      <w:r w:rsidR="000C4E98" w:rsidRPr="000C4E98">
        <w:rPr>
          <w:rFonts w:ascii="Book Antiqua" w:hAnsi="Book Antiqua"/>
          <w:bCs/>
          <w:lang w:val="es-PR"/>
        </w:rPr>
        <w:t>Luego de evaluar el Proyecto de</w:t>
      </w:r>
      <w:r w:rsidR="00DA424E">
        <w:rPr>
          <w:rFonts w:ascii="Book Antiqua" w:hAnsi="Book Antiqua"/>
          <w:bCs/>
          <w:lang w:val="es-PR"/>
        </w:rPr>
        <w:t xml:space="preserve"> </w:t>
      </w:r>
      <w:r w:rsidR="000C4E98" w:rsidRPr="000C4E98">
        <w:rPr>
          <w:rFonts w:ascii="Book Antiqua" w:hAnsi="Book Antiqua"/>
          <w:bCs/>
          <w:lang w:val="es-PR"/>
        </w:rPr>
        <w:t>l</w:t>
      </w:r>
      <w:r w:rsidR="00DA424E">
        <w:rPr>
          <w:rFonts w:ascii="Book Antiqua" w:hAnsi="Book Antiqua"/>
          <w:bCs/>
          <w:lang w:val="es-PR"/>
        </w:rPr>
        <w:t>a</w:t>
      </w:r>
      <w:r w:rsidR="000C4E98" w:rsidRPr="000C4E98">
        <w:rPr>
          <w:rFonts w:ascii="Book Antiqua" w:hAnsi="Book Antiqua"/>
          <w:bCs/>
          <w:lang w:val="es-PR"/>
        </w:rPr>
        <w:t xml:space="preserve"> </w:t>
      </w:r>
      <w:r w:rsidR="00DA424E">
        <w:rPr>
          <w:rFonts w:ascii="Book Antiqua" w:hAnsi="Book Antiqua"/>
          <w:bCs/>
          <w:lang w:val="es-PR"/>
        </w:rPr>
        <w:t>Cámara 778</w:t>
      </w:r>
      <w:r w:rsidR="000C4E98" w:rsidRPr="000C4E98">
        <w:rPr>
          <w:rFonts w:ascii="Book Antiqua" w:hAnsi="Book Antiqua"/>
          <w:bCs/>
          <w:lang w:val="es-PR"/>
        </w:rPr>
        <w:t xml:space="preserve"> </w:t>
      </w:r>
      <w:r w:rsidR="000C4E98">
        <w:rPr>
          <w:rFonts w:ascii="Book Antiqua" w:hAnsi="Book Antiqua"/>
          <w:bCs/>
          <w:lang w:val="es-PR"/>
        </w:rPr>
        <w:t xml:space="preserve">podemos concluir que la medida </w:t>
      </w:r>
      <w:r w:rsidR="000C4E98" w:rsidRPr="000C4E98">
        <w:rPr>
          <w:rFonts w:ascii="Book Antiqua" w:hAnsi="Book Antiqua"/>
          <w:bCs/>
          <w:lang w:val="es-PR"/>
        </w:rPr>
        <w:t>persigue un objetivo legítimo y necesario</w:t>
      </w:r>
      <w:r w:rsidR="000C4E98">
        <w:rPr>
          <w:rFonts w:ascii="Book Antiqua" w:hAnsi="Book Antiqua"/>
          <w:bCs/>
          <w:lang w:val="es-PR"/>
        </w:rPr>
        <w:t xml:space="preserve"> a</w:t>
      </w:r>
      <w:r w:rsidR="00A775BB">
        <w:rPr>
          <w:rFonts w:ascii="Book Antiqua" w:hAnsi="Book Antiqua"/>
          <w:bCs/>
          <w:lang w:val="es-PR"/>
        </w:rPr>
        <w:t>l crear una herramienta procesal para que las personas afectadas por los desastres naturales que han acontecido, así como otras situaciones que pudieran surgir en el transcurso de sus vidas, se han visto afectados de recibir los servicios esenciales de agua y luz, vitales para tener una buena calidad de vida.</w:t>
      </w:r>
    </w:p>
    <w:p w14:paraId="11FFCCE7" w14:textId="77777777" w:rsidR="00A775BB" w:rsidRDefault="00A775BB" w:rsidP="000C4E98">
      <w:pPr>
        <w:spacing w:line="360" w:lineRule="auto"/>
        <w:jc w:val="both"/>
        <w:rPr>
          <w:rFonts w:ascii="Book Antiqua" w:hAnsi="Book Antiqua"/>
          <w:bCs/>
          <w:lang w:val="es-PR"/>
        </w:rPr>
      </w:pPr>
    </w:p>
    <w:p w14:paraId="5A36A045" w14:textId="180EFD29" w:rsidR="000C4E98" w:rsidRPr="000C4E98" w:rsidRDefault="00A775BB" w:rsidP="000C4E98">
      <w:pPr>
        <w:spacing w:line="360" w:lineRule="auto"/>
        <w:jc w:val="both"/>
        <w:rPr>
          <w:rFonts w:ascii="Book Antiqua" w:hAnsi="Book Antiqua"/>
          <w:bCs/>
          <w:lang w:val="es-PR"/>
        </w:rPr>
      </w:pPr>
      <w:r>
        <w:rPr>
          <w:rFonts w:ascii="Book Antiqua" w:hAnsi="Book Antiqua"/>
          <w:bCs/>
          <w:lang w:val="es-PR"/>
        </w:rPr>
        <w:tab/>
        <w:t xml:space="preserve">A pesar de que, en el pasado, estas medidas fueron impuestas para evitar las construcciones ilegales, además de garantizar elegibilidad a fondos federales Post-María, la realidad histórica de Puerto Rico nos obliga a proveer soluciones para esas familias que se han visto limitadas de recibir los servicios esenciales. </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3D847213"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la Comisión de Desarrollo Económico de la Cámara de Representantes de Puerto Rico previo estudio y consideración, tiene a bien presentar ante este Alto Cuerpo el </w:t>
      </w:r>
      <w:r w:rsidR="004B1BCA">
        <w:rPr>
          <w:rFonts w:ascii="Book Antiqua" w:hAnsi="Book Antiqua"/>
          <w:lang w:val="es-PR"/>
        </w:rPr>
        <w:t xml:space="preserve">Segundo </w:t>
      </w:r>
      <w:r w:rsidR="00B811F4" w:rsidRPr="00E24AD8">
        <w:rPr>
          <w:rFonts w:ascii="Book Antiqua" w:hAnsi="Book Antiqua"/>
          <w:lang w:val="es-PR"/>
        </w:rPr>
        <w:t>Informe Positivo sobre el Proyecto de</w:t>
      </w:r>
      <w:r w:rsidR="00DA424E">
        <w:rPr>
          <w:rFonts w:ascii="Book Antiqua" w:hAnsi="Book Antiqua"/>
          <w:lang w:val="es-PR"/>
        </w:rPr>
        <w:t xml:space="preserve"> la Cámara 778</w:t>
      </w:r>
      <w:r w:rsidR="00B811F4" w:rsidRPr="00E24AD8">
        <w:rPr>
          <w:rFonts w:ascii="Book Antiqua" w:hAnsi="Book Antiqua"/>
          <w:lang w:val="es-PR"/>
        </w:rPr>
        <w:t xml:space="preserve">, 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6763D4">
        <w:rPr>
          <w:rFonts w:ascii="Book Antiqua" w:hAnsi="Book Antiqua"/>
          <w:lang w:val="es-PR"/>
        </w:rPr>
        <w:t xml:space="preserve">, en el </w:t>
      </w:r>
      <w:proofErr w:type="spellStart"/>
      <w:r w:rsidR="006763D4">
        <w:rPr>
          <w:rFonts w:ascii="Book Antiqua" w:hAnsi="Book Antiqua"/>
          <w:lang w:val="es-PR"/>
        </w:rPr>
        <w:t>Entirillado</w:t>
      </w:r>
      <w:proofErr w:type="spellEnd"/>
      <w:r w:rsidR="006763D4">
        <w:rPr>
          <w:rFonts w:ascii="Book Antiqua" w:hAnsi="Book Antiqua"/>
          <w:lang w:val="es-PR"/>
        </w:rPr>
        <w:t xml:space="preserve"> Electrónico</w:t>
      </w:r>
      <w:r w:rsidR="00A775BB">
        <w:rPr>
          <w:rFonts w:ascii="Book Antiqua" w:hAnsi="Book Antiqua"/>
          <w:lang w:val="es-PR"/>
        </w:rPr>
        <w:t xml:space="preserve"> que se incluye a este</w:t>
      </w:r>
      <w:r w:rsidR="005C72EA">
        <w:rPr>
          <w:rFonts w:ascii="Book Antiqua" w:hAnsi="Book Antiqua"/>
          <w:lang w:val="es-PR"/>
        </w:rPr>
        <w:t xml:space="preserve"> </w:t>
      </w:r>
      <w:r w:rsidR="00A775BB">
        <w:rPr>
          <w:rFonts w:ascii="Book Antiqua" w:hAnsi="Book Antiqua"/>
          <w:lang w:val="es-PR"/>
        </w:rPr>
        <w:t>informe</w:t>
      </w:r>
      <w:r w:rsidR="00B811F4" w:rsidRPr="00E24AD8">
        <w:rPr>
          <w:rFonts w:ascii="Book Antiqua" w:hAnsi="Book Antiqua"/>
          <w:lang w:val="es-PR"/>
        </w:rPr>
        <w:t xml:space="preserve">. </w:t>
      </w:r>
    </w:p>
    <w:p w14:paraId="19281EE4" w14:textId="384FE9CF" w:rsidR="00B811F4" w:rsidRPr="006763D4" w:rsidRDefault="00B811F4" w:rsidP="00E24AD8">
      <w:pPr>
        <w:spacing w:line="360" w:lineRule="auto"/>
        <w:ind w:firstLine="720"/>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2E558E">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2E558E">
      <w:pPr>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2E558E">
      <w:pPr>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2A254" w14:textId="77777777" w:rsidR="009362C2" w:rsidRDefault="009362C2" w:rsidP="002F7B2E">
      <w:r>
        <w:separator/>
      </w:r>
    </w:p>
  </w:endnote>
  <w:endnote w:type="continuationSeparator" w:id="0">
    <w:p w14:paraId="2F6B39A6" w14:textId="77777777" w:rsidR="009362C2" w:rsidRDefault="009362C2"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BE5D7" w14:textId="77777777" w:rsidR="009362C2" w:rsidRDefault="009362C2" w:rsidP="002F7B2E">
      <w:r>
        <w:separator/>
      </w:r>
    </w:p>
  </w:footnote>
  <w:footnote w:type="continuationSeparator" w:id="0">
    <w:p w14:paraId="0E6E87B7" w14:textId="77777777" w:rsidR="009362C2" w:rsidRDefault="009362C2"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629147E7" w:rsidR="00B811F4" w:rsidRPr="00E17735" w:rsidRDefault="00B811F4">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de</w:t>
    </w:r>
    <w:r w:rsidR="00DA424E">
      <w:rPr>
        <w:rFonts w:ascii="Book Antiqua" w:hAnsi="Book Antiqua"/>
        <w:b/>
        <w:i/>
        <w:color w:val="7F7F7F"/>
        <w:spacing w:val="60"/>
        <w:lang w:val="es-PR"/>
      </w:rPr>
      <w:t xml:space="preserve"> la C</w:t>
    </w:r>
    <w:r>
      <w:rPr>
        <w:rFonts w:ascii="Book Antiqua" w:hAnsi="Book Antiqua"/>
        <w:b/>
        <w:i/>
        <w:color w:val="7F7F7F"/>
        <w:spacing w:val="60"/>
        <w:lang w:val="es-PR"/>
      </w:rPr>
      <w:t xml:space="preserve">. </w:t>
    </w:r>
    <w:r w:rsidR="00DA424E">
      <w:rPr>
        <w:rFonts w:ascii="Book Antiqua" w:hAnsi="Book Antiqua"/>
        <w:b/>
        <w:i/>
        <w:color w:val="7F7F7F"/>
        <w:spacing w:val="60"/>
        <w:lang w:val="es-PR"/>
      </w:rPr>
      <w:t>778</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55DA5"/>
    <w:rsid w:val="0009022C"/>
    <w:rsid w:val="000C4E98"/>
    <w:rsid w:val="000D27F4"/>
    <w:rsid w:val="001013F2"/>
    <w:rsid w:val="001705FD"/>
    <w:rsid w:val="001721BB"/>
    <w:rsid w:val="00175115"/>
    <w:rsid w:val="001B38B9"/>
    <w:rsid w:val="001C0BE5"/>
    <w:rsid w:val="001D000E"/>
    <w:rsid w:val="001E180C"/>
    <w:rsid w:val="00206C2A"/>
    <w:rsid w:val="0022735F"/>
    <w:rsid w:val="00262741"/>
    <w:rsid w:val="002E558E"/>
    <w:rsid w:val="002F7B2E"/>
    <w:rsid w:val="003049CD"/>
    <w:rsid w:val="003134C2"/>
    <w:rsid w:val="00346F29"/>
    <w:rsid w:val="003A0E91"/>
    <w:rsid w:val="00407EF3"/>
    <w:rsid w:val="00435182"/>
    <w:rsid w:val="00451B80"/>
    <w:rsid w:val="004669B7"/>
    <w:rsid w:val="0047123F"/>
    <w:rsid w:val="004B00BF"/>
    <w:rsid w:val="004B1BCA"/>
    <w:rsid w:val="004D7C9A"/>
    <w:rsid w:val="00515DB5"/>
    <w:rsid w:val="005169D0"/>
    <w:rsid w:val="00517E09"/>
    <w:rsid w:val="0053027F"/>
    <w:rsid w:val="005C06BC"/>
    <w:rsid w:val="005C72EA"/>
    <w:rsid w:val="005D5218"/>
    <w:rsid w:val="0062770C"/>
    <w:rsid w:val="00661426"/>
    <w:rsid w:val="006763D4"/>
    <w:rsid w:val="006B64D2"/>
    <w:rsid w:val="00757E11"/>
    <w:rsid w:val="007934BD"/>
    <w:rsid w:val="007D6D6E"/>
    <w:rsid w:val="007E0E47"/>
    <w:rsid w:val="00805F10"/>
    <w:rsid w:val="0082112D"/>
    <w:rsid w:val="00895CB0"/>
    <w:rsid w:val="00897B3A"/>
    <w:rsid w:val="008B48B3"/>
    <w:rsid w:val="008B7A40"/>
    <w:rsid w:val="009166FB"/>
    <w:rsid w:val="009362C2"/>
    <w:rsid w:val="00940D90"/>
    <w:rsid w:val="00952F7F"/>
    <w:rsid w:val="009921CF"/>
    <w:rsid w:val="009A246A"/>
    <w:rsid w:val="00A10863"/>
    <w:rsid w:val="00A41002"/>
    <w:rsid w:val="00A475E3"/>
    <w:rsid w:val="00A547B8"/>
    <w:rsid w:val="00A775BB"/>
    <w:rsid w:val="00AB4ADB"/>
    <w:rsid w:val="00AB66D5"/>
    <w:rsid w:val="00B07897"/>
    <w:rsid w:val="00B111FE"/>
    <w:rsid w:val="00B36364"/>
    <w:rsid w:val="00B811F4"/>
    <w:rsid w:val="00B922FD"/>
    <w:rsid w:val="00BC2ADB"/>
    <w:rsid w:val="00BC3276"/>
    <w:rsid w:val="00BE5AAE"/>
    <w:rsid w:val="00C676A0"/>
    <w:rsid w:val="00C766EC"/>
    <w:rsid w:val="00C839DF"/>
    <w:rsid w:val="00CA60CA"/>
    <w:rsid w:val="00CB655E"/>
    <w:rsid w:val="00CF31C5"/>
    <w:rsid w:val="00D113F9"/>
    <w:rsid w:val="00D56305"/>
    <w:rsid w:val="00DA424E"/>
    <w:rsid w:val="00DA5262"/>
    <w:rsid w:val="00DB1D73"/>
    <w:rsid w:val="00DE6202"/>
    <w:rsid w:val="00E12556"/>
    <w:rsid w:val="00E24AD8"/>
    <w:rsid w:val="00E40E2E"/>
    <w:rsid w:val="00E90810"/>
    <w:rsid w:val="00E92A85"/>
    <w:rsid w:val="00EC2662"/>
    <w:rsid w:val="00ED074A"/>
    <w:rsid w:val="00F03D3F"/>
    <w:rsid w:val="00F62F94"/>
    <w:rsid w:val="00F90F2E"/>
    <w:rsid w:val="00FB5BC3"/>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083B3703-0641-449E-8CA4-79C3D449A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1432</Words>
  <Characters>8164</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2026-04-20T19:05:00Z</cp:lastPrinted>
  <dcterms:created xsi:type="dcterms:W3CDTF">2026-04-23T19:38:00Z</dcterms:created>
  <dcterms:modified xsi:type="dcterms:W3CDTF">2026-04-23T19:38:00Z</dcterms:modified>
</cp:coreProperties>
</file>