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350690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50690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350690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350690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350690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350690">
        <w:rPr>
          <w:rFonts w:ascii="Book Antiqua" w:hAnsi="Book Antiqua"/>
          <w:szCs w:val="24"/>
          <w:lang w:val="es-ES_tradnl"/>
        </w:rPr>
        <w:t>20m</w:t>
      </w:r>
      <w:r w:rsidR="002670C1" w:rsidRPr="00350690">
        <w:rPr>
          <w:rFonts w:ascii="Book Antiqua" w:hAnsi="Book Antiqua"/>
          <w:szCs w:val="24"/>
          <w:lang w:val="es-ES_tradnl"/>
        </w:rPr>
        <w:t>a. Asamblea</w:t>
      </w:r>
      <w:r w:rsidR="002670C1" w:rsidRPr="00350690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350690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350690">
        <w:rPr>
          <w:rFonts w:ascii="Book Antiqua" w:hAnsi="Book Antiqua"/>
          <w:szCs w:val="24"/>
          <w:lang w:val="es-ES_tradnl"/>
        </w:rPr>
        <w:t xml:space="preserve">  </w:t>
      </w:r>
      <w:r w:rsidR="003D1498" w:rsidRPr="00350690">
        <w:rPr>
          <w:rFonts w:ascii="Book Antiqua" w:hAnsi="Book Antiqua"/>
          <w:szCs w:val="24"/>
          <w:lang w:val="es-ES_tradnl"/>
        </w:rPr>
        <w:t>2d</w:t>
      </w:r>
      <w:r w:rsidR="002670C1" w:rsidRPr="00350690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350690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350690">
        <w:rPr>
          <w:rFonts w:ascii="Book Antiqua" w:hAnsi="Book Antiqua"/>
          <w:szCs w:val="24"/>
          <w:lang w:val="es-ES_tradnl"/>
        </w:rPr>
        <w:tab/>
        <w:t>Legislativa</w:t>
      </w:r>
      <w:r w:rsidRPr="00350690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350690">
        <w:rPr>
          <w:rFonts w:ascii="Book Antiqua" w:hAnsi="Book Antiqua"/>
          <w:szCs w:val="24"/>
          <w:lang w:val="es-ES_tradnl"/>
        </w:rPr>
        <w:t xml:space="preserve">       </w:t>
      </w:r>
      <w:r w:rsidRPr="00350690">
        <w:rPr>
          <w:rFonts w:ascii="Book Antiqua" w:hAnsi="Book Antiqua"/>
          <w:szCs w:val="24"/>
          <w:lang w:val="es-ES_tradnl"/>
        </w:rPr>
        <w:t xml:space="preserve"> </w:t>
      </w:r>
      <w:r w:rsidR="00632DBA" w:rsidRPr="00350690">
        <w:rPr>
          <w:rFonts w:ascii="Book Antiqua" w:hAnsi="Book Antiqua"/>
          <w:szCs w:val="24"/>
          <w:lang w:val="es-ES_tradnl"/>
        </w:rPr>
        <w:t xml:space="preserve"> </w:t>
      </w:r>
      <w:r w:rsidRPr="00350690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350690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350690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350690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426C17AC" w14:textId="77777777" w:rsidR="002670C1" w:rsidRPr="00350690" w:rsidRDefault="002670C1" w:rsidP="004D65C7">
      <w:pPr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AB71EBC" w14:textId="3D6ED322" w:rsidR="001A14B6" w:rsidRPr="004D65C7" w:rsidRDefault="00FC33EE" w:rsidP="00FC33EE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fr-FR"/>
        </w:rPr>
      </w:pPr>
      <w:r w:rsidRPr="004D65C7">
        <w:rPr>
          <w:rFonts w:ascii="Book Antiqua" w:hAnsi="Book Antiqua" w:cs="Tahoma"/>
          <w:b/>
          <w:sz w:val="52"/>
          <w:szCs w:val="52"/>
          <w:lang w:val="fr-FR"/>
        </w:rPr>
        <w:t>R. Conc. de la C. 24</w:t>
      </w:r>
    </w:p>
    <w:p w14:paraId="5FA68C9A" w14:textId="77777777" w:rsidR="00FC33EE" w:rsidRPr="004D65C7" w:rsidRDefault="00FC33EE" w:rsidP="00FC33EE">
      <w:pPr>
        <w:jc w:val="center"/>
        <w:outlineLvl w:val="0"/>
        <w:rPr>
          <w:rFonts w:ascii="Book Antiqua" w:hAnsi="Book Antiqua" w:cs="Tahoma"/>
          <w:b/>
          <w:lang w:val="fr-FR"/>
        </w:rPr>
      </w:pPr>
    </w:p>
    <w:p w14:paraId="0DBA772C" w14:textId="77777777" w:rsidR="002670C1" w:rsidRPr="00350690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350690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350690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35069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36CD434" w:rsidR="002670C1" w:rsidRPr="00350690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350690">
        <w:rPr>
          <w:rFonts w:ascii="Book Antiqua" w:hAnsi="Book Antiqua" w:cs="Tahoma"/>
          <w:lang w:val="es-ES_tradnl"/>
        </w:rPr>
        <w:t xml:space="preserve"> </w:t>
      </w:r>
      <w:r w:rsidR="00FC33EE" w:rsidRPr="00350690">
        <w:rPr>
          <w:rFonts w:ascii="Book Antiqua" w:hAnsi="Book Antiqua" w:cs="Tahoma"/>
          <w:lang w:val="es-ES_tradnl"/>
        </w:rPr>
        <w:t>20</w:t>
      </w:r>
      <w:r w:rsidRPr="00350690">
        <w:rPr>
          <w:rFonts w:ascii="Book Antiqua" w:hAnsi="Book Antiqua" w:cs="Tahoma"/>
          <w:lang w:val="es-ES_tradnl"/>
        </w:rPr>
        <w:t xml:space="preserve"> de </w:t>
      </w:r>
      <w:r w:rsidR="0029076F" w:rsidRPr="00350690">
        <w:rPr>
          <w:rFonts w:ascii="Book Antiqua" w:hAnsi="Book Antiqua" w:cs="Tahoma"/>
          <w:lang w:val="es-ES_tradnl"/>
        </w:rPr>
        <w:t>agosto</w:t>
      </w:r>
      <w:r w:rsidRPr="00350690">
        <w:rPr>
          <w:rFonts w:ascii="Book Antiqua" w:hAnsi="Book Antiqua" w:cs="Tahoma"/>
          <w:lang w:val="es-ES_tradnl"/>
        </w:rPr>
        <w:t xml:space="preserve"> de </w:t>
      </w:r>
      <w:r w:rsidR="00333864" w:rsidRPr="00350690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350690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350690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350690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350690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350690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C370903" w:rsidR="00682883" w:rsidRPr="004D65C7" w:rsidRDefault="002670C1" w:rsidP="00682883">
      <w:pPr>
        <w:jc w:val="both"/>
        <w:rPr>
          <w:rFonts w:ascii="Book Antiqua" w:hAnsi="Book Antiqua" w:cs="Tahoma"/>
          <w:sz w:val="23"/>
          <w:szCs w:val="23"/>
          <w:lang w:val="es-ES_tradnl"/>
        </w:rPr>
      </w:pPr>
      <w:r w:rsidRPr="00350690">
        <w:rPr>
          <w:rFonts w:ascii="Book Antiqua" w:hAnsi="Book Antiqua" w:cs="Tahoma"/>
          <w:lang w:val="es-ES_tradnl"/>
        </w:rPr>
        <w:tab/>
      </w:r>
      <w:r w:rsidR="008A4022" w:rsidRPr="004D65C7">
        <w:rPr>
          <w:rFonts w:ascii="Book Antiqua" w:hAnsi="Book Antiqua" w:cs="Tahoma"/>
          <w:sz w:val="23"/>
          <w:szCs w:val="23"/>
          <w:lang w:val="es-ES_tradnl"/>
        </w:rPr>
        <w:t>La Comisión de Asuntos Internos de la Cámara de Representantes, previo estudio y con</w:t>
      </w:r>
      <w:r w:rsidR="00062F39" w:rsidRPr="004D65C7">
        <w:rPr>
          <w:rFonts w:ascii="Book Antiqua" w:hAnsi="Book Antiqua" w:cs="Tahoma"/>
          <w:sz w:val="23"/>
          <w:szCs w:val="23"/>
          <w:lang w:val="es-ES_tradnl"/>
        </w:rPr>
        <w:t xml:space="preserve">sideración de la 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 xml:space="preserve">Resolución </w:t>
      </w:r>
      <w:r w:rsidR="00140CB0">
        <w:rPr>
          <w:rFonts w:ascii="Book Antiqua" w:hAnsi="Book Antiqua"/>
          <w:sz w:val="23"/>
          <w:szCs w:val="23"/>
          <w:lang w:val="es-ES_tradnl"/>
        </w:rPr>
        <w:t>Concurrente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 xml:space="preserve"> de la Cámara Núm. 24</w:t>
      </w:r>
      <w:r w:rsidR="00FA5F29" w:rsidRPr="004D65C7">
        <w:rPr>
          <w:rFonts w:ascii="Book Antiqua" w:hAnsi="Book Antiqua" w:cs="Tahoma"/>
          <w:sz w:val="23"/>
          <w:szCs w:val="23"/>
          <w:lang w:val="es-ES_tradnl"/>
        </w:rPr>
        <w:t xml:space="preserve">, </w:t>
      </w:r>
      <w:r w:rsidR="00682883" w:rsidRPr="004D65C7">
        <w:rPr>
          <w:rFonts w:ascii="Book Antiqua" w:hAnsi="Book Antiqua" w:cs="Tahoma"/>
          <w:sz w:val="23"/>
          <w:szCs w:val="23"/>
          <w:lang w:val="es-ES_tradnl"/>
        </w:rPr>
        <w:t>tiene a bien someter su informe recomendando la</w:t>
      </w:r>
      <w:r w:rsidR="00FC33EE" w:rsidRPr="004D65C7">
        <w:rPr>
          <w:rFonts w:ascii="Book Antiqua" w:hAnsi="Book Antiqua" w:cs="Tahoma"/>
          <w:sz w:val="23"/>
          <w:szCs w:val="23"/>
          <w:lang w:val="es-ES_tradnl"/>
        </w:rPr>
        <w:t xml:space="preserve"> aprobación de la medida sin</w:t>
      </w:r>
      <w:r w:rsidR="00682883" w:rsidRPr="004D65C7">
        <w:rPr>
          <w:rFonts w:ascii="Book Antiqua" w:hAnsi="Book Antiqua" w:cs="Tahoma"/>
          <w:sz w:val="23"/>
          <w:szCs w:val="23"/>
          <w:lang w:val="es-ES_tradnl"/>
        </w:rPr>
        <w:t xml:space="preserve"> enmiendas </w:t>
      </w:r>
      <w:r w:rsidR="00FC33EE" w:rsidRPr="004D65C7">
        <w:rPr>
          <w:rFonts w:ascii="Book Antiqua" w:hAnsi="Book Antiqua" w:cs="Tahoma"/>
          <w:sz w:val="23"/>
          <w:szCs w:val="23"/>
          <w:lang w:val="es-ES_tradnl"/>
        </w:rPr>
        <w:t xml:space="preserve">y </w:t>
      </w:r>
      <w:r w:rsidR="00682883" w:rsidRPr="004D65C7">
        <w:rPr>
          <w:rFonts w:ascii="Book Antiqua" w:hAnsi="Book Antiqua" w:cs="Tahoma"/>
          <w:sz w:val="23"/>
          <w:szCs w:val="23"/>
          <w:lang w:val="es-ES_tradnl"/>
        </w:rPr>
        <w:t>cuyo título lee:</w:t>
      </w:r>
    </w:p>
    <w:p w14:paraId="31C593C5" w14:textId="77777777" w:rsidR="00BC1CB2" w:rsidRPr="004D65C7" w:rsidRDefault="00BC1CB2" w:rsidP="007F3B99">
      <w:pPr>
        <w:jc w:val="both"/>
        <w:rPr>
          <w:rFonts w:ascii="Book Antiqua" w:hAnsi="Book Antiqua" w:cs="Tahoma"/>
          <w:sz w:val="23"/>
          <w:szCs w:val="23"/>
          <w:lang w:val="es-ES_tradnl"/>
        </w:rPr>
      </w:pPr>
    </w:p>
    <w:p w14:paraId="716A98FC" w14:textId="5ACCC9E5" w:rsidR="008D4A0A" w:rsidRPr="004D65C7" w:rsidRDefault="00BC1CB2" w:rsidP="00350690">
      <w:pPr>
        <w:ind w:left="567" w:hanging="567"/>
        <w:jc w:val="both"/>
        <w:rPr>
          <w:rFonts w:ascii="Book Antiqua" w:hAnsi="Book Antiqua"/>
          <w:sz w:val="23"/>
          <w:szCs w:val="23"/>
          <w:lang w:val="es-ES_tradnl"/>
        </w:rPr>
      </w:pPr>
      <w:r w:rsidRPr="004D65C7">
        <w:rPr>
          <w:rFonts w:ascii="Book Antiqua" w:hAnsi="Book Antiqua" w:cs="Tahoma"/>
          <w:sz w:val="23"/>
          <w:szCs w:val="23"/>
          <w:lang w:val="es-ES_tradnl"/>
        </w:rPr>
        <w:t xml:space="preserve"> </w:t>
      </w:r>
      <w:r w:rsidR="00E86FF9" w:rsidRPr="004D65C7">
        <w:rPr>
          <w:rFonts w:ascii="Book Antiqua" w:hAnsi="Book Antiqua" w:cs="Tahoma"/>
          <w:sz w:val="23"/>
          <w:szCs w:val="23"/>
          <w:lang w:val="es-ES_tradnl"/>
        </w:rPr>
        <w:t>“</w:t>
      </w:r>
      <w:r w:rsidR="00E86FF9" w:rsidRPr="004D65C7">
        <w:rPr>
          <w:rFonts w:ascii="Book Antiqua" w:hAnsi="Book Antiqua"/>
          <w:sz w:val="23"/>
          <w:szCs w:val="23"/>
          <w:lang w:val="es-ES_tradnl"/>
        </w:rPr>
        <w:t>Para</w:t>
      </w:r>
      <w:r w:rsidR="00E86FF9" w:rsidRPr="004D65C7">
        <w:rPr>
          <w:sz w:val="23"/>
          <w:szCs w:val="23"/>
          <w:lang w:val="es-ES_tradnl"/>
        </w:rPr>
        <w:t xml:space="preserve"> 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>crear la Comisión Conjunta de la Asamblea Legislativa para la Revisión del Sistema Electoral de Puerto Rico; disponer sobre su composición y jurisdicción; disponer sus facultades y poderes; establecer su término y vigencia; establecer los deberes y responsabilidades de la Comisión Estatal de Elecciones, así como toda agencia, instrumentalidad, municipio, corporaciones públicas para la Comisión Conjunta; y para otros fines pertinentes.</w:t>
      </w:r>
      <w:r w:rsidR="00FA5F29" w:rsidRPr="004D65C7">
        <w:rPr>
          <w:rFonts w:ascii="Book Antiqua" w:hAnsi="Book Antiqua"/>
          <w:bCs/>
          <w:sz w:val="23"/>
          <w:szCs w:val="23"/>
          <w:lang w:val="es-ES_tradnl"/>
        </w:rPr>
        <w:t>”</w:t>
      </w:r>
    </w:p>
    <w:p w14:paraId="0066EB36" w14:textId="77777777" w:rsidR="00AD4702" w:rsidRPr="004D65C7" w:rsidRDefault="00AD4702" w:rsidP="00AF186C">
      <w:pPr>
        <w:jc w:val="both"/>
        <w:rPr>
          <w:rFonts w:ascii="Book Antiqua" w:hAnsi="Book Antiqua" w:cs="Tahoma"/>
          <w:sz w:val="23"/>
          <w:szCs w:val="23"/>
          <w:lang w:val="es-ES_tradnl"/>
        </w:rPr>
      </w:pPr>
    </w:p>
    <w:p w14:paraId="5331B0D5" w14:textId="77777777" w:rsidR="008A1F08" w:rsidRPr="004D65C7" w:rsidRDefault="008A1F08" w:rsidP="009852EB">
      <w:pPr>
        <w:jc w:val="center"/>
        <w:outlineLvl w:val="0"/>
        <w:rPr>
          <w:rFonts w:ascii="Book Antiqua" w:hAnsi="Book Antiqua" w:cs="Tahoma"/>
          <w:b/>
          <w:sz w:val="23"/>
          <w:szCs w:val="23"/>
          <w:u w:val="single"/>
          <w:lang w:val="es-ES_tradnl"/>
        </w:rPr>
      </w:pPr>
      <w:r w:rsidRPr="004D65C7">
        <w:rPr>
          <w:rFonts w:ascii="Book Antiqua" w:hAnsi="Book Antiqua" w:cs="Tahoma"/>
          <w:b/>
          <w:sz w:val="23"/>
          <w:szCs w:val="23"/>
          <w:u w:val="single"/>
          <w:lang w:val="es-ES_tradnl"/>
        </w:rPr>
        <w:t>ALCANCE Y ANÁLISIS DE LA MEDIDA</w:t>
      </w:r>
    </w:p>
    <w:p w14:paraId="553B3D6B" w14:textId="77777777" w:rsidR="00DE02EB" w:rsidRPr="004D65C7" w:rsidRDefault="00DE02EB" w:rsidP="009852EB">
      <w:pPr>
        <w:jc w:val="center"/>
        <w:outlineLvl w:val="0"/>
        <w:rPr>
          <w:rFonts w:ascii="Book Antiqua" w:hAnsi="Book Antiqua" w:cs="Tahoma"/>
          <w:b/>
          <w:sz w:val="23"/>
          <w:szCs w:val="23"/>
          <w:u w:val="single"/>
          <w:lang w:val="es-ES_tradnl"/>
        </w:rPr>
      </w:pPr>
    </w:p>
    <w:p w14:paraId="6F90CB9A" w14:textId="5ECF9103" w:rsidR="00350690" w:rsidRPr="004D65C7" w:rsidRDefault="00CC4336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  <w:r w:rsidRPr="004D65C7">
        <w:rPr>
          <w:rFonts w:ascii="Book Antiqua" w:eastAsiaTheme="minorHAnsi" w:hAnsi="Book Antiqua"/>
          <w:sz w:val="23"/>
          <w:szCs w:val="23"/>
          <w:lang w:val="es-ES_tradnl"/>
        </w:rPr>
        <w:t xml:space="preserve">     </w:t>
      </w:r>
      <w:r w:rsidR="00DE02EB" w:rsidRPr="004D65C7">
        <w:rPr>
          <w:rFonts w:ascii="Book Antiqua" w:hAnsi="Book Antiqua"/>
          <w:sz w:val="23"/>
          <w:szCs w:val="23"/>
          <w:lang w:val="es-ES_tradnl"/>
        </w:rPr>
        <w:t>La</w:t>
      </w:r>
      <w:r w:rsidR="00194744" w:rsidRPr="004D65C7">
        <w:rPr>
          <w:rFonts w:ascii="Book Antiqua" w:hAnsi="Book Antiqua"/>
          <w:sz w:val="23"/>
          <w:szCs w:val="23"/>
          <w:lang w:val="es-ES_tradnl"/>
        </w:rPr>
        <w:t xml:space="preserve"> Resolución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 xml:space="preserve"> </w:t>
      </w:r>
      <w:r w:rsidR="00140CB0">
        <w:rPr>
          <w:rFonts w:ascii="Book Antiqua" w:hAnsi="Book Antiqua"/>
          <w:sz w:val="23"/>
          <w:szCs w:val="23"/>
          <w:lang w:val="es-ES_tradnl"/>
        </w:rPr>
        <w:t>Concurrente</w:t>
      </w:r>
      <w:r w:rsidR="00194744" w:rsidRPr="004D65C7">
        <w:rPr>
          <w:rFonts w:ascii="Book Antiqua" w:hAnsi="Book Antiqua"/>
          <w:sz w:val="23"/>
          <w:szCs w:val="23"/>
          <w:lang w:val="es-ES_tradnl"/>
        </w:rPr>
        <w:t xml:space="preserve"> de la Cámara Núm.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 xml:space="preserve"> 24 persigue la creación de una </w:t>
      </w:r>
      <w:r w:rsidR="00350690" w:rsidRPr="004D65C7">
        <w:rPr>
          <w:rFonts w:ascii="Book Antiqua" w:hAnsi="Book Antiqua"/>
          <w:bCs/>
          <w:sz w:val="23"/>
          <w:szCs w:val="23"/>
          <w:lang w:val="es-ES_tradnl"/>
        </w:rPr>
        <w:t>Comisión Conjunta de la Asamblea Legislativa para la Revisión del Sistema Electoral de Puerto Rico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>, con la encomienda de examinar el marco legal, administrativo y tecnológico que rige los procesos electorales en la Isla.</w:t>
      </w:r>
    </w:p>
    <w:p w14:paraId="30721CE4" w14:textId="77777777" w:rsidR="00350690" w:rsidRPr="004D65C7" w:rsidRDefault="00350690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</w:p>
    <w:p w14:paraId="20DFC31D" w14:textId="0B7CFA78" w:rsidR="00350690" w:rsidRPr="004D65C7" w:rsidRDefault="00350690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  <w:r w:rsidRPr="004D65C7">
        <w:rPr>
          <w:rFonts w:ascii="Book Antiqua" w:hAnsi="Book Antiqua"/>
          <w:sz w:val="23"/>
          <w:szCs w:val="23"/>
          <w:lang w:val="es-ES_tradnl"/>
        </w:rPr>
        <w:t xml:space="preserve">     La medida reconoce que el derecho al voto, consagrado en el Artículo II, Sección 2 de la Constitución de Puerto Rico, constituye el pilar de la democracia representativa y que corresponde a la Asamblea Legislativa velar por su protección, garantizando que el sufragio sea universal, igual, directo, secreto y libre de coacción. En su Exposición de Motivos, se resalta que la Ley Núm. 58-2020, conocida como el </w:t>
      </w:r>
      <w:r w:rsidRPr="004D65C7">
        <w:rPr>
          <w:rFonts w:ascii="Book Antiqua" w:hAnsi="Book Antiqua"/>
          <w:bCs/>
          <w:sz w:val="23"/>
          <w:szCs w:val="23"/>
          <w:lang w:val="es-ES_tradnl"/>
        </w:rPr>
        <w:t>Código Electoral de Puerto Rico</w:t>
      </w:r>
      <w:r w:rsidRPr="004D65C7">
        <w:rPr>
          <w:rFonts w:ascii="Book Antiqua" w:hAnsi="Book Antiqua"/>
          <w:sz w:val="23"/>
          <w:szCs w:val="23"/>
          <w:lang w:val="es-ES_tradnl"/>
        </w:rPr>
        <w:t xml:space="preserve">, otorgó a la Comisión Estatal de Elecciones (CEE) la responsabilidad de facilitar el registro de electores, modernizar los procesos de votación, agilizar los escrutinios y asegurar la adjudicación de los votos conforme a la intención del elector. No obstante, las experiencias recientes del ciclo </w:t>
      </w:r>
      <w:r w:rsidRPr="004D65C7">
        <w:rPr>
          <w:rFonts w:ascii="Book Antiqua" w:hAnsi="Book Antiqua"/>
          <w:sz w:val="23"/>
          <w:szCs w:val="23"/>
          <w:lang w:val="es-ES_tradnl"/>
        </w:rPr>
        <w:lastRenderedPageBreak/>
        <w:t>electoral han puesto de manifiesto múltiples retos que hacen necesaria una evaluación integral del sistema.</w:t>
      </w:r>
    </w:p>
    <w:p w14:paraId="54A180FE" w14:textId="77777777" w:rsidR="00350690" w:rsidRPr="004D65C7" w:rsidRDefault="00350690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</w:p>
    <w:p w14:paraId="434D063A" w14:textId="52DE8157" w:rsidR="00350690" w:rsidRPr="004D65C7" w:rsidRDefault="00350690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  <w:r w:rsidRPr="004D65C7">
        <w:rPr>
          <w:rFonts w:ascii="Book Antiqua" w:hAnsi="Book Antiqua"/>
          <w:sz w:val="23"/>
          <w:szCs w:val="23"/>
          <w:lang w:val="es-ES_tradnl"/>
        </w:rPr>
        <w:t xml:space="preserve">     El alcance de esta medida se centra en examinar la estructura institucional de la CEE y de otras entidades vinculadas al proceso electoral con el fin de identificar posibles reestructuraciones que aporten agilidad y eficiencia administrativa. A su vez, se busca revisar la aplicación práctica del Código Electoral y de leyes relacionadas, tales como la Ley para la Fiscalización del Financiamiento de Campañas Políticas, con el fin de proponer enmiendas, derogaciones o nuevas disposiciones que permitan garantizar procesos más accesibles, confiables y transparentes. Del mismo modo, se contempla la necesidad de atender los reclamos ciudadanos en torno a los obstáculos que aún existen en la práctica del voto, asegurando que los reglamentos y procedimientos vigentes no representen barreras innecesarias al ejercicio de este derecho fundamental.</w:t>
      </w:r>
    </w:p>
    <w:p w14:paraId="3D14C41E" w14:textId="77777777" w:rsidR="00350690" w:rsidRPr="004D65C7" w:rsidRDefault="00350690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</w:p>
    <w:p w14:paraId="7CF4BEFA" w14:textId="38514A52" w:rsidR="00350690" w:rsidRPr="004D65C7" w:rsidRDefault="00350690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  <w:r w:rsidRPr="004D65C7">
        <w:rPr>
          <w:rFonts w:ascii="Book Antiqua" w:hAnsi="Book Antiqua"/>
          <w:sz w:val="23"/>
          <w:szCs w:val="23"/>
          <w:lang w:val="es-ES_tradnl"/>
        </w:rPr>
        <w:t xml:space="preserve">     La medida también coloca un énfasis especial en la evaluación del uso de tecnologías modernas que permitan mejorar la accesibilidad de los electores, aumentar la rapidez en los escrutinios y fortalecer la pureza del sufragio. Ello incluye el análisis del voto adelantado, ausente, electrónico y automatizado, así como de cualquier otro mecanismo que garantice mayor participación ciudadana y certeza en los resultados. Al mismo tiempo, se reconoce la importancia de revisar la experiencia reciente del ciclo electoral para identificar de forma objetiva los retos observados y proponer solucione</w:t>
      </w:r>
      <w:r w:rsidR="00675537" w:rsidRPr="004D65C7">
        <w:rPr>
          <w:rFonts w:ascii="Book Antiqua" w:hAnsi="Book Antiqua"/>
          <w:sz w:val="23"/>
          <w:szCs w:val="23"/>
          <w:lang w:val="es-ES_tradnl"/>
        </w:rPr>
        <w:t>s que</w:t>
      </w:r>
      <w:r w:rsidRPr="004D65C7">
        <w:rPr>
          <w:rFonts w:ascii="Book Antiqua" w:hAnsi="Book Antiqua"/>
          <w:sz w:val="23"/>
          <w:szCs w:val="23"/>
          <w:lang w:val="es-ES_tradnl"/>
        </w:rPr>
        <w:t xml:space="preserve"> optimicen la administración de los procesos y fortalezcan la confianza ciudadana en el sistema electoral.</w:t>
      </w:r>
    </w:p>
    <w:p w14:paraId="07BC1507" w14:textId="77777777" w:rsidR="00350690" w:rsidRPr="004D65C7" w:rsidRDefault="00350690" w:rsidP="00350690">
      <w:pPr>
        <w:jc w:val="both"/>
        <w:rPr>
          <w:rFonts w:ascii="Book Antiqua" w:hAnsi="Book Antiqua"/>
          <w:sz w:val="23"/>
          <w:szCs w:val="23"/>
          <w:lang w:val="es-ES_tradnl"/>
        </w:rPr>
      </w:pPr>
    </w:p>
    <w:p w14:paraId="05E78832" w14:textId="1368CA60" w:rsidR="00DF3E6F" w:rsidRPr="004D65C7" w:rsidRDefault="00350690" w:rsidP="00DF3E6F">
      <w:pPr>
        <w:jc w:val="both"/>
        <w:rPr>
          <w:rFonts w:ascii="Book Antiqua" w:hAnsi="Book Antiqua"/>
          <w:sz w:val="23"/>
          <w:szCs w:val="23"/>
          <w:lang w:val="es-ES_tradnl"/>
        </w:rPr>
      </w:pPr>
      <w:r w:rsidRPr="004D65C7">
        <w:rPr>
          <w:rFonts w:ascii="Book Antiqua" w:hAnsi="Book Antiqua"/>
          <w:sz w:val="23"/>
          <w:szCs w:val="23"/>
          <w:lang w:val="es-ES_tradnl"/>
        </w:rPr>
        <w:t xml:space="preserve">     De este modo, la Comisión Conjunta se concibe como un foro de análisis integral en el que converjan propuestas de reformas legales, reglamentarias y administrativas que atiendan los desafíos actuales y futuros del sistema electoral. La encomienda de esta Comisión se orienta a garantizar que los procesos electorales en Puerto Rico se conduzcan con pureza, transparencia, eficiencia y legitimidad democrática, reafirmando la obligación del Estado de proteger el derecho al voto como piedra angular de nuestro sistema democrático.</w:t>
      </w:r>
    </w:p>
    <w:p w14:paraId="3E07A231" w14:textId="13280052" w:rsidR="008B1E7C" w:rsidRPr="004D65C7" w:rsidRDefault="006150BB" w:rsidP="00350690">
      <w:pPr>
        <w:pStyle w:val="NormalWeb"/>
        <w:jc w:val="center"/>
        <w:outlineLvl w:val="0"/>
        <w:rPr>
          <w:rFonts w:ascii="Book Antiqua" w:hAnsi="Book Antiqua"/>
          <w:b/>
          <w:sz w:val="23"/>
          <w:szCs w:val="23"/>
          <w:u w:val="single"/>
          <w:lang w:val="es-ES_tradnl"/>
        </w:rPr>
      </w:pPr>
      <w:r w:rsidRPr="004D65C7">
        <w:rPr>
          <w:rFonts w:ascii="Book Antiqua" w:hAnsi="Book Antiqua"/>
          <w:b/>
          <w:sz w:val="23"/>
          <w:szCs w:val="23"/>
          <w:u w:val="single"/>
          <w:lang w:val="es-ES_tradnl"/>
        </w:rPr>
        <w:t>CONCLUSIÓN Y RECOMENDACIÓN</w:t>
      </w:r>
    </w:p>
    <w:p w14:paraId="222C4662" w14:textId="4ADB22F5" w:rsidR="00350690" w:rsidRPr="004D65C7" w:rsidRDefault="001A02E8" w:rsidP="001A02E8">
      <w:pPr>
        <w:pStyle w:val="NormalWeb"/>
        <w:jc w:val="both"/>
        <w:rPr>
          <w:rFonts w:ascii="Book Antiqua" w:hAnsi="Book Antiqua"/>
          <w:sz w:val="23"/>
          <w:szCs w:val="23"/>
          <w:lang w:val="es-ES_tradnl"/>
        </w:rPr>
      </w:pPr>
      <w:r w:rsidRPr="004D65C7">
        <w:rPr>
          <w:rFonts w:ascii="Book Antiqua" w:hAnsi="Book Antiqua"/>
          <w:sz w:val="23"/>
          <w:szCs w:val="23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la Resolución </w:t>
      </w:r>
      <w:r w:rsidR="00140CB0">
        <w:rPr>
          <w:rFonts w:ascii="Book Antiqua" w:hAnsi="Book Antiqua"/>
          <w:sz w:val="23"/>
          <w:szCs w:val="23"/>
          <w:lang w:val="es-ES_tradnl"/>
        </w:rPr>
        <w:t>Concurrente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 xml:space="preserve"> de la Cámara Núm. 24, sin </w:t>
      </w:r>
      <w:r w:rsidRPr="004D65C7">
        <w:rPr>
          <w:rFonts w:ascii="Book Antiqua" w:hAnsi="Book Antiqua"/>
          <w:sz w:val="23"/>
          <w:szCs w:val="23"/>
          <w:lang w:val="es-ES_tradnl"/>
        </w:rPr>
        <w:t>enmiendas</w:t>
      </w:r>
      <w:r w:rsidR="00350690" w:rsidRPr="004D65C7">
        <w:rPr>
          <w:rFonts w:ascii="Book Antiqua" w:hAnsi="Book Antiqua"/>
          <w:sz w:val="23"/>
          <w:szCs w:val="23"/>
          <w:lang w:val="es-ES_tradnl"/>
        </w:rPr>
        <w:t>.</w:t>
      </w:r>
      <w:r w:rsidRPr="004D65C7">
        <w:rPr>
          <w:rFonts w:ascii="Book Antiqua" w:hAnsi="Book Antiqua"/>
          <w:sz w:val="23"/>
          <w:szCs w:val="23"/>
          <w:lang w:val="es-ES_tradnl"/>
        </w:rPr>
        <w:t xml:space="preserve"> </w:t>
      </w:r>
    </w:p>
    <w:p w14:paraId="50FFCE58" w14:textId="77777777" w:rsidR="006150BB" w:rsidRPr="004D65C7" w:rsidRDefault="006150BB" w:rsidP="006150BB">
      <w:pPr>
        <w:jc w:val="both"/>
        <w:rPr>
          <w:rFonts w:ascii="Book Antiqua" w:hAnsi="Book Antiqua" w:cs="Tahoma"/>
          <w:sz w:val="23"/>
          <w:szCs w:val="23"/>
          <w:lang w:val="es-ES_tradnl"/>
        </w:rPr>
      </w:pPr>
      <w:r w:rsidRPr="004D65C7">
        <w:rPr>
          <w:rFonts w:ascii="Book Antiqua" w:hAnsi="Book Antiqua" w:cs="Tahoma"/>
          <w:sz w:val="23"/>
          <w:szCs w:val="23"/>
          <w:lang w:val="es-ES_tradnl"/>
        </w:rPr>
        <w:t>Respetuosamente sometido,</w:t>
      </w:r>
    </w:p>
    <w:p w14:paraId="788BD5EC" w14:textId="77777777" w:rsidR="00DF3E6F" w:rsidRPr="004D65C7" w:rsidRDefault="00DF3E6F" w:rsidP="00DF3E6F">
      <w:pPr>
        <w:jc w:val="both"/>
        <w:rPr>
          <w:rFonts w:ascii="Book Antiqua" w:hAnsi="Book Antiqua"/>
          <w:sz w:val="23"/>
          <w:szCs w:val="23"/>
          <w:lang w:val="es-ES_tradnl"/>
        </w:rPr>
      </w:pPr>
    </w:p>
    <w:p w14:paraId="0D4A074B" w14:textId="5FFB4C1B" w:rsidR="003F3D8D" w:rsidRPr="004D65C7" w:rsidRDefault="000F1167" w:rsidP="003F3D8D">
      <w:pPr>
        <w:jc w:val="both"/>
        <w:rPr>
          <w:rFonts w:ascii="Book Antiqua" w:hAnsi="Book Antiqua" w:cs="Tahoma"/>
          <w:b/>
          <w:bCs/>
          <w:sz w:val="23"/>
          <w:szCs w:val="23"/>
          <w:lang w:val="es-ES_tradnl"/>
        </w:rPr>
      </w:pPr>
      <w:r w:rsidRPr="004D65C7">
        <w:rPr>
          <w:rFonts w:ascii="Book Antiqua" w:hAnsi="Book Antiqua"/>
          <w:sz w:val="23"/>
          <w:szCs w:val="23"/>
          <w:lang w:val="es-ES_tradnl"/>
        </w:rPr>
        <w:t xml:space="preserve">    </w:t>
      </w:r>
    </w:p>
    <w:p w14:paraId="6C06768D" w14:textId="77777777" w:rsidR="003F3D8D" w:rsidRPr="004D65C7" w:rsidRDefault="003F3D8D" w:rsidP="003F3D8D">
      <w:pPr>
        <w:rPr>
          <w:rFonts w:ascii="Book Antiqua" w:hAnsi="Book Antiqua" w:cs="Tahoma"/>
          <w:sz w:val="23"/>
          <w:szCs w:val="23"/>
          <w:lang w:val="es-ES_tradnl"/>
        </w:rPr>
      </w:pPr>
    </w:p>
    <w:p w14:paraId="7DC33FC3" w14:textId="4F4319C4" w:rsidR="00307416" w:rsidRPr="004D65C7" w:rsidRDefault="003F3D8D" w:rsidP="008A4022">
      <w:pPr>
        <w:rPr>
          <w:rFonts w:ascii="Book Antiqua" w:hAnsi="Book Antiqua"/>
          <w:b/>
          <w:smallCaps/>
          <w:sz w:val="23"/>
          <w:szCs w:val="23"/>
          <w:lang w:val="es-ES_tradnl"/>
        </w:rPr>
      </w:pPr>
      <w:r w:rsidRPr="004D65C7">
        <w:rPr>
          <w:rFonts w:ascii="Book Antiqua" w:hAnsi="Book Antiqua" w:cs="Tahoma"/>
          <w:b/>
          <w:bCs/>
          <w:sz w:val="23"/>
          <w:szCs w:val="23"/>
          <w:lang w:val="es-ES_tradnl"/>
        </w:rPr>
        <w:t>PEDRO JULIO SANTIAGO GUZMÁN</w:t>
      </w:r>
      <w:r w:rsidRPr="004D65C7">
        <w:rPr>
          <w:rFonts w:ascii="Book Antiqua" w:hAnsi="Book Antiqua" w:cs="Tahoma"/>
          <w:sz w:val="23"/>
          <w:szCs w:val="23"/>
          <w:lang w:val="es-ES_tradnl"/>
        </w:rPr>
        <w:br/>
        <w:t>Presidente</w:t>
      </w:r>
      <w:r w:rsidRPr="004D65C7">
        <w:rPr>
          <w:rFonts w:ascii="Book Antiqua" w:hAnsi="Book Antiqua" w:cs="Tahoma"/>
          <w:sz w:val="23"/>
          <w:szCs w:val="23"/>
          <w:lang w:val="es-ES_tradnl"/>
        </w:rPr>
        <w:br/>
        <w:t>Comisión de Asuntos Internos</w:t>
      </w:r>
    </w:p>
    <w:sectPr w:rsidR="00307416" w:rsidRPr="004D65C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2A9F4" w14:textId="77777777" w:rsidR="00503D48" w:rsidRDefault="00503D48" w:rsidP="00614C2C">
      <w:r>
        <w:separator/>
      </w:r>
    </w:p>
  </w:endnote>
  <w:endnote w:type="continuationSeparator" w:id="0">
    <w:p w14:paraId="06DF193C" w14:textId="77777777" w:rsidR="00503D48" w:rsidRDefault="00503D4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55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60A50" w14:textId="77777777" w:rsidR="00503D48" w:rsidRDefault="00503D48" w:rsidP="00614C2C">
      <w:r>
        <w:separator/>
      </w:r>
    </w:p>
  </w:footnote>
  <w:footnote w:type="continuationSeparator" w:id="0">
    <w:p w14:paraId="15667457" w14:textId="77777777" w:rsidR="00503D48" w:rsidRDefault="00503D4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1722738">
    <w:abstractNumId w:val="6"/>
  </w:num>
  <w:num w:numId="2" w16cid:durableId="215702793">
    <w:abstractNumId w:val="12"/>
  </w:num>
  <w:num w:numId="3" w16cid:durableId="713778057">
    <w:abstractNumId w:val="3"/>
  </w:num>
  <w:num w:numId="4" w16cid:durableId="1709455641">
    <w:abstractNumId w:val="1"/>
  </w:num>
  <w:num w:numId="5" w16cid:durableId="1356811670">
    <w:abstractNumId w:val="7"/>
  </w:num>
  <w:num w:numId="6" w16cid:durableId="668751390">
    <w:abstractNumId w:val="4"/>
  </w:num>
  <w:num w:numId="7" w16cid:durableId="1145314449">
    <w:abstractNumId w:val="5"/>
  </w:num>
  <w:num w:numId="8" w16cid:durableId="1025207971">
    <w:abstractNumId w:val="8"/>
  </w:num>
  <w:num w:numId="9" w16cid:durableId="382217960">
    <w:abstractNumId w:val="9"/>
  </w:num>
  <w:num w:numId="10" w16cid:durableId="276448423">
    <w:abstractNumId w:val="0"/>
  </w:num>
  <w:num w:numId="11" w16cid:durableId="838693680">
    <w:abstractNumId w:val="2"/>
  </w:num>
  <w:num w:numId="12" w16cid:durableId="1827356757">
    <w:abstractNumId w:val="11"/>
  </w:num>
  <w:num w:numId="13" w16cid:durableId="8408529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1B2C"/>
    <w:rsid w:val="00133986"/>
    <w:rsid w:val="00140CB0"/>
    <w:rsid w:val="0014288C"/>
    <w:rsid w:val="00173884"/>
    <w:rsid w:val="001763F4"/>
    <w:rsid w:val="00181B70"/>
    <w:rsid w:val="001867DE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50690"/>
    <w:rsid w:val="00356006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D65C7"/>
    <w:rsid w:val="004E3952"/>
    <w:rsid w:val="00503D48"/>
    <w:rsid w:val="00506C85"/>
    <w:rsid w:val="00525E8D"/>
    <w:rsid w:val="00526E4B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75537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C769D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5524C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9F549F"/>
    <w:rsid w:val="00A012A2"/>
    <w:rsid w:val="00A12981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17D2"/>
    <w:rsid w:val="00C43FBF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33EE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7EA82B28-9605-43A9-A6D2-F7B83C99D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3939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Jan E. Febo Cabrera</cp:lastModifiedBy>
  <cp:revision>2</cp:revision>
  <cp:lastPrinted>2025-02-17T12:55:00Z</cp:lastPrinted>
  <dcterms:created xsi:type="dcterms:W3CDTF">2025-08-20T19:20:00Z</dcterms:created>
  <dcterms:modified xsi:type="dcterms:W3CDTF">2025-08-20T19:20:00Z</dcterms:modified>
</cp:coreProperties>
</file>