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0C09" w14:textId="49EE7769" w:rsidR="00FF6BD2" w:rsidRPr="004F6F8E" w:rsidRDefault="00854B10" w:rsidP="00F13533">
      <w:pPr>
        <w:jc w:val="center"/>
        <w:rPr>
          <w:rFonts w:ascii="Book Antiqua" w:hAnsi="Book Antiqua"/>
          <w:sz w:val="28"/>
          <w:lang w:val="es-ES_tradnl"/>
        </w:rPr>
      </w:pPr>
      <w:r>
        <w:rPr>
          <w:rFonts w:ascii="Book Antiqua" w:hAnsi="Book Antiqua"/>
          <w:sz w:val="28"/>
          <w:lang w:val="es-ES_tradnl"/>
        </w:rPr>
        <w:t>GOBIERN</w:t>
      </w:r>
      <w:r w:rsidR="00F13533" w:rsidRPr="004F6F8E">
        <w:rPr>
          <w:rFonts w:ascii="Book Antiqua" w:hAnsi="Book Antiqua"/>
          <w:sz w:val="28"/>
          <w:lang w:val="es-ES_tradnl"/>
        </w:rPr>
        <w:t>O DE PUERTO RICO</w:t>
      </w:r>
    </w:p>
    <w:p w14:paraId="74FEB7F1" w14:textId="77777777" w:rsidR="00F13533" w:rsidRPr="004F6F8E" w:rsidRDefault="00F13533" w:rsidP="00F13533">
      <w:pPr>
        <w:jc w:val="center"/>
        <w:rPr>
          <w:rFonts w:ascii="Book Antiqua" w:hAnsi="Book Antiqua"/>
          <w:sz w:val="28"/>
          <w:lang w:val="es-ES_tradnl"/>
        </w:rPr>
      </w:pPr>
    </w:p>
    <w:p w14:paraId="6AE3905C" w14:textId="14A95FD7" w:rsidR="00F13533" w:rsidRPr="00C156DF" w:rsidRDefault="00F13533" w:rsidP="00C156DF">
      <w:pPr>
        <w:pStyle w:val="Title2"/>
        <w:tabs>
          <w:tab w:val="clear" w:pos="648"/>
          <w:tab w:val="clear" w:pos="7776"/>
          <w:tab w:val="clear" w:pos="7848"/>
        </w:tabs>
        <w:rPr>
          <w:rFonts w:ascii="Book Antiqua" w:hAnsi="Book Antiqua"/>
          <w:lang w:val="it-IT"/>
        </w:rPr>
      </w:pPr>
      <w:r w:rsidRPr="00C156DF">
        <w:rPr>
          <w:rFonts w:ascii="Book Antiqua" w:hAnsi="Book Antiqua"/>
          <w:lang w:val="it-IT"/>
        </w:rPr>
        <w:t xml:space="preserve"> </w:t>
      </w:r>
      <w:r w:rsidR="00C156DF" w:rsidRPr="00C156DF">
        <w:rPr>
          <w:rFonts w:ascii="Book Antiqua" w:hAnsi="Book Antiqua"/>
          <w:lang w:val="it-IT"/>
        </w:rPr>
        <w:t xml:space="preserve">20ma. </w:t>
      </w:r>
      <w:r w:rsidRPr="00C156DF">
        <w:rPr>
          <w:rFonts w:ascii="Book Antiqua" w:hAnsi="Book Antiqua"/>
          <w:lang w:val="it-IT"/>
        </w:rPr>
        <w:t>Asamblea</w:t>
      </w:r>
      <w:r w:rsidRPr="00C156DF">
        <w:rPr>
          <w:rFonts w:ascii="Book Antiqua" w:hAnsi="Book Antiqua"/>
          <w:lang w:val="it-IT"/>
        </w:rPr>
        <w:tab/>
      </w:r>
      <w:r w:rsidR="00C156DF">
        <w:rPr>
          <w:rFonts w:ascii="Book Antiqua" w:hAnsi="Book Antiqua"/>
          <w:lang w:val="it-IT"/>
        </w:rPr>
        <w:tab/>
      </w:r>
      <w:r w:rsidR="00C156DF">
        <w:rPr>
          <w:rFonts w:ascii="Book Antiqua" w:hAnsi="Book Antiqua"/>
          <w:lang w:val="it-IT"/>
        </w:rPr>
        <w:tab/>
      </w:r>
      <w:r w:rsidR="00C156DF">
        <w:rPr>
          <w:rFonts w:ascii="Book Antiqua" w:hAnsi="Book Antiqua"/>
          <w:lang w:val="it-IT"/>
        </w:rPr>
        <w:tab/>
      </w:r>
      <w:r w:rsidR="00C156DF">
        <w:rPr>
          <w:rFonts w:ascii="Book Antiqua" w:hAnsi="Book Antiqua"/>
          <w:lang w:val="it-IT"/>
        </w:rPr>
        <w:tab/>
      </w:r>
      <w:r w:rsidR="00C156DF">
        <w:rPr>
          <w:rFonts w:ascii="Book Antiqua" w:hAnsi="Book Antiqua"/>
          <w:lang w:val="it-IT"/>
        </w:rPr>
        <w:tab/>
      </w:r>
      <w:r w:rsidR="00C156DF">
        <w:rPr>
          <w:rFonts w:ascii="Book Antiqua" w:hAnsi="Book Antiqua"/>
          <w:lang w:val="it-IT"/>
        </w:rPr>
        <w:tab/>
      </w:r>
      <w:r w:rsidR="00C156DF">
        <w:rPr>
          <w:rFonts w:ascii="Book Antiqua" w:hAnsi="Book Antiqua"/>
          <w:lang w:val="it-IT"/>
        </w:rPr>
        <w:tab/>
        <w:t xml:space="preserve">          2da. </w:t>
      </w:r>
      <w:r w:rsidRPr="00C156DF">
        <w:rPr>
          <w:rFonts w:ascii="Book Antiqua" w:hAnsi="Book Antiqua"/>
          <w:lang w:val="it-IT"/>
        </w:rPr>
        <w:t>Sesión</w:t>
      </w:r>
    </w:p>
    <w:p w14:paraId="37260458" w14:textId="0300A423" w:rsidR="00F13533" w:rsidRPr="00C156DF" w:rsidRDefault="00F13533" w:rsidP="00C156DF">
      <w:pPr>
        <w:pStyle w:val="Title2"/>
        <w:tabs>
          <w:tab w:val="clear" w:pos="648"/>
          <w:tab w:val="clear" w:pos="7776"/>
          <w:tab w:val="clear" w:pos="7848"/>
        </w:tabs>
        <w:rPr>
          <w:rFonts w:ascii="Book Antiqua" w:hAnsi="Book Antiqua"/>
          <w:lang w:val="it-IT"/>
        </w:rPr>
      </w:pPr>
      <w:r w:rsidRPr="00C156DF">
        <w:rPr>
          <w:rFonts w:ascii="Book Antiqua" w:hAnsi="Book Antiqua"/>
          <w:lang w:val="it-IT"/>
        </w:rPr>
        <w:tab/>
      </w:r>
      <w:r w:rsidR="00C156DF" w:rsidRPr="00C156DF">
        <w:rPr>
          <w:rFonts w:ascii="Book Antiqua" w:hAnsi="Book Antiqua"/>
          <w:lang w:val="it-IT"/>
        </w:rPr>
        <w:t xml:space="preserve"> </w:t>
      </w:r>
      <w:r w:rsidRPr="00C156DF">
        <w:rPr>
          <w:rFonts w:ascii="Book Antiqua" w:hAnsi="Book Antiqua"/>
          <w:lang w:val="it-IT"/>
        </w:rPr>
        <w:t>Legislativa</w:t>
      </w:r>
      <w:r w:rsidRPr="00C156DF">
        <w:rPr>
          <w:rFonts w:ascii="Book Antiqua" w:hAnsi="Book Antiqua"/>
          <w:lang w:val="it-IT"/>
        </w:rPr>
        <w:tab/>
      </w:r>
      <w:r w:rsidRPr="00C156DF">
        <w:rPr>
          <w:rFonts w:ascii="Book Antiqua" w:hAnsi="Book Antiqua"/>
          <w:lang w:val="it-IT"/>
        </w:rPr>
        <w:tab/>
      </w:r>
      <w:r w:rsidR="00C156DF">
        <w:rPr>
          <w:rFonts w:ascii="Book Antiqua" w:hAnsi="Book Antiqua"/>
          <w:lang w:val="it-IT"/>
        </w:rPr>
        <w:tab/>
      </w:r>
      <w:r w:rsidR="00C156DF">
        <w:rPr>
          <w:rFonts w:ascii="Book Antiqua" w:hAnsi="Book Antiqua"/>
          <w:lang w:val="it-IT"/>
        </w:rPr>
        <w:tab/>
      </w:r>
      <w:r w:rsidR="00C156DF">
        <w:rPr>
          <w:rFonts w:ascii="Book Antiqua" w:hAnsi="Book Antiqua"/>
          <w:lang w:val="it-IT"/>
        </w:rPr>
        <w:tab/>
      </w:r>
      <w:r w:rsidR="00C156DF">
        <w:rPr>
          <w:rFonts w:ascii="Book Antiqua" w:hAnsi="Book Antiqua"/>
          <w:lang w:val="it-IT"/>
        </w:rPr>
        <w:tab/>
      </w:r>
      <w:r w:rsidR="00C156DF">
        <w:rPr>
          <w:rFonts w:ascii="Book Antiqua" w:hAnsi="Book Antiqua"/>
          <w:lang w:val="it-IT"/>
        </w:rPr>
        <w:tab/>
      </w:r>
      <w:r w:rsidR="00C156DF">
        <w:rPr>
          <w:rFonts w:ascii="Book Antiqua" w:hAnsi="Book Antiqua"/>
          <w:lang w:val="it-IT"/>
        </w:rPr>
        <w:tab/>
      </w:r>
      <w:r w:rsidR="00C156DF">
        <w:rPr>
          <w:rFonts w:ascii="Book Antiqua" w:hAnsi="Book Antiqua"/>
          <w:lang w:val="it-IT"/>
        </w:rPr>
        <w:tab/>
        <w:t xml:space="preserve">      </w:t>
      </w:r>
      <w:r w:rsidRPr="00C156DF">
        <w:rPr>
          <w:rFonts w:ascii="Book Antiqua" w:hAnsi="Book Antiqua"/>
          <w:lang w:val="it-IT"/>
        </w:rPr>
        <w:t>Ordinaria</w:t>
      </w:r>
    </w:p>
    <w:p w14:paraId="4881859A" w14:textId="77777777" w:rsidR="00F13533" w:rsidRPr="00C156DF" w:rsidRDefault="00F13533" w:rsidP="00F13533">
      <w:pPr>
        <w:rPr>
          <w:rFonts w:ascii="Book Antiqua" w:hAnsi="Book Antiqua"/>
          <w:lang w:val="it-IT"/>
        </w:rPr>
      </w:pPr>
    </w:p>
    <w:p w14:paraId="2BEF326C" w14:textId="77777777" w:rsidR="00F13533" w:rsidRPr="004F6F8E" w:rsidRDefault="00F13533" w:rsidP="009476BB">
      <w:pPr>
        <w:jc w:val="center"/>
        <w:rPr>
          <w:rFonts w:ascii="Book Antiqua" w:hAnsi="Book Antiqua"/>
          <w:b/>
          <w:sz w:val="36"/>
          <w:lang w:val="es-ES_tradnl"/>
        </w:rPr>
      </w:pPr>
      <w:r w:rsidRPr="004F6F8E">
        <w:rPr>
          <w:rFonts w:ascii="Book Antiqua" w:hAnsi="Book Antiqua"/>
          <w:b/>
          <w:sz w:val="36"/>
          <w:lang w:val="es-ES_tradnl"/>
        </w:rPr>
        <w:t>CÁMARA DE REPRESENTANTES</w:t>
      </w:r>
    </w:p>
    <w:p w14:paraId="67ED438E" w14:textId="77777777" w:rsidR="009476BB" w:rsidRPr="009476BB" w:rsidRDefault="009476BB" w:rsidP="009476BB">
      <w:pPr>
        <w:jc w:val="center"/>
        <w:rPr>
          <w:rFonts w:ascii="Book Antiqua" w:hAnsi="Book Antiqua"/>
          <w:b/>
          <w:szCs w:val="24"/>
          <w:lang w:val="es-ES_tradnl"/>
        </w:rPr>
      </w:pPr>
    </w:p>
    <w:p w14:paraId="279BFDBC" w14:textId="5F7D6089" w:rsidR="00F13533" w:rsidRPr="004F6F8E" w:rsidRDefault="00F13533" w:rsidP="009476BB">
      <w:pPr>
        <w:jc w:val="center"/>
        <w:rPr>
          <w:rFonts w:ascii="Book Antiqua" w:hAnsi="Book Antiqua"/>
          <w:b/>
          <w:sz w:val="52"/>
          <w:lang w:val="es-ES_tradnl"/>
        </w:rPr>
      </w:pPr>
      <w:r w:rsidRPr="004F6F8E">
        <w:rPr>
          <w:rFonts w:ascii="Book Antiqua" w:hAnsi="Book Antiqua"/>
          <w:b/>
          <w:sz w:val="52"/>
          <w:lang w:val="es-ES_tradnl"/>
        </w:rPr>
        <w:t xml:space="preserve">P. de la C. </w:t>
      </w:r>
      <w:r w:rsidR="00B81508">
        <w:rPr>
          <w:rFonts w:ascii="Book Antiqua" w:hAnsi="Book Antiqua"/>
          <w:b/>
          <w:sz w:val="52"/>
          <w:lang w:val="es-ES_tradnl"/>
        </w:rPr>
        <w:t>747</w:t>
      </w:r>
    </w:p>
    <w:p w14:paraId="71A1E24B" w14:textId="77777777" w:rsidR="009476BB" w:rsidRDefault="009476BB" w:rsidP="009476BB">
      <w:pPr>
        <w:jc w:val="center"/>
        <w:rPr>
          <w:rFonts w:ascii="Book Antiqua" w:hAnsi="Book Antiqua"/>
          <w:lang w:val="es-ES_tradnl"/>
        </w:rPr>
      </w:pPr>
    </w:p>
    <w:p w14:paraId="2661CC12" w14:textId="43F03805" w:rsidR="00F13533" w:rsidRPr="00C156DF" w:rsidRDefault="00C27293" w:rsidP="009476BB">
      <w:pPr>
        <w:jc w:val="center"/>
        <w:rPr>
          <w:rFonts w:ascii="Book Antiqua" w:hAnsi="Book Antiqua"/>
          <w:lang w:val="es-ES_tradnl"/>
        </w:rPr>
      </w:pPr>
      <w:r w:rsidRPr="00C156DF">
        <w:rPr>
          <w:rFonts w:ascii="Book Antiqua" w:hAnsi="Book Antiqua"/>
          <w:lang w:val="es-ES_tradnl"/>
        </w:rPr>
        <w:t>4</w:t>
      </w:r>
      <w:r w:rsidR="00F13533" w:rsidRPr="00C156DF">
        <w:rPr>
          <w:rFonts w:ascii="Book Antiqua" w:hAnsi="Book Antiqua"/>
          <w:lang w:val="es-ES_tradnl"/>
        </w:rPr>
        <w:t xml:space="preserve"> DE </w:t>
      </w:r>
      <w:r w:rsidRPr="00C156DF">
        <w:rPr>
          <w:rFonts w:ascii="Book Antiqua" w:hAnsi="Book Antiqua"/>
          <w:lang w:val="es-ES_tradnl"/>
        </w:rPr>
        <w:t>AGOST</w:t>
      </w:r>
      <w:r w:rsidR="0097693A" w:rsidRPr="00C156DF">
        <w:rPr>
          <w:rFonts w:ascii="Book Antiqua" w:hAnsi="Book Antiqua"/>
          <w:lang w:val="es-ES_tradnl"/>
        </w:rPr>
        <w:t>O</w:t>
      </w:r>
      <w:r w:rsidR="00F13533" w:rsidRPr="00C156DF">
        <w:rPr>
          <w:rFonts w:ascii="Book Antiqua" w:hAnsi="Book Antiqua"/>
          <w:lang w:val="es-ES_tradnl"/>
        </w:rPr>
        <w:t xml:space="preserve"> DE 202</w:t>
      </w:r>
      <w:r w:rsidR="004548EA" w:rsidRPr="00C156DF">
        <w:rPr>
          <w:rFonts w:ascii="Book Antiqua" w:hAnsi="Book Antiqua"/>
          <w:lang w:val="es-ES_tradnl"/>
        </w:rPr>
        <w:t>5</w:t>
      </w:r>
    </w:p>
    <w:p w14:paraId="4B24F380" w14:textId="77777777" w:rsidR="00C156DF" w:rsidRDefault="00C156DF" w:rsidP="009476BB">
      <w:pPr>
        <w:jc w:val="center"/>
        <w:rPr>
          <w:rFonts w:ascii="Book Antiqua" w:hAnsi="Book Antiqua"/>
          <w:lang w:val="es-ES_tradnl"/>
        </w:rPr>
      </w:pPr>
    </w:p>
    <w:p w14:paraId="4B0BD1A4" w14:textId="38893622" w:rsidR="00C156DF" w:rsidRDefault="00F13533" w:rsidP="009476BB">
      <w:pPr>
        <w:jc w:val="center"/>
        <w:rPr>
          <w:rFonts w:ascii="Book Antiqua" w:hAnsi="Book Antiqua"/>
          <w:i/>
          <w:iCs/>
          <w:lang w:val="es-ES_tradnl"/>
        </w:rPr>
      </w:pPr>
      <w:r w:rsidRPr="00C156DF">
        <w:rPr>
          <w:rFonts w:ascii="Book Antiqua" w:hAnsi="Book Antiqua"/>
          <w:lang w:val="es-ES_tradnl"/>
        </w:rPr>
        <w:t xml:space="preserve">Presentado por </w:t>
      </w:r>
      <w:r w:rsidR="00C156DF" w:rsidRPr="00C156DF">
        <w:rPr>
          <w:rFonts w:ascii="Book Antiqua" w:hAnsi="Book Antiqua"/>
          <w:lang w:val="es-ES_tradnl"/>
        </w:rPr>
        <w:t>el</w:t>
      </w:r>
      <w:r w:rsidRPr="00C156DF">
        <w:rPr>
          <w:rFonts w:ascii="Book Antiqua" w:hAnsi="Book Antiqua"/>
          <w:lang w:val="es-ES_tradnl"/>
        </w:rPr>
        <w:t xml:space="preserve"> representante </w:t>
      </w:r>
      <w:r w:rsidR="00DE7377" w:rsidRPr="00C156DF">
        <w:rPr>
          <w:rFonts w:ascii="Book Antiqua" w:hAnsi="Book Antiqua"/>
          <w:i/>
          <w:iCs/>
          <w:lang w:val="es-ES_tradnl"/>
        </w:rPr>
        <w:t>M</w:t>
      </w:r>
      <w:r w:rsidR="00034585" w:rsidRPr="00C156DF">
        <w:rPr>
          <w:rFonts w:ascii="Book Antiqua" w:hAnsi="Book Antiqua"/>
          <w:i/>
          <w:iCs/>
          <w:lang w:val="es-ES_tradnl"/>
        </w:rPr>
        <w:t xml:space="preserve">árquez Lebrón </w:t>
      </w:r>
    </w:p>
    <w:p w14:paraId="10DE9FEA" w14:textId="7DE01CD5" w:rsidR="00F13533" w:rsidRPr="00C156DF" w:rsidRDefault="00C156DF" w:rsidP="009476BB">
      <w:pPr>
        <w:jc w:val="center"/>
        <w:rPr>
          <w:rFonts w:ascii="Book Antiqua" w:hAnsi="Book Antiqua"/>
          <w:i/>
          <w:iCs/>
          <w:lang w:val="es-ES_tradnl"/>
        </w:rPr>
      </w:pPr>
      <w:r>
        <w:rPr>
          <w:rFonts w:ascii="Book Antiqua" w:hAnsi="Book Antiqua"/>
          <w:lang w:val="es-ES_tradnl"/>
        </w:rPr>
        <w:t>y</w:t>
      </w:r>
      <w:r w:rsidRPr="00C156DF">
        <w:rPr>
          <w:rFonts w:ascii="Book Antiqua" w:hAnsi="Book Antiqua"/>
          <w:lang w:val="es-ES_tradnl"/>
        </w:rPr>
        <w:t xml:space="preserve"> las representantes</w:t>
      </w:r>
      <w:r>
        <w:rPr>
          <w:rFonts w:ascii="Book Antiqua" w:hAnsi="Book Antiqua"/>
          <w:i/>
          <w:iCs/>
          <w:lang w:val="es-ES_tradnl"/>
        </w:rPr>
        <w:t xml:space="preserve"> </w:t>
      </w:r>
      <w:r w:rsidR="00034585" w:rsidRPr="00C156DF">
        <w:rPr>
          <w:rFonts w:ascii="Book Antiqua" w:hAnsi="Book Antiqua"/>
          <w:i/>
          <w:iCs/>
          <w:lang w:val="es-ES_tradnl"/>
        </w:rPr>
        <w:t>Gutiérrez Col</w:t>
      </w:r>
      <w:r w:rsidR="006C214B" w:rsidRPr="00C156DF">
        <w:rPr>
          <w:rFonts w:ascii="Book Antiqua" w:hAnsi="Book Antiqua"/>
          <w:i/>
          <w:iCs/>
          <w:lang w:val="es-ES_tradnl"/>
        </w:rPr>
        <w:t>ó</w:t>
      </w:r>
      <w:r w:rsidR="00034585" w:rsidRPr="00C156DF">
        <w:rPr>
          <w:rFonts w:ascii="Book Antiqua" w:hAnsi="Book Antiqua"/>
          <w:i/>
          <w:iCs/>
          <w:lang w:val="es-ES_tradnl"/>
        </w:rPr>
        <w:t xml:space="preserve">n </w:t>
      </w:r>
      <w:r w:rsidR="00034585" w:rsidRPr="00C156DF">
        <w:rPr>
          <w:rFonts w:ascii="Book Antiqua" w:hAnsi="Book Antiqua"/>
          <w:lang w:val="es-ES_tradnl"/>
        </w:rPr>
        <w:t>y</w:t>
      </w:r>
      <w:r w:rsidR="00034585" w:rsidRPr="00C156DF">
        <w:rPr>
          <w:rFonts w:ascii="Book Antiqua" w:hAnsi="Book Antiqua"/>
          <w:i/>
          <w:iCs/>
          <w:lang w:val="es-ES_tradnl"/>
        </w:rPr>
        <w:t xml:space="preserve"> Lebrón Robles</w:t>
      </w:r>
    </w:p>
    <w:p w14:paraId="19359B08" w14:textId="77777777" w:rsidR="00C156DF" w:rsidRDefault="00C156DF" w:rsidP="009476BB">
      <w:pPr>
        <w:jc w:val="center"/>
        <w:rPr>
          <w:rFonts w:ascii="Book Antiqua" w:hAnsi="Book Antiqua"/>
          <w:lang w:val="es-ES_tradnl"/>
        </w:rPr>
      </w:pPr>
    </w:p>
    <w:p w14:paraId="47A99186" w14:textId="5F6AFAFA" w:rsidR="00F13533" w:rsidRPr="00C156DF" w:rsidRDefault="00F13533" w:rsidP="009476BB">
      <w:pPr>
        <w:jc w:val="center"/>
        <w:rPr>
          <w:rFonts w:ascii="Book Antiqua" w:hAnsi="Book Antiqua"/>
          <w:lang w:val="es-ES_tradnl"/>
        </w:rPr>
      </w:pPr>
      <w:r w:rsidRPr="00C156DF">
        <w:rPr>
          <w:rFonts w:ascii="Book Antiqua" w:hAnsi="Book Antiqua"/>
          <w:lang w:val="es-ES_tradnl"/>
        </w:rPr>
        <w:t xml:space="preserve">Referido a </w:t>
      </w:r>
      <w:r w:rsidR="00C156DF">
        <w:rPr>
          <w:rFonts w:ascii="Book Antiqua" w:hAnsi="Book Antiqua"/>
          <w:lang w:val="es-ES_tradnl"/>
        </w:rPr>
        <w:t>la Comisión de</w:t>
      </w:r>
      <w:r w:rsidR="009476BB">
        <w:rPr>
          <w:rFonts w:ascii="Book Antiqua" w:hAnsi="Book Antiqua"/>
          <w:lang w:val="es-ES_tradnl"/>
        </w:rPr>
        <w:t>l Trabajo y Asuntos Laborales</w:t>
      </w:r>
    </w:p>
    <w:p w14:paraId="4F40A063" w14:textId="77777777" w:rsidR="00F13533" w:rsidRPr="00C156DF" w:rsidRDefault="00F13533" w:rsidP="00C156DF">
      <w:pPr>
        <w:jc w:val="both"/>
        <w:rPr>
          <w:rFonts w:ascii="Book Antiqua" w:hAnsi="Book Antiqua"/>
          <w:lang w:val="es-ES_tradnl"/>
        </w:rPr>
      </w:pPr>
    </w:p>
    <w:p w14:paraId="7D55E694" w14:textId="77777777" w:rsidR="00F13533" w:rsidRPr="009476BB" w:rsidRDefault="00F13533" w:rsidP="00C156DF">
      <w:pPr>
        <w:jc w:val="center"/>
        <w:rPr>
          <w:rFonts w:ascii="Book Antiqua" w:hAnsi="Book Antiqua"/>
          <w:b/>
          <w:sz w:val="28"/>
          <w:szCs w:val="28"/>
          <w:lang w:val="es-ES_tradnl"/>
        </w:rPr>
      </w:pPr>
      <w:r w:rsidRPr="009476BB">
        <w:rPr>
          <w:rFonts w:ascii="Book Antiqua" w:hAnsi="Book Antiqua"/>
          <w:b/>
          <w:sz w:val="28"/>
          <w:szCs w:val="28"/>
          <w:lang w:val="es-ES_tradnl"/>
        </w:rPr>
        <w:t>LEY</w:t>
      </w:r>
    </w:p>
    <w:p w14:paraId="637BBC31" w14:textId="77777777" w:rsidR="00F13533" w:rsidRPr="00C156DF" w:rsidRDefault="00F13533" w:rsidP="00C156DF">
      <w:pPr>
        <w:jc w:val="both"/>
        <w:rPr>
          <w:rFonts w:ascii="Book Antiqua" w:hAnsi="Book Antiqua"/>
          <w:lang w:val="es-ES_tradnl"/>
        </w:rPr>
      </w:pPr>
    </w:p>
    <w:p w14:paraId="1CEF8A88" w14:textId="129A13A8" w:rsidR="00F13533" w:rsidRDefault="00782D50" w:rsidP="009476BB">
      <w:pPr>
        <w:ind w:left="720" w:hanging="720"/>
        <w:jc w:val="both"/>
        <w:rPr>
          <w:rFonts w:ascii="Book Antiqua" w:hAnsi="Book Antiqua"/>
          <w:lang w:val="es-ES_tradnl"/>
        </w:rPr>
      </w:pPr>
      <w:r w:rsidRPr="00C156DF">
        <w:rPr>
          <w:rFonts w:ascii="Book Antiqua" w:hAnsi="Book Antiqua"/>
          <w:lang w:val="es-ES_tradnl"/>
        </w:rPr>
        <w:t xml:space="preserve">Para </w:t>
      </w:r>
      <w:r w:rsidR="00F70D3E" w:rsidRPr="00C156DF">
        <w:rPr>
          <w:rFonts w:ascii="Book Antiqua" w:hAnsi="Book Antiqua"/>
          <w:lang w:val="es-ES_tradnl"/>
        </w:rPr>
        <w:t>prohibir que los patronos impongan cláusulas de arbitraje que interfieran con el derecho de los empleados a tramitar sus reclamaciones laborales de acuerdo con las disposiciones de la Ley Núm. 2 de 17 de octubre de 1961, según enmendada; y para otros fines relacionados.</w:t>
      </w:r>
    </w:p>
    <w:p w14:paraId="247D5F91" w14:textId="77777777" w:rsidR="009476BB" w:rsidRPr="00C156DF" w:rsidRDefault="009476BB" w:rsidP="009476BB">
      <w:pPr>
        <w:ind w:left="720" w:hanging="720"/>
        <w:jc w:val="both"/>
        <w:rPr>
          <w:rFonts w:ascii="Book Antiqua" w:hAnsi="Book Antiqua"/>
          <w:lang w:val="es-ES"/>
        </w:rPr>
      </w:pPr>
    </w:p>
    <w:p w14:paraId="2CA23802" w14:textId="016515A5" w:rsidR="00F13533" w:rsidRDefault="00F13533" w:rsidP="00C156DF">
      <w:pPr>
        <w:ind w:firstLine="360"/>
        <w:jc w:val="center"/>
        <w:rPr>
          <w:rFonts w:ascii="Book Antiqua" w:hAnsi="Book Antiqua"/>
          <w:lang w:val="es-ES_tradnl"/>
        </w:rPr>
      </w:pPr>
      <w:r w:rsidRPr="00C156DF">
        <w:rPr>
          <w:rFonts w:ascii="Book Antiqua" w:hAnsi="Book Antiqua"/>
          <w:lang w:val="es-ES_tradnl"/>
        </w:rPr>
        <w:t>EXPOSICIÓN DE MOTIVOS</w:t>
      </w:r>
    </w:p>
    <w:p w14:paraId="2DA886BB" w14:textId="77777777" w:rsidR="009476BB" w:rsidRPr="00C156DF" w:rsidRDefault="009476BB" w:rsidP="00C156DF">
      <w:pPr>
        <w:ind w:firstLine="360"/>
        <w:jc w:val="center"/>
        <w:rPr>
          <w:rFonts w:ascii="Book Antiqua" w:hAnsi="Book Antiqua"/>
          <w:lang w:val="es-ES_tradnl"/>
        </w:rPr>
      </w:pPr>
    </w:p>
    <w:p w14:paraId="3CCA0D2C" w14:textId="0B3D9987" w:rsidR="00F70D3E" w:rsidRPr="00C156DF" w:rsidRDefault="00F70D3E" w:rsidP="00C156DF">
      <w:pPr>
        <w:ind w:firstLine="720"/>
        <w:jc w:val="both"/>
        <w:rPr>
          <w:rFonts w:ascii="Book Antiqua" w:hAnsi="Book Antiqua"/>
          <w:szCs w:val="24"/>
          <w:lang w:val="es-PR"/>
        </w:rPr>
      </w:pPr>
      <w:r w:rsidRPr="00C156DF">
        <w:rPr>
          <w:rFonts w:ascii="Book Antiqua" w:hAnsi="Book Antiqua"/>
          <w:szCs w:val="24"/>
          <w:lang w:val="es-PR"/>
        </w:rPr>
        <w:t xml:space="preserve">La Ley Núm. 2 </w:t>
      </w:r>
      <w:r w:rsidRPr="00C156DF">
        <w:rPr>
          <w:rFonts w:ascii="Book Antiqua" w:eastAsia="Calibri" w:hAnsi="Book Antiqua" w:cs="Arial"/>
          <w:szCs w:val="24"/>
          <w:lang w:val="es-PR"/>
        </w:rPr>
        <w:t xml:space="preserve">de 17 de octubre de 1961, </w:t>
      </w:r>
      <w:r w:rsidR="00276BD5" w:rsidRPr="00C156DF">
        <w:rPr>
          <w:rFonts w:ascii="Book Antiqua" w:hAnsi="Book Antiqua"/>
          <w:lang w:val="es-ES_tradnl"/>
        </w:rPr>
        <w:t>según enmendada,</w:t>
      </w:r>
      <w:r w:rsidRPr="00C156DF">
        <w:rPr>
          <w:rFonts w:ascii="Book Antiqua" w:hAnsi="Book Antiqua"/>
          <w:szCs w:val="24"/>
          <w:lang w:val="es-PR"/>
        </w:rPr>
        <w:t xml:space="preserve"> establece un procedimiento sumario para los casos de reclamaciones de obreros y empleados contra sus patronos</w:t>
      </w:r>
      <w:r w:rsidRPr="00C156DF">
        <w:rPr>
          <w:rFonts w:ascii="Book Antiqua" w:hAnsi="Book Antiqua"/>
          <w:lang w:val="es-PR"/>
        </w:rPr>
        <w:t xml:space="preserve"> por servicios prestados</w:t>
      </w:r>
      <w:r w:rsidRPr="00C156DF">
        <w:rPr>
          <w:rFonts w:ascii="Book Antiqua" w:hAnsi="Book Antiqua"/>
          <w:szCs w:val="24"/>
          <w:lang w:val="es-PR"/>
        </w:rPr>
        <w:t xml:space="preserve">. Esta legislación garantiza mayor protección a los derechos laborales de los trabajadores. Dicho propósito responde al reconocimiento de que los patronos se encuentran en una posición de ventaja frente a los empleados por su ventaja económica al establecer las condiciones y relaciones laborales. </w:t>
      </w:r>
    </w:p>
    <w:p w14:paraId="2E683624" w14:textId="77777777" w:rsidR="00F70D3E" w:rsidRPr="00C156DF" w:rsidRDefault="00F70D3E" w:rsidP="00C156DF">
      <w:pPr>
        <w:ind w:firstLine="720"/>
        <w:jc w:val="both"/>
        <w:rPr>
          <w:rFonts w:ascii="Book Antiqua" w:hAnsi="Book Antiqua"/>
          <w:szCs w:val="24"/>
          <w:lang w:val="es-PR"/>
        </w:rPr>
      </w:pPr>
    </w:p>
    <w:p w14:paraId="6EF1D5CC" w14:textId="77777777" w:rsidR="00F70D3E" w:rsidRPr="00C156DF" w:rsidRDefault="00F70D3E" w:rsidP="00C156DF">
      <w:pPr>
        <w:ind w:firstLine="720"/>
        <w:jc w:val="both"/>
        <w:rPr>
          <w:rFonts w:ascii="Book Antiqua" w:hAnsi="Book Antiqua"/>
          <w:szCs w:val="24"/>
          <w:lang w:val="es-PR"/>
        </w:rPr>
      </w:pPr>
      <w:r w:rsidRPr="00C156DF">
        <w:rPr>
          <w:rFonts w:ascii="Book Antiqua" w:hAnsi="Book Antiqua"/>
          <w:szCs w:val="24"/>
          <w:lang w:val="es-PR"/>
        </w:rPr>
        <w:t xml:space="preserve">Además de establecer un procedimiento sumario que permite que los trabajadores tengan acceso a los tribunales para vindicar sus derechos, la Sección 3 de la Ley Núm. 2, </w:t>
      </w:r>
      <w:r w:rsidRPr="00C156DF">
        <w:rPr>
          <w:rFonts w:ascii="Book Antiqua" w:hAnsi="Book Antiqua"/>
          <w:i/>
          <w:iCs/>
          <w:szCs w:val="24"/>
          <w:lang w:val="es-PR"/>
        </w:rPr>
        <w:t>supra,</w:t>
      </w:r>
      <w:r w:rsidRPr="00C156DF">
        <w:rPr>
          <w:rFonts w:ascii="Book Antiqua" w:hAnsi="Book Antiqua"/>
          <w:szCs w:val="24"/>
          <w:lang w:val="es-PR"/>
        </w:rPr>
        <w:t xml:space="preserve"> impone al patrono querellado la obligación de incluir todas sus defensas y objeciones en su primera alegación responsiva o de lo contrario renunciará a aquellas que no incluya en dicha alegación responsiva. Por otro lado, la Sección 15 de la Ley establece que las costas que se devengaren en esta clase de juicios serán satisfechas de oficio y que cuando se dicte sentencia a favor del trabajador o trabajadora querellante que haya comparecido representado por abogado se condene al patrono querellado al pago de honorarios de abogado. Como menciona </w:t>
      </w:r>
      <w:r w:rsidRPr="00C156DF">
        <w:rPr>
          <w:rFonts w:ascii="Book Antiqua" w:hAnsi="Book Antiqua"/>
          <w:szCs w:val="24"/>
          <w:lang w:val="es-ES"/>
        </w:rPr>
        <w:t xml:space="preserve">el Juez Asociado Estrella Martínez en su opinión </w:t>
      </w:r>
      <w:r w:rsidRPr="00C156DF">
        <w:rPr>
          <w:rFonts w:ascii="Book Antiqua" w:hAnsi="Book Antiqua"/>
          <w:szCs w:val="24"/>
          <w:lang w:val="es-ES"/>
        </w:rPr>
        <w:lastRenderedPageBreak/>
        <w:t xml:space="preserve">disidente en el caso </w:t>
      </w:r>
      <w:r w:rsidRPr="00C156DF">
        <w:rPr>
          <w:rFonts w:ascii="Book Antiqua" w:hAnsi="Book Antiqua"/>
          <w:iCs/>
          <w:szCs w:val="24"/>
          <w:u w:val="single"/>
          <w:lang w:val="es-ES"/>
        </w:rPr>
        <w:t xml:space="preserve">Aponte Valentín y Otros v. Pfizer </w:t>
      </w:r>
      <w:proofErr w:type="spellStart"/>
      <w:r w:rsidRPr="00C156DF">
        <w:rPr>
          <w:rFonts w:ascii="Book Antiqua" w:hAnsi="Book Antiqua"/>
          <w:iCs/>
          <w:szCs w:val="24"/>
          <w:u w:val="single"/>
          <w:lang w:val="es-ES"/>
        </w:rPr>
        <w:t>Pharmaceuticals</w:t>
      </w:r>
      <w:proofErr w:type="spellEnd"/>
      <w:r w:rsidRPr="00C156DF">
        <w:rPr>
          <w:rFonts w:ascii="Book Antiqua" w:hAnsi="Book Antiqua"/>
          <w:iCs/>
          <w:szCs w:val="24"/>
          <w:u w:val="single"/>
          <w:lang w:val="es-ES"/>
        </w:rPr>
        <w:t xml:space="preserve">, LLC, </w:t>
      </w:r>
      <w:r w:rsidRPr="00C156DF">
        <w:rPr>
          <w:rFonts w:ascii="Book Antiqua" w:eastAsia="Calibri" w:hAnsi="Book Antiqua"/>
          <w:iCs/>
          <w:szCs w:val="24"/>
          <w:u w:val="single"/>
          <w:lang w:val="es-PR"/>
        </w:rPr>
        <w:t xml:space="preserve">2021 T.S.P.R. 148 (2021), </w:t>
      </w:r>
      <w:r w:rsidRPr="00C156DF">
        <w:rPr>
          <w:rFonts w:ascii="Book Antiqua" w:eastAsia="Calibri" w:hAnsi="Book Antiqua"/>
          <w:iCs/>
          <w:szCs w:val="24"/>
          <w:lang w:val="es-PR"/>
        </w:rPr>
        <w:t xml:space="preserve">estos estatutos persiguen </w:t>
      </w:r>
      <w:r w:rsidRPr="00C156DF">
        <w:rPr>
          <w:rFonts w:ascii="Book Antiqua" w:hAnsi="Book Antiqua"/>
          <w:szCs w:val="24"/>
          <w:lang w:val="es-PR"/>
        </w:rPr>
        <w:t>preservar la política pública del Estado de facilitar que los empleados insten reclamaciones laborales en contra de sus patronos.</w:t>
      </w:r>
    </w:p>
    <w:p w14:paraId="4EA3E154" w14:textId="77777777" w:rsidR="00F70D3E" w:rsidRPr="00C156DF" w:rsidRDefault="00F70D3E" w:rsidP="00C156DF">
      <w:pPr>
        <w:ind w:firstLine="720"/>
        <w:jc w:val="both"/>
        <w:rPr>
          <w:rFonts w:ascii="Book Antiqua" w:hAnsi="Book Antiqua"/>
          <w:szCs w:val="24"/>
          <w:lang w:val="es-PR"/>
        </w:rPr>
      </w:pPr>
    </w:p>
    <w:p w14:paraId="000834DA" w14:textId="77777777" w:rsidR="00F70D3E" w:rsidRPr="00C156DF" w:rsidRDefault="00F70D3E" w:rsidP="00C156DF">
      <w:pPr>
        <w:ind w:firstLine="720"/>
        <w:jc w:val="both"/>
        <w:rPr>
          <w:rFonts w:ascii="Book Antiqua" w:hAnsi="Book Antiqua"/>
          <w:szCs w:val="24"/>
          <w:lang w:val="es-PR"/>
        </w:rPr>
      </w:pPr>
      <w:r w:rsidRPr="00C156DF">
        <w:rPr>
          <w:rFonts w:ascii="Book Antiqua" w:hAnsi="Book Antiqua"/>
          <w:iCs/>
          <w:szCs w:val="24"/>
          <w:lang w:val="es-PR"/>
        </w:rPr>
        <w:t xml:space="preserve">No obstante, en </w:t>
      </w:r>
      <w:r w:rsidRPr="00C156DF">
        <w:rPr>
          <w:rFonts w:ascii="Book Antiqua" w:hAnsi="Book Antiqua"/>
          <w:iCs/>
          <w:szCs w:val="24"/>
          <w:u w:val="single"/>
          <w:lang w:val="es-ES"/>
        </w:rPr>
        <w:t xml:space="preserve">Aponte Valentín y Otros v. Pfizer </w:t>
      </w:r>
      <w:proofErr w:type="spellStart"/>
      <w:r w:rsidRPr="00C156DF">
        <w:rPr>
          <w:rFonts w:ascii="Book Antiqua" w:hAnsi="Book Antiqua"/>
          <w:iCs/>
          <w:szCs w:val="24"/>
          <w:u w:val="single"/>
          <w:lang w:val="es-ES"/>
        </w:rPr>
        <w:t>Pharmaceuticals</w:t>
      </w:r>
      <w:proofErr w:type="spellEnd"/>
      <w:r w:rsidRPr="00C156DF">
        <w:rPr>
          <w:rFonts w:ascii="Book Antiqua" w:hAnsi="Book Antiqua"/>
          <w:iCs/>
          <w:szCs w:val="24"/>
          <w:u w:val="single"/>
          <w:lang w:val="es-ES"/>
        </w:rPr>
        <w:t xml:space="preserve">, LLC, </w:t>
      </w:r>
      <w:r w:rsidRPr="00C156DF">
        <w:rPr>
          <w:rFonts w:ascii="Book Antiqua" w:hAnsi="Book Antiqua"/>
          <w:i/>
          <w:szCs w:val="24"/>
          <w:u w:val="single"/>
          <w:lang w:val="es-PR"/>
        </w:rPr>
        <w:t>supra</w:t>
      </w:r>
      <w:r w:rsidRPr="00C156DF">
        <w:rPr>
          <w:rFonts w:ascii="Book Antiqua" w:hAnsi="Book Antiqua"/>
          <w:iCs/>
          <w:szCs w:val="24"/>
          <w:u w:val="single"/>
          <w:lang w:val="es-PR"/>
        </w:rPr>
        <w:t xml:space="preserve">, </w:t>
      </w:r>
      <w:r w:rsidRPr="00C156DF">
        <w:rPr>
          <w:rFonts w:ascii="Book Antiqua" w:hAnsi="Book Antiqua"/>
          <w:iCs/>
          <w:szCs w:val="24"/>
          <w:lang w:val="es-PR"/>
        </w:rPr>
        <w:t xml:space="preserve">el Tribunal Supremo de Puerto Rico subordina la política pública del Gobierno de Puerto Rico de defender los derechos de la clase trabajadora a la política pública a favor del arbitraje como método alterno para la solución de disputas. Contrario a los resuelto por la mayoría del Tribunal Supremo, esta Asamblea Legislativa entiende que las protecciones laborales que nuestro ordenamiento ofrece a los trabajadores no se pueden supeditar a procedimientos de arbitraje. Por lo tanto, es necesario prohibir la práctica mediante la cual </w:t>
      </w:r>
      <w:r w:rsidRPr="00C156DF">
        <w:rPr>
          <w:rFonts w:ascii="Book Antiqua" w:hAnsi="Book Antiqua"/>
          <w:szCs w:val="24"/>
          <w:lang w:val="es-PR"/>
        </w:rPr>
        <w:t>los patronos imponen cláusulas de arbitraje de manera unilateral con condiciones onerosas que limitan el acceso a remedios laborales que nuestra legislación laboral provee.</w:t>
      </w:r>
    </w:p>
    <w:p w14:paraId="55E040CC" w14:textId="77777777" w:rsidR="00F70D3E" w:rsidRPr="00C156DF" w:rsidRDefault="00F70D3E" w:rsidP="00C156DF">
      <w:pPr>
        <w:ind w:firstLine="720"/>
        <w:jc w:val="both"/>
        <w:rPr>
          <w:rFonts w:ascii="Book Antiqua" w:hAnsi="Book Antiqua"/>
          <w:szCs w:val="24"/>
          <w:lang w:val="es-PR"/>
        </w:rPr>
      </w:pPr>
    </w:p>
    <w:p w14:paraId="2995984B" w14:textId="4028DF25" w:rsidR="00F70D3E" w:rsidRDefault="00F70D3E" w:rsidP="00C156DF">
      <w:pPr>
        <w:ind w:firstLine="720"/>
        <w:jc w:val="both"/>
        <w:rPr>
          <w:rFonts w:ascii="Book Antiqua" w:hAnsi="Book Antiqua"/>
          <w:szCs w:val="24"/>
          <w:lang w:val="es-PR"/>
        </w:rPr>
      </w:pPr>
      <w:r w:rsidRPr="00C156DF">
        <w:rPr>
          <w:rFonts w:ascii="Book Antiqua" w:hAnsi="Book Antiqua"/>
          <w:szCs w:val="24"/>
          <w:lang w:val="es-PR"/>
        </w:rPr>
        <w:t xml:space="preserve">A pesar de que nuestro Tribunal Supremo ha determinado que </w:t>
      </w:r>
      <w:r w:rsidRPr="00C156DF">
        <w:rPr>
          <w:rFonts w:ascii="Book Antiqua" w:hAnsi="Book Antiqua"/>
          <w:szCs w:val="24"/>
          <w:lang w:val="es-ES_tradnl"/>
        </w:rPr>
        <w:t xml:space="preserve">las cláusulas de arbitraje son válidas, estas son inaplicables cuando la implantación de la cláusula derrotaría la política pública del Estado. </w:t>
      </w:r>
      <w:proofErr w:type="spellStart"/>
      <w:r w:rsidRPr="00C156DF">
        <w:rPr>
          <w:rFonts w:ascii="Book Antiqua" w:hAnsi="Book Antiqua"/>
          <w:szCs w:val="24"/>
          <w:u w:val="single"/>
          <w:lang w:val="es-ES_tradnl"/>
        </w:rPr>
        <w:t>Unisys</w:t>
      </w:r>
      <w:proofErr w:type="spellEnd"/>
      <w:r w:rsidRPr="00C156DF">
        <w:rPr>
          <w:rFonts w:ascii="Book Antiqua" w:hAnsi="Book Antiqua"/>
          <w:szCs w:val="24"/>
          <w:u w:val="single"/>
          <w:lang w:val="es-ES_tradnl"/>
        </w:rPr>
        <w:t xml:space="preserve"> vs. Ramallo</w:t>
      </w:r>
      <w:r w:rsidRPr="00C156DF">
        <w:rPr>
          <w:rFonts w:ascii="Book Antiqua" w:hAnsi="Book Antiqua"/>
          <w:szCs w:val="24"/>
          <w:lang w:val="es-ES_tradnl"/>
        </w:rPr>
        <w:t xml:space="preserve">, </w:t>
      </w:r>
      <w:r w:rsidRPr="00C156DF">
        <w:rPr>
          <w:rFonts w:ascii="Book Antiqua" w:hAnsi="Book Antiqua"/>
          <w:szCs w:val="24"/>
          <w:u w:val="single"/>
          <w:lang w:val="es-ES_tradnl"/>
        </w:rPr>
        <w:t xml:space="preserve">128 DPR 842 (1991) y </w:t>
      </w:r>
      <w:proofErr w:type="spellStart"/>
      <w:r w:rsidRPr="00C156DF">
        <w:rPr>
          <w:rFonts w:ascii="Book Antiqua" w:hAnsi="Book Antiqua"/>
          <w:szCs w:val="24"/>
          <w:u w:val="single"/>
          <w:lang w:val="es-ES_tradnl"/>
        </w:rPr>
        <w:t>Bobé</w:t>
      </w:r>
      <w:proofErr w:type="spellEnd"/>
      <w:r w:rsidRPr="00C156DF">
        <w:rPr>
          <w:rFonts w:ascii="Book Antiqua" w:hAnsi="Book Antiqua"/>
          <w:szCs w:val="24"/>
          <w:u w:val="single"/>
          <w:lang w:val="es-ES_tradnl"/>
        </w:rPr>
        <w:t xml:space="preserve"> vs. UBS Fin. </w:t>
      </w:r>
      <w:proofErr w:type="spellStart"/>
      <w:r w:rsidRPr="00C156DF">
        <w:rPr>
          <w:rFonts w:ascii="Book Antiqua" w:hAnsi="Book Antiqua"/>
          <w:szCs w:val="24"/>
          <w:u w:val="single"/>
          <w:lang w:val="es-ES_tradnl"/>
        </w:rPr>
        <w:t>Services</w:t>
      </w:r>
      <w:proofErr w:type="spellEnd"/>
      <w:r w:rsidRPr="00C156DF">
        <w:rPr>
          <w:rFonts w:ascii="Book Antiqua" w:hAnsi="Book Antiqua"/>
          <w:szCs w:val="24"/>
          <w:u w:val="single"/>
          <w:lang w:val="es-ES_tradnl"/>
        </w:rPr>
        <w:t>, 198 DPR 6 (2017).</w:t>
      </w:r>
      <w:r w:rsidRPr="00C156DF">
        <w:rPr>
          <w:rFonts w:ascii="Book Antiqua" w:hAnsi="Book Antiqua"/>
          <w:szCs w:val="24"/>
          <w:lang w:val="es-ES_tradnl"/>
        </w:rPr>
        <w:t xml:space="preserve"> Por otro lado, nuestro Derecho Civil permite que </w:t>
      </w:r>
      <w:r w:rsidRPr="00C156DF">
        <w:rPr>
          <w:rFonts w:ascii="Book Antiqua" w:hAnsi="Book Antiqua"/>
          <w:szCs w:val="24"/>
          <w:lang w:val="es-PR"/>
        </w:rPr>
        <w:t>las partes contratantes establezcan cualquier cláusula que no sea contraria a la ley, a la moral ni al orden público. No obstante, como establece la opinión disidente del Juez Asociado Estrella Martínez en</w:t>
      </w:r>
      <w:r w:rsidRPr="00C156DF">
        <w:rPr>
          <w:rFonts w:ascii="Book Antiqua" w:hAnsi="Book Antiqua"/>
          <w:iCs/>
          <w:szCs w:val="24"/>
          <w:lang w:val="es-ES"/>
        </w:rPr>
        <w:t xml:space="preserve"> </w:t>
      </w:r>
      <w:r w:rsidRPr="00C156DF">
        <w:rPr>
          <w:rFonts w:ascii="Book Antiqua" w:hAnsi="Book Antiqua"/>
          <w:iCs/>
          <w:szCs w:val="24"/>
          <w:u w:val="single"/>
          <w:lang w:val="es-ES"/>
        </w:rPr>
        <w:t xml:space="preserve">Aponte Valentín y Otros v. </w:t>
      </w:r>
      <w:proofErr w:type="spellStart"/>
      <w:r w:rsidRPr="00C156DF">
        <w:rPr>
          <w:rFonts w:ascii="Book Antiqua" w:hAnsi="Book Antiqua"/>
          <w:iCs/>
          <w:szCs w:val="24"/>
          <w:u w:val="single"/>
          <w:lang w:val="es-ES"/>
        </w:rPr>
        <w:t>Pfzer</w:t>
      </w:r>
      <w:proofErr w:type="spellEnd"/>
      <w:r w:rsidRPr="00C156DF">
        <w:rPr>
          <w:rFonts w:ascii="Book Antiqua" w:hAnsi="Book Antiqua"/>
          <w:iCs/>
          <w:szCs w:val="24"/>
          <w:u w:val="single"/>
          <w:lang w:val="es-ES"/>
        </w:rPr>
        <w:t xml:space="preserve"> </w:t>
      </w:r>
      <w:proofErr w:type="spellStart"/>
      <w:r w:rsidRPr="00C156DF">
        <w:rPr>
          <w:rFonts w:ascii="Book Antiqua" w:hAnsi="Book Antiqua"/>
          <w:iCs/>
          <w:szCs w:val="24"/>
          <w:u w:val="single"/>
          <w:lang w:val="es-ES"/>
        </w:rPr>
        <w:t>Pharmaceuticals</w:t>
      </w:r>
      <w:proofErr w:type="spellEnd"/>
      <w:r w:rsidRPr="00C156DF">
        <w:rPr>
          <w:rFonts w:ascii="Book Antiqua" w:hAnsi="Book Antiqua"/>
          <w:iCs/>
          <w:szCs w:val="24"/>
          <w:u w:val="single"/>
          <w:lang w:val="es-ES"/>
        </w:rPr>
        <w:t xml:space="preserve">, LLC, </w:t>
      </w:r>
      <w:r w:rsidRPr="00C156DF">
        <w:rPr>
          <w:rFonts w:ascii="Book Antiqua" w:hAnsi="Book Antiqua"/>
          <w:i/>
          <w:szCs w:val="24"/>
          <w:u w:val="single"/>
          <w:lang w:val="es-PR"/>
        </w:rPr>
        <w:t>supra</w:t>
      </w:r>
      <w:r w:rsidRPr="00C156DF">
        <w:rPr>
          <w:rFonts w:ascii="Book Antiqua" w:hAnsi="Book Antiqua"/>
          <w:szCs w:val="24"/>
          <w:lang w:val="es-PR"/>
        </w:rPr>
        <w:t xml:space="preserve">, colocar a los empleados en la posición de decidir entre “consentir” al arbitraje para permanecer en el empleo o rechazarlo y renunciar al empleo, es contrario al orden público. De igual forma, las cláusulas de arbitraje compulsorio que subordinan las protecciones laborales que nuestro ordenamiento provee — y que la clase trabajadora ha obtenido tras años de lucha — a un proceso de arbitraje que vulnera los derechos que nuestros estatutos laborales le aseguran a los empleados, es contrario a la política pública del Gobierno de Puerto Rico. </w:t>
      </w:r>
    </w:p>
    <w:p w14:paraId="02633F62" w14:textId="77777777" w:rsidR="009476BB" w:rsidRPr="00C156DF" w:rsidRDefault="009476BB" w:rsidP="00C156DF">
      <w:pPr>
        <w:ind w:firstLine="720"/>
        <w:jc w:val="both"/>
        <w:rPr>
          <w:rFonts w:ascii="Book Antiqua" w:hAnsi="Book Antiqua"/>
          <w:szCs w:val="24"/>
          <w:lang w:val="es-PR"/>
        </w:rPr>
      </w:pPr>
    </w:p>
    <w:p w14:paraId="1E5914D6" w14:textId="6B003C5A" w:rsidR="00A10B1E" w:rsidRPr="00C156DF" w:rsidRDefault="00F70D3E" w:rsidP="00C156DF">
      <w:pPr>
        <w:ind w:firstLine="360"/>
        <w:jc w:val="both"/>
        <w:rPr>
          <w:rFonts w:ascii="Book Antiqua" w:hAnsi="Book Antiqua"/>
          <w:lang w:val="es-PR"/>
        </w:rPr>
      </w:pPr>
      <w:r w:rsidRPr="00C156DF">
        <w:rPr>
          <w:rFonts w:ascii="Book Antiqua" w:hAnsi="Book Antiqua"/>
          <w:szCs w:val="24"/>
          <w:lang w:val="es-ES_tradnl"/>
        </w:rPr>
        <w:t>Por lo anterior, esta Asamblea Legislativa prohíbe la práctica de imponer cláusulas de arbitraje de manera unilateral que privan a los trabajadores de su derecho a acceder a la justicia y de hacer valer sus derechos mediante los mecanismos que nuestro derecho laboral les provee.</w:t>
      </w:r>
    </w:p>
    <w:p w14:paraId="7674B2AD" w14:textId="192CDDF7" w:rsidR="00F13533" w:rsidRPr="004F6F8E" w:rsidRDefault="00F13533" w:rsidP="00A10B1E">
      <w:pPr>
        <w:spacing w:before="240" w:line="480" w:lineRule="auto"/>
        <w:rPr>
          <w:rFonts w:ascii="Book Antiqua" w:hAnsi="Book Antiqua"/>
          <w:i/>
          <w:lang w:val="es-ES_tradnl"/>
        </w:rPr>
      </w:pPr>
      <w:r w:rsidRPr="004F6F8E">
        <w:rPr>
          <w:rFonts w:ascii="Book Antiqua" w:hAnsi="Book Antiqua"/>
          <w:i/>
          <w:lang w:val="es-ES_tradnl"/>
        </w:rPr>
        <w:t>DECRÉTASE POR LA ASAMBLEA LEGISLATIVA DE PUERTO RICO:</w:t>
      </w:r>
    </w:p>
    <w:p w14:paraId="75F7910E" w14:textId="77777777" w:rsidR="00F13533" w:rsidRPr="004F6F8E" w:rsidRDefault="00F13533" w:rsidP="00F13533">
      <w:pPr>
        <w:spacing w:line="480" w:lineRule="auto"/>
        <w:jc w:val="both"/>
        <w:rPr>
          <w:rFonts w:ascii="Book Antiqua" w:hAnsi="Book Antiqua"/>
          <w:lang w:val="es-ES_tradnl"/>
        </w:rPr>
        <w:sectPr w:rsidR="00F13533" w:rsidRPr="004F6F8E">
          <w:headerReference w:type="default" r:id="rId9"/>
          <w:type w:val="continuous"/>
          <w:pgSz w:w="12240" w:h="15840" w:code="1"/>
          <w:pgMar w:top="1440" w:right="1440" w:bottom="1440" w:left="1440" w:header="720" w:footer="720" w:gutter="0"/>
          <w:cols w:space="720"/>
          <w:titlePg/>
        </w:sectPr>
      </w:pPr>
    </w:p>
    <w:p w14:paraId="76247D1A" w14:textId="77777777" w:rsidR="00F70D3E" w:rsidRDefault="00F70D3E" w:rsidP="009476BB">
      <w:pPr>
        <w:spacing w:line="480" w:lineRule="auto"/>
        <w:ind w:firstLine="360"/>
        <w:jc w:val="both"/>
        <w:rPr>
          <w:rFonts w:ascii="Book Antiqua" w:hAnsi="Book Antiqua"/>
          <w:lang w:val="es-ES_tradnl"/>
        </w:rPr>
      </w:pPr>
      <w:r>
        <w:rPr>
          <w:rFonts w:ascii="Book Antiqua" w:hAnsi="Book Antiqua"/>
          <w:lang w:val="es-ES_tradnl"/>
        </w:rPr>
        <w:t>Artículo 1. – Esta Ley se conocerá como la “Ley p</w:t>
      </w:r>
      <w:r w:rsidRPr="006205EB">
        <w:rPr>
          <w:rFonts w:ascii="Book Antiqua" w:hAnsi="Book Antiqua"/>
          <w:lang w:val="es-ES_tradnl"/>
        </w:rPr>
        <w:t xml:space="preserve">ara prohibir que los patronos en Puerto Rico impongan cláusulas de arbitraje que interfieran con el derecho de los </w:t>
      </w:r>
      <w:r w:rsidRPr="006205EB">
        <w:rPr>
          <w:rFonts w:ascii="Book Antiqua" w:hAnsi="Book Antiqua"/>
          <w:lang w:val="es-ES_tradnl"/>
        </w:rPr>
        <w:lastRenderedPageBreak/>
        <w:t xml:space="preserve">empleados a tramitar sus reclamaciones laborales de acuerdo con las disposiciones de la </w:t>
      </w:r>
      <w:r w:rsidRPr="006205EB">
        <w:rPr>
          <w:rFonts w:ascii="Book Antiqua" w:hAnsi="Book Antiqua"/>
          <w:lang w:val="es-PR"/>
        </w:rPr>
        <w:t>Ley Núm. 2 de 17 de octubre de 1961, según enmendada</w:t>
      </w:r>
      <w:r>
        <w:rPr>
          <w:rFonts w:ascii="Book Antiqua" w:hAnsi="Book Antiqua"/>
          <w:lang w:val="es-ES_tradnl"/>
        </w:rPr>
        <w:t>.”</w:t>
      </w:r>
    </w:p>
    <w:p w14:paraId="70E055D7" w14:textId="77777777" w:rsidR="00F70D3E" w:rsidRDefault="00F70D3E" w:rsidP="009476BB">
      <w:pPr>
        <w:spacing w:line="480" w:lineRule="auto"/>
        <w:ind w:firstLine="360"/>
        <w:jc w:val="both"/>
        <w:rPr>
          <w:rFonts w:ascii="Book Antiqua" w:hAnsi="Book Antiqua"/>
          <w:lang w:val="es-ES_tradnl"/>
        </w:rPr>
      </w:pPr>
      <w:r>
        <w:rPr>
          <w:rFonts w:ascii="Book Antiqua" w:hAnsi="Book Antiqua"/>
          <w:lang w:val="es-ES_tradnl"/>
        </w:rPr>
        <w:t>Artículo 2. – Política Pública</w:t>
      </w:r>
    </w:p>
    <w:p w14:paraId="6949FBA2" w14:textId="77777777" w:rsidR="00F70D3E" w:rsidRPr="00E13B6B" w:rsidRDefault="00F70D3E" w:rsidP="009476BB">
      <w:pPr>
        <w:spacing w:line="480" w:lineRule="auto"/>
        <w:ind w:firstLine="360"/>
        <w:jc w:val="both"/>
        <w:rPr>
          <w:rFonts w:ascii="Book Antiqua" w:hAnsi="Book Antiqua"/>
          <w:lang w:val="es-PR"/>
        </w:rPr>
      </w:pPr>
      <w:r w:rsidRPr="00E13B6B">
        <w:rPr>
          <w:rFonts w:ascii="Book Antiqua" w:hAnsi="Book Antiqua"/>
          <w:lang w:val="es-ES_tradnl"/>
        </w:rPr>
        <w:t>Será política pública del Gobierno de Puerto Rico la prohibición de la imposición unilateral por parte de los patronos</w:t>
      </w:r>
      <w:r>
        <w:rPr>
          <w:rFonts w:ascii="Book Antiqua" w:hAnsi="Book Antiqua"/>
          <w:lang w:val="es-ES_tradnl"/>
        </w:rPr>
        <w:t xml:space="preserve"> </w:t>
      </w:r>
      <w:r w:rsidRPr="00E13B6B">
        <w:rPr>
          <w:rFonts w:ascii="Book Antiqua" w:hAnsi="Book Antiqua"/>
          <w:lang w:val="es-ES_tradnl"/>
        </w:rPr>
        <w:t xml:space="preserve">de cláusulas de arbitraje que interfieran con el derecho de los empleados a tramitar sus reclamaciones laborales de acuerdo con las disposiciones de la </w:t>
      </w:r>
      <w:r w:rsidRPr="00E13B6B">
        <w:rPr>
          <w:rFonts w:ascii="Book Antiqua" w:hAnsi="Book Antiqua"/>
          <w:lang w:val="es-PR"/>
        </w:rPr>
        <w:t xml:space="preserve">Ley Núm. 2 de 17 de octubre de 1961, </w:t>
      </w:r>
      <w:r w:rsidRPr="00E13B6B">
        <w:rPr>
          <w:rFonts w:ascii="Book Antiqua" w:hAnsi="Book Antiqua"/>
          <w:i/>
          <w:iCs/>
          <w:lang w:val="es-PR"/>
        </w:rPr>
        <w:t>supra</w:t>
      </w:r>
      <w:r>
        <w:rPr>
          <w:rFonts w:ascii="Book Antiqua" w:hAnsi="Book Antiqua"/>
          <w:lang w:val="es-PR"/>
        </w:rPr>
        <w:t>.</w:t>
      </w:r>
    </w:p>
    <w:p w14:paraId="564770A8" w14:textId="77777777" w:rsidR="00F70D3E" w:rsidRDefault="00F70D3E" w:rsidP="009476BB">
      <w:pPr>
        <w:spacing w:line="480" w:lineRule="auto"/>
        <w:ind w:firstLine="360"/>
        <w:jc w:val="both"/>
        <w:rPr>
          <w:rFonts w:ascii="Book Antiqua" w:hAnsi="Book Antiqua"/>
          <w:lang w:val="es-ES_tradnl"/>
        </w:rPr>
      </w:pPr>
      <w:r w:rsidRPr="001E763E">
        <w:rPr>
          <w:rFonts w:ascii="Book Antiqua" w:hAnsi="Book Antiqua"/>
          <w:lang w:val="es-ES_tradnl"/>
        </w:rPr>
        <w:t xml:space="preserve">Artículo </w:t>
      </w:r>
      <w:r>
        <w:rPr>
          <w:rFonts w:ascii="Book Antiqua" w:hAnsi="Book Antiqua"/>
          <w:lang w:val="es-ES_tradnl"/>
        </w:rPr>
        <w:t>3</w:t>
      </w:r>
      <w:r w:rsidRPr="001E763E">
        <w:rPr>
          <w:rFonts w:ascii="Book Antiqua" w:hAnsi="Book Antiqua"/>
          <w:lang w:val="es-ES_tradnl"/>
        </w:rPr>
        <w:t xml:space="preserve">. – </w:t>
      </w:r>
      <w:r>
        <w:rPr>
          <w:rFonts w:ascii="Book Antiqua" w:hAnsi="Book Antiqua"/>
          <w:lang w:val="es-ES_tradnl"/>
        </w:rPr>
        <w:t>Prohibiciones.</w:t>
      </w:r>
    </w:p>
    <w:p w14:paraId="0DB9D213" w14:textId="77777777" w:rsidR="00F70D3E" w:rsidRPr="00E13B6B" w:rsidRDefault="00F70D3E" w:rsidP="009476BB">
      <w:pPr>
        <w:spacing w:line="480" w:lineRule="auto"/>
        <w:ind w:firstLine="360"/>
        <w:jc w:val="both"/>
        <w:rPr>
          <w:rFonts w:ascii="Book Antiqua" w:hAnsi="Book Antiqua"/>
          <w:lang w:val="es-PR"/>
        </w:rPr>
      </w:pPr>
      <w:r>
        <w:rPr>
          <w:rFonts w:ascii="Book Antiqua" w:hAnsi="Book Antiqua"/>
          <w:lang w:val="es-PR"/>
        </w:rPr>
        <w:t xml:space="preserve">(a) </w:t>
      </w:r>
      <w:r w:rsidRPr="00E13B6B">
        <w:rPr>
          <w:rFonts w:ascii="Book Antiqua" w:hAnsi="Book Antiqua"/>
          <w:lang w:val="es-PR"/>
        </w:rPr>
        <w:t xml:space="preserve">Ninguna cláusula de arbitraje podrá prohibir que los empleados inicien acciones contra sus patronos en los tribunales mediante el procedimiento sumario que establece </w:t>
      </w:r>
      <w:r w:rsidRPr="00E13B6B">
        <w:rPr>
          <w:rFonts w:ascii="Book Antiqua" w:hAnsi="Book Antiqua"/>
          <w:lang w:val="es-ES_tradnl"/>
        </w:rPr>
        <w:t xml:space="preserve">la </w:t>
      </w:r>
      <w:r w:rsidRPr="00E13B6B">
        <w:rPr>
          <w:rFonts w:ascii="Book Antiqua" w:hAnsi="Book Antiqua"/>
          <w:lang w:val="es-PR"/>
        </w:rPr>
        <w:t xml:space="preserve">Ley Núm. 2 de 17 de octubre de 1961, </w:t>
      </w:r>
      <w:r w:rsidRPr="00E13B6B">
        <w:rPr>
          <w:rFonts w:ascii="Book Antiqua" w:hAnsi="Book Antiqua"/>
          <w:i/>
          <w:iCs/>
          <w:lang w:val="es-PR"/>
        </w:rPr>
        <w:t>supra</w:t>
      </w:r>
      <w:r w:rsidRPr="00E13B6B">
        <w:rPr>
          <w:rFonts w:ascii="Book Antiqua" w:hAnsi="Book Antiqua"/>
          <w:lang w:val="es-PR"/>
        </w:rPr>
        <w:t>.</w:t>
      </w:r>
    </w:p>
    <w:p w14:paraId="2CBCCBBD" w14:textId="77777777" w:rsidR="00F70D3E" w:rsidRDefault="00F70D3E" w:rsidP="009476BB">
      <w:pPr>
        <w:spacing w:line="480" w:lineRule="auto"/>
        <w:ind w:firstLine="360"/>
        <w:jc w:val="both"/>
        <w:rPr>
          <w:rFonts w:ascii="Book Antiqua" w:hAnsi="Book Antiqua"/>
          <w:lang w:val="es-ES_tradnl"/>
        </w:rPr>
      </w:pPr>
      <w:r>
        <w:rPr>
          <w:rFonts w:ascii="Book Antiqua" w:hAnsi="Book Antiqua"/>
          <w:lang w:val="es-ES_tradnl"/>
        </w:rPr>
        <w:t xml:space="preserve">(b) </w:t>
      </w:r>
      <w:r w:rsidRPr="00644527">
        <w:rPr>
          <w:rFonts w:ascii="Book Antiqua" w:hAnsi="Book Antiqua"/>
          <w:lang w:val="es-ES"/>
        </w:rPr>
        <w:t xml:space="preserve">Ningún patrono podrá </w:t>
      </w:r>
      <w:r>
        <w:rPr>
          <w:rFonts w:ascii="Book Antiqua" w:hAnsi="Book Antiqua"/>
          <w:lang w:val="es-ES"/>
        </w:rPr>
        <w:t xml:space="preserve">imponer como condición para la continuación en el empleo el </w:t>
      </w:r>
      <w:r w:rsidRPr="00644527">
        <w:rPr>
          <w:rFonts w:ascii="Book Antiqua" w:hAnsi="Book Antiqua"/>
          <w:lang w:val="es-ES"/>
        </w:rPr>
        <w:t>consenti</w:t>
      </w:r>
      <w:r>
        <w:rPr>
          <w:rFonts w:ascii="Book Antiqua" w:hAnsi="Book Antiqua"/>
          <w:lang w:val="es-ES"/>
        </w:rPr>
        <w:t>miento</w:t>
      </w:r>
      <w:r w:rsidRPr="00644527">
        <w:rPr>
          <w:rFonts w:ascii="Book Antiqua" w:hAnsi="Book Antiqua"/>
          <w:lang w:val="es-ES"/>
        </w:rPr>
        <w:t xml:space="preserve"> a</w:t>
      </w:r>
      <w:r>
        <w:rPr>
          <w:rFonts w:ascii="Book Antiqua" w:hAnsi="Book Antiqua"/>
          <w:lang w:val="es-ES"/>
        </w:rPr>
        <w:t xml:space="preserve"> una</w:t>
      </w:r>
      <w:r w:rsidRPr="00644527">
        <w:rPr>
          <w:rFonts w:ascii="Book Antiqua" w:hAnsi="Book Antiqua"/>
          <w:lang w:val="es-ES"/>
        </w:rPr>
        <w:t xml:space="preserve"> cláusula de arbitraje</w:t>
      </w:r>
      <w:r w:rsidRPr="00644527">
        <w:rPr>
          <w:rFonts w:ascii="Book Antiqua" w:hAnsi="Book Antiqua"/>
          <w:lang w:val="es-ES_tradnl"/>
        </w:rPr>
        <w:t>.</w:t>
      </w:r>
    </w:p>
    <w:p w14:paraId="61E0EB46" w14:textId="77777777" w:rsidR="00F70D3E" w:rsidRPr="00E13B6B" w:rsidRDefault="00F70D3E" w:rsidP="009476BB">
      <w:pPr>
        <w:spacing w:line="480" w:lineRule="auto"/>
        <w:ind w:firstLine="360"/>
        <w:jc w:val="both"/>
        <w:rPr>
          <w:rFonts w:ascii="Book Antiqua" w:hAnsi="Book Antiqua"/>
          <w:lang w:val="es-PR"/>
        </w:rPr>
      </w:pPr>
      <w:r>
        <w:rPr>
          <w:rFonts w:ascii="Book Antiqua" w:hAnsi="Book Antiqua"/>
          <w:lang w:val="es-ES_tradnl"/>
        </w:rPr>
        <w:t>(c)</w:t>
      </w:r>
      <w:r>
        <w:rPr>
          <w:rFonts w:ascii="Book Antiqua" w:hAnsi="Book Antiqua"/>
          <w:lang w:val="es-PR"/>
        </w:rPr>
        <w:t xml:space="preserve"> Cualquier</w:t>
      </w:r>
      <w:r w:rsidRPr="00E13B6B">
        <w:rPr>
          <w:rFonts w:ascii="Book Antiqua" w:hAnsi="Book Antiqua"/>
          <w:lang w:val="es-PR"/>
        </w:rPr>
        <w:t xml:space="preserve"> cláusula de arbitraje </w:t>
      </w:r>
      <w:r>
        <w:rPr>
          <w:rFonts w:ascii="Book Antiqua" w:hAnsi="Book Antiqua"/>
          <w:lang w:val="es-PR"/>
        </w:rPr>
        <w:t>contenida en un contrato de empleo vigente</w:t>
      </w:r>
      <w:r w:rsidRPr="00E13B6B">
        <w:rPr>
          <w:rFonts w:ascii="Book Antiqua" w:hAnsi="Book Antiqua"/>
          <w:lang w:val="es-PR"/>
        </w:rPr>
        <w:t xml:space="preserve"> </w:t>
      </w:r>
      <w:r>
        <w:rPr>
          <w:rFonts w:ascii="Book Antiqua" w:hAnsi="Book Antiqua"/>
          <w:lang w:val="es-PR"/>
        </w:rPr>
        <w:t xml:space="preserve">que </w:t>
      </w:r>
      <w:r w:rsidRPr="00E13B6B">
        <w:rPr>
          <w:rFonts w:ascii="Book Antiqua" w:hAnsi="Book Antiqua"/>
          <w:lang w:val="es-PR"/>
        </w:rPr>
        <w:t>prohíb</w:t>
      </w:r>
      <w:r>
        <w:rPr>
          <w:rFonts w:ascii="Book Antiqua" w:hAnsi="Book Antiqua"/>
          <w:lang w:val="es-PR"/>
        </w:rPr>
        <w:t>a</w:t>
      </w:r>
      <w:r w:rsidRPr="00E13B6B">
        <w:rPr>
          <w:rFonts w:ascii="Book Antiqua" w:hAnsi="Book Antiqua"/>
          <w:lang w:val="es-PR"/>
        </w:rPr>
        <w:t xml:space="preserve"> que los empleados inicien acciones contra sus patronos en los tribunales </w:t>
      </w:r>
      <w:r>
        <w:rPr>
          <w:rFonts w:ascii="Book Antiqua" w:hAnsi="Book Antiqua"/>
          <w:lang w:val="es-PR"/>
        </w:rPr>
        <w:t xml:space="preserve">en virtud de la </w:t>
      </w:r>
      <w:r w:rsidRPr="00E13B6B">
        <w:rPr>
          <w:rFonts w:ascii="Book Antiqua" w:hAnsi="Book Antiqua"/>
          <w:lang w:val="es-ES_tradnl"/>
        </w:rPr>
        <w:t xml:space="preserve">la </w:t>
      </w:r>
      <w:r w:rsidRPr="00E13B6B">
        <w:rPr>
          <w:rFonts w:ascii="Book Antiqua" w:hAnsi="Book Antiqua"/>
          <w:lang w:val="es-PR"/>
        </w:rPr>
        <w:t xml:space="preserve">Ley Núm. 2 de 17 de octubre de 1961, </w:t>
      </w:r>
      <w:r w:rsidRPr="00E13B6B">
        <w:rPr>
          <w:rFonts w:ascii="Book Antiqua" w:hAnsi="Book Antiqua"/>
          <w:i/>
          <w:iCs/>
          <w:lang w:val="es-PR"/>
        </w:rPr>
        <w:t>supra</w:t>
      </w:r>
      <w:r>
        <w:rPr>
          <w:rFonts w:ascii="Book Antiqua" w:hAnsi="Book Antiqua"/>
          <w:lang w:val="es-PR"/>
        </w:rPr>
        <w:t xml:space="preserve">, o que imponga el consentimiento a una cláusula de arbitraje </w:t>
      </w:r>
      <w:r w:rsidRPr="00390CC9">
        <w:rPr>
          <w:rFonts w:ascii="Book Antiqua" w:hAnsi="Book Antiqua"/>
          <w:lang w:val="es-ES"/>
        </w:rPr>
        <w:t>como condición para la continuación en el empleo</w:t>
      </w:r>
      <w:r>
        <w:rPr>
          <w:rFonts w:ascii="Book Antiqua" w:hAnsi="Book Antiqua"/>
          <w:lang w:val="es-ES"/>
        </w:rPr>
        <w:t xml:space="preserve"> será nula.</w:t>
      </w:r>
    </w:p>
    <w:p w14:paraId="14DE6C7B" w14:textId="0CAEBF90" w:rsidR="00173FD0" w:rsidRPr="00BC6728" w:rsidRDefault="00F70D3E" w:rsidP="009476BB">
      <w:pPr>
        <w:spacing w:line="480" w:lineRule="auto"/>
        <w:ind w:firstLine="360"/>
        <w:jc w:val="both"/>
        <w:rPr>
          <w:rFonts w:ascii="Book Antiqua" w:hAnsi="Book Antiqua"/>
          <w:lang w:val="es-ES"/>
        </w:rPr>
      </w:pPr>
      <w:r w:rsidRPr="009B2E03">
        <w:rPr>
          <w:rFonts w:ascii="Book Antiqua" w:hAnsi="Book Antiqua"/>
          <w:lang w:val="es-ES_tradnl"/>
        </w:rPr>
        <w:t xml:space="preserve">Artículo </w:t>
      </w:r>
      <w:r>
        <w:rPr>
          <w:rFonts w:ascii="Book Antiqua" w:hAnsi="Book Antiqua"/>
          <w:lang w:val="es-ES_tradnl"/>
        </w:rPr>
        <w:t>4</w:t>
      </w:r>
      <w:r w:rsidRPr="009B2E03">
        <w:rPr>
          <w:rFonts w:ascii="Book Antiqua" w:hAnsi="Book Antiqua"/>
          <w:lang w:val="es-ES_tradnl"/>
        </w:rPr>
        <w:t>. –</w:t>
      </w:r>
      <w:r>
        <w:rPr>
          <w:rFonts w:ascii="Book Antiqua" w:hAnsi="Book Antiqua"/>
          <w:lang w:val="es-PR"/>
        </w:rPr>
        <w:t xml:space="preserve">. </w:t>
      </w:r>
      <w:r>
        <w:rPr>
          <w:rFonts w:ascii="Book Antiqua" w:hAnsi="Book Antiqua"/>
          <w:lang w:val="es-ES_tradnl"/>
        </w:rPr>
        <w:t>Esta Ley entrará en vigor inmediatamente después de su aprobación.</w:t>
      </w:r>
    </w:p>
    <w:sectPr w:rsidR="00173FD0" w:rsidRPr="00BC6728"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14F043" w14:textId="77777777" w:rsidR="00DB1BE7" w:rsidRDefault="00DB1BE7">
      <w:r>
        <w:separator/>
      </w:r>
    </w:p>
  </w:endnote>
  <w:endnote w:type="continuationSeparator" w:id="0">
    <w:p w14:paraId="1D2D1FBE" w14:textId="77777777" w:rsidR="00DB1BE7" w:rsidRDefault="00DB1B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8FF79B" w14:textId="77777777" w:rsidR="00DB1BE7" w:rsidRDefault="00DB1BE7">
      <w:r>
        <w:separator/>
      </w:r>
    </w:p>
  </w:footnote>
  <w:footnote w:type="continuationSeparator" w:id="0">
    <w:p w14:paraId="627EB986" w14:textId="77777777" w:rsidR="00DB1BE7" w:rsidRDefault="00DB1B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BF10EF">
      <w:rPr>
        <w:rStyle w:val="Nmerodepgina"/>
        <w:noProof/>
      </w:rPr>
      <w:t>14</w:t>
    </w:r>
    <w:r>
      <w:rPr>
        <w:rStyle w:val="Nmerodepgina"/>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7"/>
  </w:num>
  <w:num w:numId="3" w16cid:durableId="1132467">
    <w:abstractNumId w:val="4"/>
  </w:num>
  <w:num w:numId="4" w16cid:durableId="702096654">
    <w:abstractNumId w:val="5"/>
  </w:num>
  <w:num w:numId="5" w16cid:durableId="496698076">
    <w:abstractNumId w:val="6"/>
  </w:num>
  <w:num w:numId="6" w16cid:durableId="1469207924">
    <w:abstractNumId w:val="2"/>
  </w:num>
  <w:num w:numId="7" w16cid:durableId="355935514">
    <w:abstractNumId w:val="3"/>
  </w:num>
  <w:num w:numId="8" w16cid:durableId="259021808">
    <w:abstractNumId w:val="1"/>
  </w:num>
  <w:num w:numId="9" w16cid:durableId="9577635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20BBB"/>
    <w:rsid w:val="00032A23"/>
    <w:rsid w:val="00034585"/>
    <w:rsid w:val="00056024"/>
    <w:rsid w:val="00075607"/>
    <w:rsid w:val="00091706"/>
    <w:rsid w:val="00095AE1"/>
    <w:rsid w:val="000A6B6C"/>
    <w:rsid w:val="000B0DBB"/>
    <w:rsid w:val="000F2029"/>
    <w:rsid w:val="000F4204"/>
    <w:rsid w:val="0010351B"/>
    <w:rsid w:val="0011037A"/>
    <w:rsid w:val="00111E71"/>
    <w:rsid w:val="00127C6A"/>
    <w:rsid w:val="001363FE"/>
    <w:rsid w:val="001466C3"/>
    <w:rsid w:val="001531F9"/>
    <w:rsid w:val="0017132B"/>
    <w:rsid w:val="00173FD0"/>
    <w:rsid w:val="00192F82"/>
    <w:rsid w:val="001B7D57"/>
    <w:rsid w:val="001C006D"/>
    <w:rsid w:val="001D24BE"/>
    <w:rsid w:val="001D6A0D"/>
    <w:rsid w:val="001F4CA3"/>
    <w:rsid w:val="001F612A"/>
    <w:rsid w:val="00210371"/>
    <w:rsid w:val="00211396"/>
    <w:rsid w:val="002205E2"/>
    <w:rsid w:val="00226AE6"/>
    <w:rsid w:val="00245B34"/>
    <w:rsid w:val="00251962"/>
    <w:rsid w:val="00263355"/>
    <w:rsid w:val="00273792"/>
    <w:rsid w:val="00276BD5"/>
    <w:rsid w:val="002D4AC8"/>
    <w:rsid w:val="002D55FA"/>
    <w:rsid w:val="002F0A85"/>
    <w:rsid w:val="003069A5"/>
    <w:rsid w:val="00312328"/>
    <w:rsid w:val="00320D78"/>
    <w:rsid w:val="003262FE"/>
    <w:rsid w:val="0034244A"/>
    <w:rsid w:val="00380FE5"/>
    <w:rsid w:val="0038360A"/>
    <w:rsid w:val="003918AF"/>
    <w:rsid w:val="003924DD"/>
    <w:rsid w:val="00394FCB"/>
    <w:rsid w:val="003963F4"/>
    <w:rsid w:val="003B5254"/>
    <w:rsid w:val="003B75A6"/>
    <w:rsid w:val="003E1DFE"/>
    <w:rsid w:val="004061CA"/>
    <w:rsid w:val="00415689"/>
    <w:rsid w:val="004440CB"/>
    <w:rsid w:val="0045085C"/>
    <w:rsid w:val="004548EA"/>
    <w:rsid w:val="004713D2"/>
    <w:rsid w:val="00475278"/>
    <w:rsid w:val="004A311A"/>
    <w:rsid w:val="004B7C8D"/>
    <w:rsid w:val="004D5973"/>
    <w:rsid w:val="004E029D"/>
    <w:rsid w:val="004F6F8E"/>
    <w:rsid w:val="00515E15"/>
    <w:rsid w:val="0051629D"/>
    <w:rsid w:val="00521639"/>
    <w:rsid w:val="0052618B"/>
    <w:rsid w:val="00532BB7"/>
    <w:rsid w:val="005332E4"/>
    <w:rsid w:val="0053550C"/>
    <w:rsid w:val="00555018"/>
    <w:rsid w:val="005723DC"/>
    <w:rsid w:val="005733E1"/>
    <w:rsid w:val="005C65A3"/>
    <w:rsid w:val="005D79A1"/>
    <w:rsid w:val="005E08D0"/>
    <w:rsid w:val="006104EC"/>
    <w:rsid w:val="006210DC"/>
    <w:rsid w:val="0064349D"/>
    <w:rsid w:val="00643D93"/>
    <w:rsid w:val="00651FF1"/>
    <w:rsid w:val="00653EED"/>
    <w:rsid w:val="00685549"/>
    <w:rsid w:val="006A23E8"/>
    <w:rsid w:val="006B640E"/>
    <w:rsid w:val="006B7365"/>
    <w:rsid w:val="006C214B"/>
    <w:rsid w:val="006C2D81"/>
    <w:rsid w:val="006C31CA"/>
    <w:rsid w:val="006C7DF8"/>
    <w:rsid w:val="0070428A"/>
    <w:rsid w:val="00750FC8"/>
    <w:rsid w:val="007533D0"/>
    <w:rsid w:val="00755069"/>
    <w:rsid w:val="00772304"/>
    <w:rsid w:val="00782D50"/>
    <w:rsid w:val="007B0660"/>
    <w:rsid w:val="007B7B7D"/>
    <w:rsid w:val="007C057A"/>
    <w:rsid w:val="007D6C27"/>
    <w:rsid w:val="007E3868"/>
    <w:rsid w:val="007F1746"/>
    <w:rsid w:val="00820C41"/>
    <w:rsid w:val="00844617"/>
    <w:rsid w:val="00850256"/>
    <w:rsid w:val="00854B10"/>
    <w:rsid w:val="00860ADC"/>
    <w:rsid w:val="0088408D"/>
    <w:rsid w:val="008A0ACC"/>
    <w:rsid w:val="008D2C7D"/>
    <w:rsid w:val="008D44C5"/>
    <w:rsid w:val="008E173A"/>
    <w:rsid w:val="009035B9"/>
    <w:rsid w:val="00923EC3"/>
    <w:rsid w:val="00924DCC"/>
    <w:rsid w:val="0093686F"/>
    <w:rsid w:val="00942FD4"/>
    <w:rsid w:val="009476BB"/>
    <w:rsid w:val="00951997"/>
    <w:rsid w:val="0097693A"/>
    <w:rsid w:val="00990352"/>
    <w:rsid w:val="009B4897"/>
    <w:rsid w:val="009F35CF"/>
    <w:rsid w:val="00A03405"/>
    <w:rsid w:val="00A10B1E"/>
    <w:rsid w:val="00A12BB9"/>
    <w:rsid w:val="00A1528A"/>
    <w:rsid w:val="00A25B1B"/>
    <w:rsid w:val="00A33918"/>
    <w:rsid w:val="00A7629F"/>
    <w:rsid w:val="00A842B4"/>
    <w:rsid w:val="00A87FD3"/>
    <w:rsid w:val="00AA43B5"/>
    <w:rsid w:val="00AB248D"/>
    <w:rsid w:val="00AD2305"/>
    <w:rsid w:val="00AE36A9"/>
    <w:rsid w:val="00AF0CEE"/>
    <w:rsid w:val="00B2475B"/>
    <w:rsid w:val="00B335B4"/>
    <w:rsid w:val="00B51ED2"/>
    <w:rsid w:val="00B667AD"/>
    <w:rsid w:val="00B81508"/>
    <w:rsid w:val="00B833A0"/>
    <w:rsid w:val="00B834FC"/>
    <w:rsid w:val="00B84C38"/>
    <w:rsid w:val="00B86C00"/>
    <w:rsid w:val="00B947F6"/>
    <w:rsid w:val="00BC6728"/>
    <w:rsid w:val="00BF10EF"/>
    <w:rsid w:val="00BF16AA"/>
    <w:rsid w:val="00C156DF"/>
    <w:rsid w:val="00C27293"/>
    <w:rsid w:val="00C346ED"/>
    <w:rsid w:val="00C354B8"/>
    <w:rsid w:val="00C37B5E"/>
    <w:rsid w:val="00C52517"/>
    <w:rsid w:val="00C60921"/>
    <w:rsid w:val="00C6282C"/>
    <w:rsid w:val="00C62936"/>
    <w:rsid w:val="00C653F2"/>
    <w:rsid w:val="00C679E6"/>
    <w:rsid w:val="00C768A8"/>
    <w:rsid w:val="00C908F9"/>
    <w:rsid w:val="00CA0917"/>
    <w:rsid w:val="00CA1099"/>
    <w:rsid w:val="00CC0F45"/>
    <w:rsid w:val="00CC1C08"/>
    <w:rsid w:val="00CC49B0"/>
    <w:rsid w:val="00CD5D2B"/>
    <w:rsid w:val="00CF2B35"/>
    <w:rsid w:val="00D046E5"/>
    <w:rsid w:val="00D1295E"/>
    <w:rsid w:val="00D40CD7"/>
    <w:rsid w:val="00D417C2"/>
    <w:rsid w:val="00D429C3"/>
    <w:rsid w:val="00D56804"/>
    <w:rsid w:val="00D60936"/>
    <w:rsid w:val="00D672A6"/>
    <w:rsid w:val="00D709EB"/>
    <w:rsid w:val="00D74714"/>
    <w:rsid w:val="00D82F3F"/>
    <w:rsid w:val="00D84426"/>
    <w:rsid w:val="00D921C6"/>
    <w:rsid w:val="00D958C2"/>
    <w:rsid w:val="00DB1BE7"/>
    <w:rsid w:val="00DD0A78"/>
    <w:rsid w:val="00DE2C63"/>
    <w:rsid w:val="00DE56DE"/>
    <w:rsid w:val="00DE7377"/>
    <w:rsid w:val="00E04AB5"/>
    <w:rsid w:val="00E16745"/>
    <w:rsid w:val="00E50EEA"/>
    <w:rsid w:val="00E52F58"/>
    <w:rsid w:val="00E7058A"/>
    <w:rsid w:val="00EC26AA"/>
    <w:rsid w:val="00EC5DD6"/>
    <w:rsid w:val="00ED7A53"/>
    <w:rsid w:val="00EE0647"/>
    <w:rsid w:val="00EE4273"/>
    <w:rsid w:val="00EF6CE9"/>
    <w:rsid w:val="00F02004"/>
    <w:rsid w:val="00F042CB"/>
    <w:rsid w:val="00F06507"/>
    <w:rsid w:val="00F13533"/>
    <w:rsid w:val="00F235B2"/>
    <w:rsid w:val="00F24D4C"/>
    <w:rsid w:val="00F54C0C"/>
    <w:rsid w:val="00F60A20"/>
    <w:rsid w:val="00F70D3E"/>
    <w:rsid w:val="00F90D72"/>
    <w:rsid w:val="00F927AF"/>
    <w:rsid w:val="00FA7059"/>
    <w:rsid w:val="00FC0A95"/>
    <w:rsid w:val="00FC3D9C"/>
    <w:rsid w:val="00FD2AD2"/>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notapie">
    <w:name w:val="footnote text"/>
    <w:basedOn w:val="Normal"/>
    <w:link w:val="TextonotapieC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TextonotapieCar">
    <w:name w:val="Texto nota pie Car"/>
    <w:basedOn w:val="Fuentedeprrafopredeter"/>
    <w:link w:val="Textonotapie"/>
    <w:uiPriority w:val="99"/>
    <w:semiHidden/>
    <w:rsid w:val="00F13533"/>
  </w:style>
  <w:style w:type="character" w:styleId="Refdenotaalpie">
    <w:name w:val="footnote reference"/>
    <w:basedOn w:val="Fuentedeprrafopredeter"/>
    <w:uiPriority w:val="99"/>
    <w:semiHidden/>
    <w:unhideWhenUsed/>
    <w:rsid w:val="00F13533"/>
    <w:rPr>
      <w:vertAlign w:val="superscript"/>
    </w:rPr>
  </w:style>
  <w:style w:type="character" w:styleId="Hipervnculo">
    <w:name w:val="Hyperlink"/>
    <w:basedOn w:val="Fuentedeprrafopredeter"/>
    <w:uiPriority w:val="99"/>
    <w:unhideWhenUsed/>
    <w:rsid w:val="00F13533"/>
    <w:rPr>
      <w:color w:val="0563C1" w:themeColor="hyperlink"/>
      <w:u w:val="single"/>
    </w:rPr>
  </w:style>
  <w:style w:type="character" w:customStyle="1" w:styleId="UnresolvedMention1">
    <w:name w:val="Unresolved Mention1"/>
    <w:basedOn w:val="Fuentedeprrafopredeter"/>
    <w:uiPriority w:val="99"/>
    <w:semiHidden/>
    <w:unhideWhenUsed/>
    <w:rsid w:val="00F13533"/>
    <w:rPr>
      <w:color w:val="605E5C"/>
      <w:shd w:val="clear" w:color="auto" w:fill="E1DFDD"/>
    </w:rPr>
  </w:style>
  <w:style w:type="paragraph" w:styleId="Revisin">
    <w:name w:val="Revision"/>
    <w:hidden/>
    <w:uiPriority w:val="99"/>
    <w:semiHidden/>
    <w:rsid w:val="00EE0647"/>
    <w:rPr>
      <w:sz w:val="24"/>
    </w:rPr>
  </w:style>
  <w:style w:type="character" w:styleId="Refdecomentario">
    <w:name w:val="annotation reference"/>
    <w:basedOn w:val="Fuentedeprrafopredeter"/>
    <w:uiPriority w:val="99"/>
    <w:semiHidden/>
    <w:unhideWhenUsed/>
    <w:rsid w:val="00EE0647"/>
    <w:rPr>
      <w:sz w:val="16"/>
      <w:szCs w:val="16"/>
    </w:rPr>
  </w:style>
  <w:style w:type="paragraph" w:styleId="Textocomentario">
    <w:name w:val="annotation text"/>
    <w:basedOn w:val="Normal"/>
    <w:link w:val="TextocomentarioCar"/>
    <w:uiPriority w:val="99"/>
    <w:semiHidden/>
    <w:unhideWhenUsed/>
    <w:rsid w:val="00EE0647"/>
    <w:rPr>
      <w:sz w:val="20"/>
    </w:rPr>
  </w:style>
  <w:style w:type="character" w:customStyle="1" w:styleId="TextocomentarioCar">
    <w:name w:val="Texto comentario Car"/>
    <w:basedOn w:val="Fuentedeprrafopredeter"/>
    <w:link w:val="Textocomentario"/>
    <w:uiPriority w:val="99"/>
    <w:semiHidden/>
    <w:rsid w:val="00EE0647"/>
  </w:style>
  <w:style w:type="paragraph" w:styleId="Asuntodelcomentario">
    <w:name w:val="annotation subject"/>
    <w:basedOn w:val="Textocomentario"/>
    <w:next w:val="Textocomentario"/>
    <w:link w:val="AsuntodelcomentarioCar"/>
    <w:uiPriority w:val="99"/>
    <w:semiHidden/>
    <w:unhideWhenUsed/>
    <w:rsid w:val="00EE0647"/>
    <w:rPr>
      <w:b/>
      <w:bCs/>
    </w:rPr>
  </w:style>
  <w:style w:type="character" w:customStyle="1" w:styleId="AsuntodelcomentarioCar">
    <w:name w:val="Asunto del comentario Car"/>
    <w:basedOn w:val="TextocomentarioCar"/>
    <w:link w:val="Asuntodelcomentario"/>
    <w:uiPriority w:val="99"/>
    <w:semiHidden/>
    <w:rsid w:val="00EE0647"/>
    <w:rPr>
      <w:b/>
      <w:bCs/>
    </w:rPr>
  </w:style>
  <w:style w:type="paragraph" w:styleId="Textodeglobo">
    <w:name w:val="Balloon Text"/>
    <w:basedOn w:val="Normal"/>
    <w:link w:val="TextodegloboCar"/>
    <w:uiPriority w:val="99"/>
    <w:semiHidden/>
    <w:unhideWhenUsed/>
    <w:rsid w:val="0011037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037A"/>
    <w:rPr>
      <w:rFonts w:ascii="Segoe UI" w:hAnsi="Segoe UI" w:cs="Segoe UI"/>
      <w:sz w:val="18"/>
      <w:szCs w:val="18"/>
    </w:rPr>
  </w:style>
  <w:style w:type="paragraph" w:styleId="Prrafodelista">
    <w:name w:val="List Paragraph"/>
    <w:basedOn w:val="Normal"/>
    <w:uiPriority w:val="34"/>
    <w:qFormat/>
    <w:rsid w:val="00D1295E"/>
    <w:pPr>
      <w:ind w:left="720"/>
      <w:contextualSpacing/>
    </w:pPr>
  </w:style>
  <w:style w:type="paragraph" w:customStyle="1" w:styleId="sectext">
    <w:name w:val="sectext"/>
    <w:rsid w:val="00D56804"/>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929</Words>
  <Characters>4965</Characters>
  <Application>Microsoft Office Word</Application>
  <DocSecurity>0</DocSecurity>
  <Lines>41</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LinksUpToDate>false</LinksUpToDate>
  <CharactersWithSpaces>5883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Rocío Alayón Morell</cp:lastModifiedBy>
  <cp:revision>3</cp:revision>
  <cp:lastPrinted>2025-08-05T14:46:00Z</cp:lastPrinted>
  <dcterms:created xsi:type="dcterms:W3CDTF">2025-08-04T15:45:00Z</dcterms:created>
  <dcterms:modified xsi:type="dcterms:W3CDTF">2025-08-05T14:46:00Z</dcterms:modified>
</cp:coreProperties>
</file>