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8B156A" w:rsidRDefault="00F13533" w:rsidP="00F13533">
      <w:pPr>
        <w:jc w:val="center"/>
        <w:rPr>
          <w:rFonts w:ascii="Book Antiqua" w:hAnsi="Book Antiqua"/>
          <w:szCs w:val="24"/>
          <w:lang w:val="es-ES_tradnl"/>
        </w:rPr>
      </w:pPr>
    </w:p>
    <w:p w14:paraId="6AE3905C" w14:textId="5007C980" w:rsidR="00F13533" w:rsidRPr="008B156A" w:rsidRDefault="00F13533" w:rsidP="008B156A">
      <w:pPr>
        <w:pStyle w:val="Title2"/>
        <w:tabs>
          <w:tab w:val="clear" w:pos="648"/>
          <w:tab w:val="clear" w:pos="7776"/>
          <w:tab w:val="clear" w:pos="7848"/>
        </w:tabs>
        <w:rPr>
          <w:rFonts w:ascii="Book Antiqua" w:hAnsi="Book Antiqua"/>
          <w:lang w:val="it-IT"/>
        </w:rPr>
      </w:pPr>
      <w:r w:rsidRPr="008B156A">
        <w:rPr>
          <w:rFonts w:ascii="Book Antiqua" w:hAnsi="Book Antiqua"/>
          <w:lang w:val="it-IT"/>
        </w:rPr>
        <w:t xml:space="preserve"> </w:t>
      </w:r>
      <w:r w:rsidR="008B156A" w:rsidRPr="008B156A">
        <w:rPr>
          <w:rFonts w:ascii="Book Antiqua" w:hAnsi="Book Antiqua"/>
          <w:lang w:val="it-IT"/>
        </w:rPr>
        <w:t>20ma.</w:t>
      </w:r>
      <w:r w:rsidRPr="008B156A">
        <w:rPr>
          <w:rFonts w:ascii="Book Antiqua" w:hAnsi="Book Antiqua"/>
          <w:lang w:val="it-IT"/>
        </w:rPr>
        <w:tab/>
      </w:r>
      <w:r w:rsidR="008B156A" w:rsidRPr="008B156A">
        <w:rPr>
          <w:rFonts w:ascii="Book Antiqua" w:hAnsi="Book Antiqua"/>
          <w:lang w:val="it-IT"/>
        </w:rPr>
        <w:t xml:space="preserve"> </w:t>
      </w:r>
      <w:r w:rsidRPr="008B156A">
        <w:rPr>
          <w:rFonts w:ascii="Book Antiqua" w:hAnsi="Book Antiqua"/>
          <w:lang w:val="it-IT"/>
        </w:rPr>
        <w:t>Asamblea</w:t>
      </w:r>
      <w:r w:rsidRP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t xml:space="preserve">                      2da. </w:t>
      </w:r>
      <w:r w:rsidRPr="008B156A">
        <w:rPr>
          <w:rFonts w:ascii="Book Antiqua" w:hAnsi="Book Antiqua"/>
          <w:lang w:val="it-IT"/>
        </w:rPr>
        <w:t>Sesión</w:t>
      </w:r>
    </w:p>
    <w:p w14:paraId="37260458" w14:textId="20085B7C" w:rsidR="00F13533" w:rsidRPr="008B156A" w:rsidRDefault="00F13533" w:rsidP="008B156A">
      <w:pPr>
        <w:pStyle w:val="Title2"/>
        <w:tabs>
          <w:tab w:val="clear" w:pos="648"/>
          <w:tab w:val="clear" w:pos="7776"/>
          <w:tab w:val="clear" w:pos="7848"/>
        </w:tabs>
        <w:rPr>
          <w:rFonts w:ascii="Book Antiqua" w:hAnsi="Book Antiqua"/>
          <w:lang w:val="it-IT"/>
        </w:rPr>
      </w:pPr>
      <w:r w:rsidRPr="008B156A">
        <w:rPr>
          <w:rFonts w:ascii="Book Antiqua" w:hAnsi="Book Antiqua"/>
          <w:lang w:val="it-IT"/>
        </w:rPr>
        <w:tab/>
      </w:r>
      <w:r w:rsidR="008B156A" w:rsidRPr="008B156A">
        <w:rPr>
          <w:rFonts w:ascii="Book Antiqua" w:hAnsi="Book Antiqua"/>
          <w:lang w:val="it-IT"/>
        </w:rPr>
        <w:t xml:space="preserve"> </w:t>
      </w:r>
      <w:r w:rsidRPr="008B156A">
        <w:rPr>
          <w:rFonts w:ascii="Book Antiqua" w:hAnsi="Book Antiqua"/>
          <w:lang w:val="it-IT"/>
        </w:rPr>
        <w:t>Legislativa</w:t>
      </w:r>
      <w:r w:rsidRPr="008B156A">
        <w:rPr>
          <w:rFonts w:ascii="Book Antiqua" w:hAnsi="Book Antiqua"/>
          <w:lang w:val="it-IT"/>
        </w:rPr>
        <w:tab/>
      </w:r>
      <w:r w:rsidRP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r>
      <w:r w:rsidR="008B156A">
        <w:rPr>
          <w:rFonts w:ascii="Book Antiqua" w:hAnsi="Book Antiqua"/>
          <w:lang w:val="it-IT"/>
        </w:rPr>
        <w:tab/>
        <w:t xml:space="preserve">      </w:t>
      </w:r>
      <w:r w:rsidRPr="008B156A">
        <w:rPr>
          <w:rFonts w:ascii="Book Antiqua" w:hAnsi="Book Antiqua"/>
          <w:lang w:val="it-IT"/>
        </w:rPr>
        <w:t>Ordinaria</w:t>
      </w:r>
    </w:p>
    <w:p w14:paraId="4881859A" w14:textId="77777777" w:rsidR="00F13533" w:rsidRPr="008B156A" w:rsidRDefault="00F13533" w:rsidP="00F13533">
      <w:pPr>
        <w:rPr>
          <w:rFonts w:ascii="Book Antiqua" w:hAnsi="Book Antiqua"/>
          <w:lang w:val="it-IT"/>
        </w:rPr>
      </w:pPr>
    </w:p>
    <w:p w14:paraId="2BEF326C" w14:textId="77777777" w:rsidR="00F13533" w:rsidRPr="004F6F8E" w:rsidRDefault="00F13533" w:rsidP="008B156A">
      <w:pPr>
        <w:jc w:val="center"/>
        <w:rPr>
          <w:rFonts w:ascii="Book Antiqua" w:hAnsi="Book Antiqua"/>
          <w:b/>
          <w:sz w:val="36"/>
          <w:lang w:val="es-ES_tradnl"/>
        </w:rPr>
      </w:pPr>
      <w:r w:rsidRPr="004F6F8E">
        <w:rPr>
          <w:rFonts w:ascii="Book Antiqua" w:hAnsi="Book Antiqua"/>
          <w:b/>
          <w:sz w:val="36"/>
          <w:lang w:val="es-ES_tradnl"/>
        </w:rPr>
        <w:t>CÁMARA DE REPRESENTANTES</w:t>
      </w:r>
    </w:p>
    <w:p w14:paraId="70BD1FD2" w14:textId="77777777" w:rsidR="008B156A" w:rsidRPr="008B156A" w:rsidRDefault="008B156A" w:rsidP="008B156A">
      <w:pPr>
        <w:jc w:val="center"/>
        <w:rPr>
          <w:rFonts w:ascii="Book Antiqua" w:hAnsi="Book Antiqua"/>
          <w:b/>
          <w:szCs w:val="24"/>
          <w:lang w:val="es-ES_tradnl"/>
        </w:rPr>
      </w:pPr>
    </w:p>
    <w:p w14:paraId="279BFDBC" w14:textId="567F67C7" w:rsidR="00F13533" w:rsidRPr="004F6F8E" w:rsidRDefault="00F13533" w:rsidP="008B156A">
      <w:pPr>
        <w:jc w:val="center"/>
        <w:rPr>
          <w:rFonts w:ascii="Book Antiqua" w:hAnsi="Book Antiqua"/>
          <w:b/>
          <w:sz w:val="52"/>
          <w:lang w:val="es-ES_tradnl"/>
        </w:rPr>
      </w:pPr>
      <w:r w:rsidRPr="004F6F8E">
        <w:rPr>
          <w:rFonts w:ascii="Book Antiqua" w:hAnsi="Book Antiqua"/>
          <w:b/>
          <w:sz w:val="52"/>
          <w:lang w:val="es-ES_tradnl"/>
        </w:rPr>
        <w:t xml:space="preserve">P. de la C. </w:t>
      </w:r>
      <w:r w:rsidR="00E86979">
        <w:rPr>
          <w:rFonts w:ascii="Book Antiqua" w:hAnsi="Book Antiqua"/>
          <w:b/>
          <w:sz w:val="52"/>
          <w:lang w:val="es-ES_tradnl"/>
        </w:rPr>
        <w:t>748</w:t>
      </w:r>
    </w:p>
    <w:p w14:paraId="58A5CC09" w14:textId="77777777" w:rsidR="008B156A" w:rsidRDefault="008B156A" w:rsidP="008B156A">
      <w:pPr>
        <w:jc w:val="center"/>
        <w:rPr>
          <w:rFonts w:ascii="Book Antiqua" w:hAnsi="Book Antiqua"/>
          <w:lang w:val="es-ES_tradnl"/>
        </w:rPr>
      </w:pPr>
    </w:p>
    <w:p w14:paraId="2661CC12" w14:textId="227AB606" w:rsidR="00F13533" w:rsidRDefault="00C27293" w:rsidP="008B156A">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8B156A">
      <w:pPr>
        <w:jc w:val="center"/>
        <w:rPr>
          <w:rFonts w:ascii="Book Antiqua" w:hAnsi="Book Antiqua"/>
          <w:lang w:val="es-ES_tradnl"/>
        </w:rPr>
      </w:pPr>
    </w:p>
    <w:p w14:paraId="169A5302" w14:textId="77777777" w:rsidR="008B156A" w:rsidRDefault="00F13533" w:rsidP="008B156A">
      <w:pPr>
        <w:jc w:val="center"/>
        <w:rPr>
          <w:rFonts w:ascii="Book Antiqua" w:hAnsi="Book Antiqua"/>
          <w:i/>
          <w:iCs/>
          <w:lang w:val="es-ES_tradnl"/>
        </w:rPr>
      </w:pPr>
      <w:r w:rsidRPr="004F6F8E">
        <w:rPr>
          <w:rFonts w:ascii="Book Antiqua" w:hAnsi="Book Antiqua"/>
          <w:lang w:val="es-ES_tradnl"/>
        </w:rPr>
        <w:t xml:space="preserve">Presentado por </w:t>
      </w:r>
      <w:r w:rsidR="008B156A">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 xml:space="preserve">árquez Lebrón </w:t>
      </w:r>
    </w:p>
    <w:p w14:paraId="10DE9FEA" w14:textId="6035DD09" w:rsidR="00F13533" w:rsidRPr="004F6F8E" w:rsidRDefault="008B156A" w:rsidP="008B156A">
      <w:pPr>
        <w:jc w:val="center"/>
        <w:rPr>
          <w:rFonts w:ascii="Book Antiqua" w:hAnsi="Book Antiqua"/>
          <w:i/>
          <w:iCs/>
          <w:lang w:val="es-ES_tradnl"/>
        </w:rPr>
      </w:pPr>
      <w:r w:rsidRPr="008B156A">
        <w:rPr>
          <w:rFonts w:ascii="Book Antiqua" w:hAnsi="Book Antiqua"/>
          <w:lang w:val="es-ES_tradnl"/>
        </w:rPr>
        <w:t>y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8B156A">
        <w:rPr>
          <w:rFonts w:ascii="Book Antiqua" w:hAnsi="Book Antiqua"/>
          <w:lang w:val="es-ES_tradnl"/>
        </w:rPr>
        <w:t>y</w:t>
      </w:r>
      <w:r w:rsidR="00034585" w:rsidRPr="004F6F8E">
        <w:rPr>
          <w:rFonts w:ascii="Book Antiqua" w:hAnsi="Book Antiqua"/>
          <w:i/>
          <w:iCs/>
          <w:lang w:val="es-ES_tradnl"/>
        </w:rPr>
        <w:t xml:space="preserve"> Lebrón Robles</w:t>
      </w:r>
    </w:p>
    <w:p w14:paraId="41B14A0A" w14:textId="77777777" w:rsidR="008B156A" w:rsidRDefault="008B156A" w:rsidP="008B156A">
      <w:pPr>
        <w:jc w:val="center"/>
        <w:rPr>
          <w:rFonts w:ascii="Book Antiqua" w:hAnsi="Book Antiqua"/>
          <w:lang w:val="es-ES_tradnl"/>
        </w:rPr>
      </w:pPr>
    </w:p>
    <w:p w14:paraId="47A99186" w14:textId="222F4FF9" w:rsidR="00F13533" w:rsidRPr="004F6F8E" w:rsidRDefault="00F13533" w:rsidP="008B156A">
      <w:pPr>
        <w:jc w:val="center"/>
        <w:rPr>
          <w:rFonts w:ascii="Book Antiqua" w:hAnsi="Book Antiqua"/>
          <w:lang w:val="es-ES_tradnl"/>
        </w:rPr>
      </w:pPr>
      <w:r w:rsidRPr="004F6F8E">
        <w:rPr>
          <w:rFonts w:ascii="Book Antiqua" w:hAnsi="Book Antiqua"/>
          <w:lang w:val="es-ES_tradnl"/>
        </w:rPr>
        <w:t xml:space="preserve">Referido a </w:t>
      </w:r>
      <w:r w:rsidR="008B156A">
        <w:rPr>
          <w:rFonts w:ascii="Book Antiqua" w:hAnsi="Book Antiqua"/>
          <w:lang w:val="es-ES_tradnl"/>
        </w:rPr>
        <w:t>la Comisión de Turismo</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2BE989B7" w:rsidR="00F13533" w:rsidRDefault="00782D50" w:rsidP="008B156A">
      <w:pPr>
        <w:ind w:left="720" w:hanging="720"/>
        <w:jc w:val="both"/>
        <w:rPr>
          <w:rFonts w:ascii="Book Antiqua" w:hAnsi="Book Antiqua"/>
          <w:lang w:val="es-ES_tradnl"/>
        </w:rPr>
      </w:pPr>
      <w:r w:rsidRPr="00782D50">
        <w:rPr>
          <w:rFonts w:ascii="Book Antiqua" w:hAnsi="Book Antiqua"/>
          <w:lang w:val="es-ES_tradnl"/>
        </w:rPr>
        <w:t xml:space="preserve">Para </w:t>
      </w:r>
      <w:r w:rsidR="006C1B4C" w:rsidRPr="000617B0">
        <w:rPr>
          <w:rFonts w:ascii="Book Antiqua" w:hAnsi="Book Antiqua"/>
          <w:lang w:val="es-ES_tradnl"/>
        </w:rPr>
        <w:t>declarar Monumento y Lugar de Valor Histórico el Polvorín de Miraflores, localizado en la Isla Grande del Municipio de San Juan.</w:t>
      </w:r>
    </w:p>
    <w:p w14:paraId="656286AE" w14:textId="77777777" w:rsidR="008B156A" w:rsidRPr="004F6F8E" w:rsidRDefault="008B156A" w:rsidP="008B156A">
      <w:pPr>
        <w:ind w:left="720" w:hanging="720"/>
        <w:jc w:val="both"/>
        <w:rPr>
          <w:rFonts w:ascii="Book Antiqua" w:hAnsi="Book Antiqua"/>
          <w:lang w:val="es-ES"/>
        </w:rPr>
      </w:pPr>
    </w:p>
    <w:p w14:paraId="2CA23802" w14:textId="016515A5" w:rsidR="00F13533" w:rsidRDefault="00F13533" w:rsidP="008B156A">
      <w:pPr>
        <w:ind w:firstLine="360"/>
        <w:jc w:val="center"/>
        <w:rPr>
          <w:rFonts w:ascii="Book Antiqua" w:hAnsi="Book Antiqua"/>
          <w:lang w:val="es-ES_tradnl"/>
        </w:rPr>
      </w:pPr>
      <w:r w:rsidRPr="004F6F8E">
        <w:rPr>
          <w:rFonts w:ascii="Book Antiqua" w:hAnsi="Book Antiqua"/>
          <w:lang w:val="es-ES_tradnl"/>
        </w:rPr>
        <w:t>EXPOSICIÓN DE MOTIVOS</w:t>
      </w:r>
    </w:p>
    <w:p w14:paraId="14618897" w14:textId="77777777" w:rsidR="008B156A" w:rsidRPr="004F6F8E" w:rsidRDefault="008B156A" w:rsidP="008B156A">
      <w:pPr>
        <w:ind w:firstLine="360"/>
        <w:jc w:val="center"/>
        <w:rPr>
          <w:rFonts w:ascii="Book Antiqua" w:hAnsi="Book Antiqua"/>
          <w:lang w:val="es-ES_tradnl"/>
        </w:rPr>
      </w:pPr>
    </w:p>
    <w:p w14:paraId="64234ED2" w14:textId="77777777" w:rsidR="006C1B4C" w:rsidRDefault="006C1B4C" w:rsidP="008B156A">
      <w:pPr>
        <w:ind w:firstLine="360"/>
        <w:jc w:val="both"/>
        <w:rPr>
          <w:rFonts w:ascii="Book Antiqua" w:hAnsi="Book Antiqua"/>
          <w:lang w:val="es-ES_tradnl"/>
        </w:rPr>
      </w:pPr>
      <w:r w:rsidRPr="000617B0">
        <w:rPr>
          <w:rFonts w:ascii="Book Antiqua" w:hAnsi="Book Antiqua"/>
          <w:lang w:val="es-ES_tradnl"/>
        </w:rPr>
        <w:t>El Gobierno de Puerto Rico tiene la obligación de velar por la más ardua protección de nuestros recursos.  Dicha obligación incluye la responsabilidad de proteger nuestro patrimonio histórico y cultural, especialmente aquel que marca momentos importantes de nuestro desarrollo como pueblo.  Ejemplo de ese patrimonio cultural lo constituye lo que el destacado urbanista y Catedrático de la UPR, Dr. Aníbal Sepúlveda, ha descrito como "varias estructuras de valor histórico y cultural, no solo para Puerto Rico y Estados Unidos, sino para todo el Caribe... y también para Irlanda": el Polvorín de Miraflores, patrimonio ubicado cerca de importantes monumentos históricos en Isla Grande.</w:t>
      </w:r>
    </w:p>
    <w:p w14:paraId="3993C6C6" w14:textId="77777777" w:rsidR="006C1B4C" w:rsidRPr="000617B0" w:rsidRDefault="006C1B4C" w:rsidP="008B156A">
      <w:pPr>
        <w:ind w:firstLine="360"/>
        <w:jc w:val="both"/>
        <w:rPr>
          <w:rFonts w:ascii="Book Antiqua" w:hAnsi="Book Antiqua"/>
          <w:lang w:val="es-ES_tradnl"/>
        </w:rPr>
      </w:pPr>
    </w:p>
    <w:p w14:paraId="753D76C3" w14:textId="49005C84"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Las investigaciones históricas confirman que se trata </w:t>
      </w:r>
      <w:r w:rsidR="002F0D8B">
        <w:rPr>
          <w:rFonts w:ascii="Book Antiqua" w:hAnsi="Book Antiqua"/>
          <w:lang w:val="es-ES_tradnl"/>
        </w:rPr>
        <w:t>“</w:t>
      </w:r>
      <w:r w:rsidRPr="000617B0">
        <w:rPr>
          <w:rFonts w:ascii="Book Antiqua" w:hAnsi="Book Antiqua"/>
          <w:lang w:val="es-ES_tradnl"/>
        </w:rPr>
        <w:t>del único Almacén de Pólvora (</w:t>
      </w:r>
      <w:proofErr w:type="spellStart"/>
      <w:r w:rsidRPr="000617B0">
        <w:rPr>
          <w:rFonts w:ascii="Book Antiqua" w:hAnsi="Book Antiqua"/>
          <w:lang w:val="es-ES_tradnl"/>
        </w:rPr>
        <w:t>Powder</w:t>
      </w:r>
      <w:proofErr w:type="spellEnd"/>
      <w:r w:rsidRPr="000617B0">
        <w:rPr>
          <w:rFonts w:ascii="Book Antiqua" w:hAnsi="Book Antiqua"/>
          <w:lang w:val="es-ES_tradnl"/>
        </w:rPr>
        <w:t xml:space="preserve"> Magazine, en inglés) que sobrevive con su Casa de Guardia, que era el edificio donde se alojaban los soldados a su cargo.  El conjunto también tenía un muelle y una fuente que almacenaba el agua de un manantial.  Se le puso Miraflores porque así se llamaba este lugar de memoria, fuera de la isleta</w:t>
      </w:r>
      <w:r w:rsidR="002F0D8B">
        <w:rPr>
          <w:rFonts w:ascii="Book Antiqua" w:hAnsi="Book Antiqua"/>
          <w:lang w:val="es-ES_tradnl"/>
        </w:rPr>
        <w:t>”</w:t>
      </w:r>
      <w:r w:rsidRPr="000617B0">
        <w:rPr>
          <w:rFonts w:ascii="Book Antiqua" w:hAnsi="Book Antiqua"/>
          <w:lang w:val="es-ES_tradnl"/>
        </w:rPr>
        <w:t>.</w:t>
      </w:r>
    </w:p>
    <w:p w14:paraId="52021910" w14:textId="77777777" w:rsidR="006C1B4C" w:rsidRPr="000617B0" w:rsidRDefault="006C1B4C" w:rsidP="008B156A">
      <w:pPr>
        <w:ind w:firstLine="360"/>
        <w:jc w:val="both"/>
        <w:rPr>
          <w:rFonts w:ascii="Book Antiqua" w:hAnsi="Book Antiqua"/>
          <w:lang w:val="es-ES_tradnl"/>
        </w:rPr>
      </w:pPr>
    </w:p>
    <w:p w14:paraId="35886F54" w14:textId="35DF9071"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En un escrito reciente del Dr. Sepúlveda se describe que </w:t>
      </w:r>
      <w:r w:rsidR="002F0D8B">
        <w:rPr>
          <w:rFonts w:ascii="Book Antiqua" w:hAnsi="Book Antiqua"/>
          <w:lang w:val="es-ES_tradnl"/>
        </w:rPr>
        <w:t>“</w:t>
      </w:r>
      <w:r w:rsidRPr="000617B0">
        <w:rPr>
          <w:rFonts w:ascii="Book Antiqua" w:hAnsi="Book Antiqua"/>
          <w:lang w:val="es-ES_tradnl"/>
        </w:rPr>
        <w:t xml:space="preserve">estas piezas de ingeniería militar, que se construyeron durante la modernización del sistema de murallas en el último tercio del siglo 18, son perfectamente recuperables...  El Almacén de Pólvora, la </w:t>
      </w:r>
      <w:r w:rsidRPr="000617B0">
        <w:rPr>
          <w:rFonts w:ascii="Book Antiqua" w:hAnsi="Book Antiqua"/>
          <w:lang w:val="es-ES_tradnl"/>
        </w:rPr>
        <w:lastRenderedPageBreak/>
        <w:t xml:space="preserve">Casa de Guardia y el muelle de Miraflores fueron diseñados por el ingeniero Thomas </w:t>
      </w:r>
      <w:proofErr w:type="spellStart"/>
      <w:r w:rsidRPr="000617B0">
        <w:rPr>
          <w:rFonts w:ascii="Book Antiqua" w:hAnsi="Book Antiqua"/>
          <w:lang w:val="es-ES_tradnl"/>
        </w:rPr>
        <w:t>O’Daly</w:t>
      </w:r>
      <w:proofErr w:type="spellEnd"/>
      <w:r w:rsidRPr="000617B0">
        <w:rPr>
          <w:rFonts w:ascii="Book Antiqua" w:hAnsi="Book Antiqua"/>
          <w:lang w:val="es-ES_tradnl"/>
        </w:rPr>
        <w:t xml:space="preserve"> en 1776, el año en que se proclamó la independencia de Estados Unidos</w:t>
      </w:r>
      <w:r w:rsidR="002F0D8B">
        <w:rPr>
          <w:rFonts w:ascii="Book Antiqua" w:hAnsi="Book Antiqua"/>
          <w:lang w:val="es-ES_tradnl"/>
        </w:rPr>
        <w:t>”</w:t>
      </w:r>
      <w:r w:rsidRPr="000617B0">
        <w:rPr>
          <w:rFonts w:ascii="Book Antiqua" w:hAnsi="Book Antiqua"/>
          <w:lang w:val="es-ES_tradnl"/>
        </w:rPr>
        <w:t>.</w:t>
      </w:r>
    </w:p>
    <w:p w14:paraId="7306F4DA" w14:textId="77777777" w:rsidR="008B156A" w:rsidRDefault="008B156A" w:rsidP="008B156A">
      <w:pPr>
        <w:ind w:firstLine="360"/>
        <w:jc w:val="both"/>
        <w:rPr>
          <w:rFonts w:ascii="Book Antiqua" w:hAnsi="Book Antiqua"/>
          <w:lang w:val="es-ES_tradnl"/>
        </w:rPr>
      </w:pPr>
    </w:p>
    <w:p w14:paraId="49E29012" w14:textId="16FB6F01"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Añade el escrito del Dr. Sepúlveda que </w:t>
      </w:r>
      <w:r w:rsidR="002F0D8B">
        <w:rPr>
          <w:rFonts w:ascii="Book Antiqua" w:hAnsi="Book Antiqua"/>
          <w:lang w:val="es-ES_tradnl"/>
        </w:rPr>
        <w:t>“</w:t>
      </w:r>
      <w:r w:rsidRPr="000617B0">
        <w:rPr>
          <w:rFonts w:ascii="Book Antiqua" w:hAnsi="Book Antiqua"/>
          <w:lang w:val="es-ES_tradnl"/>
        </w:rPr>
        <w:t>el Polvorín de Miraflores se estrenó en batalla poco después de construido.  El 17 de abril de 1797, una poderosa armada inglesa con más de 60 barcos intentó invadir a San Juan.  Miraflores estuvo en la primera fila del conflicto a lo largo de trece días hasta que los ingleses levaron anclas derrotados</w:t>
      </w:r>
      <w:r w:rsidR="002F0D8B">
        <w:rPr>
          <w:rFonts w:ascii="Book Antiqua" w:hAnsi="Book Antiqua"/>
          <w:lang w:val="es-ES_tradnl"/>
        </w:rPr>
        <w:t>”</w:t>
      </w:r>
      <w:r w:rsidRPr="000617B0">
        <w:rPr>
          <w:rFonts w:ascii="Book Antiqua" w:hAnsi="Book Antiqua"/>
          <w:lang w:val="es-ES_tradnl"/>
        </w:rPr>
        <w:t>.</w:t>
      </w:r>
    </w:p>
    <w:p w14:paraId="13BDE30D" w14:textId="77777777" w:rsidR="006C1B4C" w:rsidRPr="000617B0" w:rsidRDefault="006C1B4C" w:rsidP="008B156A">
      <w:pPr>
        <w:ind w:firstLine="360"/>
        <w:jc w:val="both"/>
        <w:rPr>
          <w:rFonts w:ascii="Book Antiqua" w:hAnsi="Book Antiqua"/>
          <w:lang w:val="es-ES_tradnl"/>
        </w:rPr>
      </w:pPr>
    </w:p>
    <w:p w14:paraId="76BC1B66" w14:textId="77777777"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En una </w:t>
      </w:r>
      <w:r>
        <w:rPr>
          <w:rFonts w:ascii="Book Antiqua" w:hAnsi="Book Antiqua"/>
          <w:lang w:val="es-ES_tradnl"/>
        </w:rPr>
        <w:t>visita</w:t>
      </w:r>
      <w:r w:rsidRPr="000617B0">
        <w:rPr>
          <w:rFonts w:ascii="Book Antiqua" w:hAnsi="Book Antiqua"/>
          <w:lang w:val="es-ES_tradnl"/>
        </w:rPr>
        <w:t xml:space="preserve"> realizada por el Representante Denis Márquez Lebrón y miembros de su equipo de trabajo se corroboró el estado de avanzado deterioro en que se encuentra esta joya de la ingeniería militar del siglo XVIII.  Resulta inconcebible que esta importante pieza de nuestro patrimonio haya sido abandonada de tal forma.  Afortunadamente, el Fideicomiso de Conservación (Para la Naturaleza) cuenta con numerosos mapas, dibujos y fotografías que muestran el conjunto histórico.  Este material de archivo ayudará hoy día a su recuperación. </w:t>
      </w:r>
    </w:p>
    <w:p w14:paraId="2974024E" w14:textId="77777777" w:rsidR="006C1B4C" w:rsidRPr="000617B0" w:rsidRDefault="006C1B4C" w:rsidP="008B156A">
      <w:pPr>
        <w:ind w:firstLine="360"/>
        <w:jc w:val="both"/>
        <w:rPr>
          <w:rFonts w:ascii="Book Antiqua" w:hAnsi="Book Antiqua"/>
          <w:lang w:val="es-ES_tradnl"/>
        </w:rPr>
      </w:pPr>
    </w:p>
    <w:p w14:paraId="628933B0" w14:textId="186125E5"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Además, las investigaciones del Dr. Sepúlveda, realizadas como parte de su trabajo profesional para Para la Naturaleza señalan que </w:t>
      </w:r>
      <w:r w:rsidR="002F0D8B">
        <w:rPr>
          <w:rFonts w:ascii="Book Antiqua" w:hAnsi="Book Antiqua"/>
          <w:lang w:val="es-ES_tradnl"/>
        </w:rPr>
        <w:t>“</w:t>
      </w:r>
      <w:r w:rsidRPr="000617B0">
        <w:rPr>
          <w:rFonts w:ascii="Book Antiqua" w:hAnsi="Book Antiqua"/>
          <w:lang w:val="es-ES_tradnl"/>
        </w:rPr>
        <w:t>ya durante el periodo norteamericano, desde 1898, Miraflores se convirtió en una Estación de Cuarentena.  Allí se albergaban los pasajeros de barcos procedentes de lugares donde había epidemias.  Médicos puertorriqueños atendieron por muchos años la estación</w:t>
      </w:r>
      <w:r w:rsidR="002F0D8B">
        <w:rPr>
          <w:rFonts w:ascii="Book Antiqua" w:hAnsi="Book Antiqua"/>
          <w:lang w:val="es-ES_tradnl"/>
        </w:rPr>
        <w:t>”</w:t>
      </w:r>
      <w:r w:rsidRPr="000617B0">
        <w:rPr>
          <w:rFonts w:ascii="Book Antiqua" w:hAnsi="Book Antiqua"/>
          <w:lang w:val="es-ES_tradnl"/>
        </w:rPr>
        <w:t xml:space="preserve">.  De hecho, el conjunto de estructuras del Polvorín de Miraflores está registrado en el </w:t>
      </w:r>
      <w:proofErr w:type="spellStart"/>
      <w:r w:rsidRPr="000617B0">
        <w:rPr>
          <w:rFonts w:ascii="Book Antiqua" w:hAnsi="Book Antiqua"/>
          <w:lang w:val="es-ES_tradnl"/>
        </w:rPr>
        <w:t>United</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States</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Department</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of</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the</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Interior's</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National</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Register</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of</w:t>
      </w:r>
      <w:proofErr w:type="spellEnd"/>
      <w:r w:rsidRPr="000617B0">
        <w:rPr>
          <w:rFonts w:ascii="Book Antiqua" w:hAnsi="Book Antiqua"/>
          <w:lang w:val="es-ES_tradnl"/>
        </w:rPr>
        <w:t xml:space="preserve"> </w:t>
      </w:r>
      <w:proofErr w:type="spellStart"/>
      <w:r w:rsidRPr="000617B0">
        <w:rPr>
          <w:rFonts w:ascii="Book Antiqua" w:hAnsi="Book Antiqua"/>
          <w:lang w:val="es-ES_tradnl"/>
        </w:rPr>
        <w:t>Historic</w:t>
      </w:r>
      <w:proofErr w:type="spellEnd"/>
      <w:r w:rsidRPr="000617B0">
        <w:rPr>
          <w:rFonts w:ascii="Book Antiqua" w:hAnsi="Book Antiqua"/>
          <w:lang w:val="es-ES_tradnl"/>
        </w:rPr>
        <w:t xml:space="preserve"> Places desde 1984. </w:t>
      </w:r>
    </w:p>
    <w:p w14:paraId="4490E079" w14:textId="77777777" w:rsidR="006C1B4C" w:rsidRPr="000617B0" w:rsidRDefault="006C1B4C" w:rsidP="008B156A">
      <w:pPr>
        <w:ind w:firstLine="360"/>
        <w:jc w:val="both"/>
        <w:rPr>
          <w:rFonts w:ascii="Book Antiqua" w:hAnsi="Book Antiqua"/>
          <w:lang w:val="es-ES_tradnl"/>
        </w:rPr>
      </w:pPr>
    </w:p>
    <w:p w14:paraId="05004D44" w14:textId="0B4B1D9B" w:rsidR="006C1B4C" w:rsidRDefault="006C1B4C" w:rsidP="008B156A">
      <w:pPr>
        <w:ind w:firstLine="360"/>
        <w:jc w:val="both"/>
        <w:rPr>
          <w:rFonts w:ascii="Book Antiqua" w:hAnsi="Book Antiqua"/>
          <w:lang w:val="es-ES_tradnl"/>
        </w:rPr>
      </w:pPr>
      <w:r w:rsidRPr="000617B0">
        <w:rPr>
          <w:rFonts w:ascii="Book Antiqua" w:hAnsi="Book Antiqua"/>
          <w:lang w:val="es-ES_tradnl"/>
        </w:rPr>
        <w:t xml:space="preserve">Los urbanistas, arquitectos y planificadores urbanos están convencidos de que, </w:t>
      </w:r>
      <w:r w:rsidR="002F0D8B">
        <w:rPr>
          <w:rFonts w:ascii="Book Antiqua" w:hAnsi="Book Antiqua"/>
          <w:lang w:val="es-ES_tradnl"/>
        </w:rPr>
        <w:t>“</w:t>
      </w:r>
      <w:r w:rsidRPr="000617B0">
        <w:rPr>
          <w:rFonts w:ascii="Book Antiqua" w:hAnsi="Book Antiqua"/>
          <w:lang w:val="es-ES_tradnl"/>
        </w:rPr>
        <w:t>si aunamos esfuerzos de preservación con una pequeña dosis de imaginación, no solo cumpliríamos con la responsabilidad de aquella designación, sino que podríamos insuflar algo de magia en los predios del Centro de Convenciones</w:t>
      </w:r>
      <w:r w:rsidR="002F0D8B">
        <w:rPr>
          <w:rFonts w:ascii="Book Antiqua" w:hAnsi="Book Antiqua"/>
          <w:lang w:val="es-ES_tradnl"/>
        </w:rPr>
        <w:t>”</w:t>
      </w:r>
      <w:r w:rsidRPr="000617B0">
        <w:rPr>
          <w:rFonts w:ascii="Book Antiqua" w:hAnsi="Book Antiqua"/>
          <w:lang w:val="es-ES_tradnl"/>
        </w:rPr>
        <w:t>.  Es necesario tomar cartas en el asunto para proteger una de las estructuras centenarias aún en existencia.  A esos fines, resulta imperativo asegurar que el Polvorín de Miraflores quede protegido.</w:t>
      </w:r>
    </w:p>
    <w:p w14:paraId="4646ED86" w14:textId="77777777" w:rsidR="008B156A" w:rsidRDefault="008B156A" w:rsidP="008B156A">
      <w:pPr>
        <w:ind w:firstLine="360"/>
        <w:jc w:val="both"/>
        <w:rPr>
          <w:rFonts w:ascii="Book Antiqua" w:hAnsi="Book Antiqua"/>
          <w:lang w:val="es-ES_tradnl"/>
        </w:rPr>
      </w:pPr>
    </w:p>
    <w:p w14:paraId="1E5914D6" w14:textId="4229524B" w:rsidR="00E71830" w:rsidRDefault="006C1B4C" w:rsidP="008B156A">
      <w:pPr>
        <w:ind w:firstLine="360"/>
        <w:jc w:val="both"/>
        <w:rPr>
          <w:rFonts w:ascii="Book Antiqua" w:hAnsi="Book Antiqua"/>
          <w:lang w:val="es-ES_tradnl"/>
        </w:rPr>
      </w:pPr>
      <w:r w:rsidRPr="000617B0">
        <w:rPr>
          <w:rFonts w:ascii="Book Antiqua" w:hAnsi="Book Antiqua"/>
          <w:lang w:val="es-ES_tradnl"/>
        </w:rPr>
        <w:t>Por esa razón, a la Asamblea Legislativa de Puerto Rico, como representante del interés público, declara Monumento y Lugar de Valor Histórico el Polvorín de Miraflores, localizado en la Isla Grande del Municipio de San Juan.</w:t>
      </w:r>
    </w:p>
    <w:p w14:paraId="692C7511" w14:textId="77777777" w:rsidR="006C1B4C" w:rsidRDefault="006C1B4C" w:rsidP="006C1B4C">
      <w:pPr>
        <w:rPr>
          <w:rFonts w:ascii="Book Antiqua" w:hAnsi="Book Antiqua"/>
          <w:lang w:val="es-ES_tradnl"/>
        </w:rPr>
      </w:pPr>
    </w:p>
    <w:p w14:paraId="7674B2AD" w14:textId="0527F69C" w:rsidR="00F13533" w:rsidRPr="004F6F8E" w:rsidRDefault="00F13533" w:rsidP="006C1B4C">
      <w:pPr>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1416714" w14:textId="77777777" w:rsidR="002F0D8B" w:rsidRPr="000617B0" w:rsidRDefault="002F0D8B" w:rsidP="002F0D8B">
      <w:pPr>
        <w:spacing w:before="240" w:line="480" w:lineRule="auto"/>
        <w:ind w:firstLine="360"/>
        <w:jc w:val="both"/>
        <w:rPr>
          <w:rFonts w:ascii="Book Antiqua" w:hAnsi="Book Antiqua"/>
          <w:lang w:val="es-ES_tradnl"/>
        </w:rPr>
      </w:pPr>
      <w:r w:rsidRPr="000617B0">
        <w:rPr>
          <w:rFonts w:ascii="Book Antiqua" w:hAnsi="Book Antiqua"/>
          <w:lang w:val="es-ES_tradnl"/>
        </w:rPr>
        <w:t>Artículo 1.</w:t>
      </w:r>
      <w:r>
        <w:rPr>
          <w:rFonts w:ascii="Book Antiqua" w:hAnsi="Book Antiqua"/>
          <w:lang w:val="es-ES_tradnl"/>
        </w:rPr>
        <w:t xml:space="preserve"> – </w:t>
      </w:r>
      <w:r w:rsidRPr="000617B0">
        <w:rPr>
          <w:rFonts w:ascii="Book Antiqua" w:hAnsi="Book Antiqua"/>
          <w:lang w:val="es-ES_tradnl"/>
        </w:rPr>
        <w:t xml:space="preserve">Se declara Monumento y Lugar de Valor Histórico el Polvorín de Miraflores, localizado en la Isla Grande del Municipio de San Juan, al amparo de la Ley </w:t>
      </w:r>
      <w:r w:rsidRPr="000617B0">
        <w:rPr>
          <w:rFonts w:ascii="Book Antiqua" w:hAnsi="Book Antiqua"/>
          <w:lang w:val="es-ES_tradnl"/>
        </w:rPr>
        <w:lastRenderedPageBreak/>
        <w:t>Núm. 374 de 14 de mayo de 1949, según enmendada, mejor conocida como la “Ley de Zonas Históricas, Antiguas o de Interés Turístico”.</w:t>
      </w:r>
    </w:p>
    <w:p w14:paraId="351C2516" w14:textId="77777777" w:rsidR="002F0D8B" w:rsidRPr="000617B0" w:rsidRDefault="002F0D8B" w:rsidP="002F0D8B">
      <w:pPr>
        <w:spacing w:line="480" w:lineRule="auto"/>
        <w:ind w:firstLine="360"/>
        <w:jc w:val="both"/>
        <w:rPr>
          <w:rFonts w:ascii="Book Antiqua" w:hAnsi="Book Antiqua"/>
          <w:lang w:val="es-ES_tradnl"/>
        </w:rPr>
      </w:pPr>
      <w:r w:rsidRPr="000617B0">
        <w:rPr>
          <w:rFonts w:ascii="Book Antiqua" w:hAnsi="Book Antiqua"/>
          <w:lang w:val="es-ES_tradnl"/>
        </w:rPr>
        <w:t>Artículo 2.</w:t>
      </w:r>
      <w:r>
        <w:rPr>
          <w:rFonts w:ascii="Book Antiqua" w:hAnsi="Book Antiqua"/>
          <w:lang w:val="es-ES_tradnl"/>
        </w:rPr>
        <w:t xml:space="preserve"> – </w:t>
      </w:r>
      <w:r w:rsidRPr="000617B0">
        <w:rPr>
          <w:rFonts w:ascii="Book Antiqua" w:hAnsi="Book Antiqua"/>
          <w:lang w:val="es-ES_tradnl"/>
        </w:rPr>
        <w:t xml:space="preserve">La Junta de Planificación, en coordinación con el Instituto de Cultura Puertorriqueña y la Oficina de Conservación Histórica con el endoso se este, deberá hacer todas las gestiones administrativas necesarias para conservar, preservar y mantener bajo su custodia la estructura del Polvorín de Miraflores para el disfrute de las presentes y futuras generaciones. </w:t>
      </w:r>
    </w:p>
    <w:p w14:paraId="14DE6C7B" w14:textId="13C78706" w:rsidR="00173FD0" w:rsidRPr="00BC6728" w:rsidRDefault="002F0D8B" w:rsidP="002F0D8B">
      <w:pPr>
        <w:spacing w:line="480" w:lineRule="auto"/>
        <w:ind w:firstLine="360"/>
        <w:jc w:val="both"/>
        <w:rPr>
          <w:rFonts w:ascii="Book Antiqua" w:hAnsi="Book Antiqua"/>
          <w:lang w:val="es-ES"/>
        </w:rPr>
      </w:pPr>
      <w:r w:rsidRPr="000617B0">
        <w:rPr>
          <w:rFonts w:ascii="Book Antiqua" w:hAnsi="Book Antiqua"/>
          <w:lang w:val="es-ES_tradnl"/>
        </w:rPr>
        <w:t>Artículo 3.</w:t>
      </w:r>
      <w:r>
        <w:rPr>
          <w:rFonts w:ascii="Book Antiqua" w:hAnsi="Book Antiqua"/>
          <w:lang w:val="es-ES_tradnl"/>
        </w:rPr>
        <w:t xml:space="preserve"> – </w:t>
      </w:r>
      <w:r w:rsidRPr="000617B0">
        <w:rPr>
          <w:rFonts w:ascii="Book Antiqua" w:hAnsi="Book Antiqua"/>
          <w:lang w:val="es-ES_tradnl"/>
        </w:rPr>
        <w:t>Esta Ley entrará en vigor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07A45" w14:textId="77777777" w:rsidR="004C54D2" w:rsidRDefault="004C54D2">
      <w:r>
        <w:separator/>
      </w:r>
    </w:p>
  </w:endnote>
  <w:endnote w:type="continuationSeparator" w:id="0">
    <w:p w14:paraId="5ED4FA6D" w14:textId="77777777" w:rsidR="004C54D2" w:rsidRDefault="004C5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FBE83" w14:textId="77777777" w:rsidR="004C54D2" w:rsidRDefault="004C54D2">
      <w:r>
        <w:separator/>
      </w:r>
    </w:p>
  </w:footnote>
  <w:footnote w:type="continuationSeparator" w:id="0">
    <w:p w14:paraId="26C1045B" w14:textId="77777777" w:rsidR="004C54D2" w:rsidRDefault="004C5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2F0D8B"/>
    <w:rsid w:val="003069A5"/>
    <w:rsid w:val="00312328"/>
    <w:rsid w:val="00320D78"/>
    <w:rsid w:val="00323945"/>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A311A"/>
    <w:rsid w:val="004B7C8D"/>
    <w:rsid w:val="004C54D2"/>
    <w:rsid w:val="004D5973"/>
    <w:rsid w:val="004E029D"/>
    <w:rsid w:val="004F6F8E"/>
    <w:rsid w:val="00515E15"/>
    <w:rsid w:val="0051629D"/>
    <w:rsid w:val="00521639"/>
    <w:rsid w:val="0052618B"/>
    <w:rsid w:val="00532BB7"/>
    <w:rsid w:val="005332E4"/>
    <w:rsid w:val="0053550C"/>
    <w:rsid w:val="00555018"/>
    <w:rsid w:val="005723DC"/>
    <w:rsid w:val="005733E1"/>
    <w:rsid w:val="00574E4E"/>
    <w:rsid w:val="005C65A3"/>
    <w:rsid w:val="005D79A1"/>
    <w:rsid w:val="006104EC"/>
    <w:rsid w:val="006210DC"/>
    <w:rsid w:val="0064349D"/>
    <w:rsid w:val="00643D93"/>
    <w:rsid w:val="00651FF1"/>
    <w:rsid w:val="00653EED"/>
    <w:rsid w:val="00685549"/>
    <w:rsid w:val="006A23E8"/>
    <w:rsid w:val="006B640E"/>
    <w:rsid w:val="006B7365"/>
    <w:rsid w:val="006C1B4C"/>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B156A"/>
    <w:rsid w:val="008C2489"/>
    <w:rsid w:val="008D2C7D"/>
    <w:rsid w:val="008D44C5"/>
    <w:rsid w:val="008E173A"/>
    <w:rsid w:val="009035B9"/>
    <w:rsid w:val="00923EC3"/>
    <w:rsid w:val="00924DCC"/>
    <w:rsid w:val="00931106"/>
    <w:rsid w:val="0093686F"/>
    <w:rsid w:val="00942FD4"/>
    <w:rsid w:val="00945716"/>
    <w:rsid w:val="00951997"/>
    <w:rsid w:val="0097693A"/>
    <w:rsid w:val="00990352"/>
    <w:rsid w:val="009B4897"/>
    <w:rsid w:val="009F35CF"/>
    <w:rsid w:val="00A03405"/>
    <w:rsid w:val="00A10B1E"/>
    <w:rsid w:val="00A12BB9"/>
    <w:rsid w:val="00A1528A"/>
    <w:rsid w:val="00A25B1B"/>
    <w:rsid w:val="00A33918"/>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C5540"/>
    <w:rsid w:val="00BC6728"/>
    <w:rsid w:val="00BF10EF"/>
    <w:rsid w:val="00BF16AA"/>
    <w:rsid w:val="00C27293"/>
    <w:rsid w:val="00C346ED"/>
    <w:rsid w:val="00C354B8"/>
    <w:rsid w:val="00C37B5E"/>
    <w:rsid w:val="00C405EB"/>
    <w:rsid w:val="00C52517"/>
    <w:rsid w:val="00C60921"/>
    <w:rsid w:val="00C6282C"/>
    <w:rsid w:val="00C62936"/>
    <w:rsid w:val="00C653F2"/>
    <w:rsid w:val="00C679E6"/>
    <w:rsid w:val="00C768A8"/>
    <w:rsid w:val="00C908F9"/>
    <w:rsid w:val="00CA0917"/>
    <w:rsid w:val="00CA1099"/>
    <w:rsid w:val="00CA657C"/>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2198D"/>
    <w:rsid w:val="00E50EEA"/>
    <w:rsid w:val="00E52F58"/>
    <w:rsid w:val="00E62E17"/>
    <w:rsid w:val="00E7058A"/>
    <w:rsid w:val="00E71830"/>
    <w:rsid w:val="00E86979"/>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01CD"/>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767</Words>
  <Characters>4226</Characters>
  <Application>Microsoft Office Word</Application>
  <DocSecurity>0</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2025-08-05T14:55:00Z</cp:lastPrinted>
  <dcterms:created xsi:type="dcterms:W3CDTF">2025-08-04T15:49:00Z</dcterms:created>
  <dcterms:modified xsi:type="dcterms:W3CDTF">2025-08-05T14:55:00Z</dcterms:modified>
</cp:coreProperties>
</file>