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6AE3905C" w14:textId="216F8587" w:rsidR="00F13533" w:rsidRPr="00793B2A" w:rsidRDefault="00F13533" w:rsidP="00793B2A">
      <w:pPr>
        <w:pStyle w:val="Title2"/>
        <w:tabs>
          <w:tab w:val="clear" w:pos="648"/>
          <w:tab w:val="clear" w:pos="7776"/>
          <w:tab w:val="clear" w:pos="7848"/>
        </w:tabs>
        <w:rPr>
          <w:rFonts w:ascii="Book Antiqua" w:hAnsi="Book Antiqua"/>
          <w:lang w:val="it-IT"/>
        </w:rPr>
      </w:pPr>
      <w:r w:rsidRPr="00793B2A">
        <w:rPr>
          <w:rFonts w:ascii="Book Antiqua" w:hAnsi="Book Antiqua"/>
          <w:lang w:val="it-IT"/>
        </w:rPr>
        <w:t xml:space="preserve"> </w:t>
      </w:r>
      <w:r w:rsidR="00793B2A" w:rsidRPr="00793B2A">
        <w:rPr>
          <w:rFonts w:ascii="Book Antiqua" w:hAnsi="Book Antiqua"/>
          <w:lang w:val="it-IT"/>
        </w:rPr>
        <w:t>20ma.</w:t>
      </w:r>
      <w:r w:rsidRPr="00793B2A">
        <w:rPr>
          <w:rFonts w:ascii="Book Antiqua" w:hAnsi="Book Antiqua"/>
          <w:lang w:val="it-IT"/>
        </w:rPr>
        <w:tab/>
      </w:r>
      <w:r w:rsidR="00793B2A" w:rsidRPr="00793B2A">
        <w:rPr>
          <w:rFonts w:ascii="Book Antiqua" w:hAnsi="Book Antiqua"/>
          <w:lang w:val="it-IT"/>
        </w:rPr>
        <w:t xml:space="preserve"> </w:t>
      </w:r>
      <w:r w:rsidRPr="00793B2A">
        <w:rPr>
          <w:rFonts w:ascii="Book Antiqua" w:hAnsi="Book Antiqua"/>
          <w:lang w:val="it-IT"/>
        </w:rPr>
        <w:t>Asamblea</w:t>
      </w:r>
      <w:r w:rsidRPr="00793B2A">
        <w:rPr>
          <w:rFonts w:ascii="Book Antiqua" w:hAnsi="Book Antiqua"/>
          <w:lang w:val="it-IT"/>
        </w:rPr>
        <w:tab/>
      </w:r>
      <w:r w:rsidR="00793B2A">
        <w:rPr>
          <w:rFonts w:ascii="Book Antiqua" w:hAnsi="Book Antiqua"/>
          <w:lang w:val="it-IT"/>
        </w:rPr>
        <w:tab/>
      </w:r>
      <w:r w:rsidR="00793B2A">
        <w:rPr>
          <w:rFonts w:ascii="Book Antiqua" w:hAnsi="Book Antiqua"/>
          <w:lang w:val="it-IT"/>
        </w:rPr>
        <w:tab/>
      </w:r>
      <w:r w:rsidR="00793B2A">
        <w:rPr>
          <w:rFonts w:ascii="Book Antiqua" w:hAnsi="Book Antiqua"/>
          <w:lang w:val="it-IT"/>
        </w:rPr>
        <w:tab/>
      </w:r>
      <w:r w:rsidR="00793B2A">
        <w:rPr>
          <w:rFonts w:ascii="Book Antiqua" w:hAnsi="Book Antiqua"/>
          <w:lang w:val="it-IT"/>
        </w:rPr>
        <w:tab/>
      </w:r>
      <w:r w:rsidR="00793B2A">
        <w:rPr>
          <w:rFonts w:ascii="Book Antiqua" w:hAnsi="Book Antiqua"/>
          <w:lang w:val="it-IT"/>
        </w:rPr>
        <w:tab/>
      </w:r>
      <w:r w:rsidR="00793B2A">
        <w:rPr>
          <w:rFonts w:ascii="Book Antiqua" w:hAnsi="Book Antiqua"/>
          <w:lang w:val="it-IT"/>
        </w:rPr>
        <w:tab/>
      </w:r>
      <w:r w:rsidR="00793B2A">
        <w:rPr>
          <w:rFonts w:ascii="Book Antiqua" w:hAnsi="Book Antiqua"/>
          <w:lang w:val="it-IT"/>
        </w:rPr>
        <w:tab/>
        <w:t xml:space="preserve">          2da. </w:t>
      </w:r>
      <w:r w:rsidRPr="00793B2A">
        <w:rPr>
          <w:rFonts w:ascii="Book Antiqua" w:hAnsi="Book Antiqua"/>
          <w:lang w:val="it-IT"/>
        </w:rPr>
        <w:t>Sesión</w:t>
      </w:r>
    </w:p>
    <w:p w14:paraId="37260458" w14:textId="389A9D2B" w:rsidR="00F13533" w:rsidRPr="00793B2A" w:rsidRDefault="00F13533" w:rsidP="00793B2A">
      <w:pPr>
        <w:pStyle w:val="Title2"/>
        <w:tabs>
          <w:tab w:val="clear" w:pos="648"/>
          <w:tab w:val="clear" w:pos="7776"/>
          <w:tab w:val="clear" w:pos="7848"/>
        </w:tabs>
        <w:rPr>
          <w:rFonts w:ascii="Book Antiqua" w:hAnsi="Book Antiqua"/>
          <w:lang w:val="it-IT"/>
        </w:rPr>
      </w:pPr>
      <w:r w:rsidRPr="00793B2A">
        <w:rPr>
          <w:rFonts w:ascii="Book Antiqua" w:hAnsi="Book Antiqua"/>
          <w:lang w:val="it-IT"/>
        </w:rPr>
        <w:tab/>
      </w:r>
      <w:r w:rsidR="00793B2A" w:rsidRPr="00793B2A">
        <w:rPr>
          <w:rFonts w:ascii="Book Antiqua" w:hAnsi="Book Antiqua"/>
          <w:lang w:val="it-IT"/>
        </w:rPr>
        <w:t xml:space="preserve"> </w:t>
      </w:r>
      <w:r w:rsidRPr="00793B2A">
        <w:rPr>
          <w:rFonts w:ascii="Book Antiqua" w:hAnsi="Book Antiqua"/>
          <w:lang w:val="it-IT"/>
        </w:rPr>
        <w:t>Legislativa</w:t>
      </w:r>
      <w:r w:rsidRPr="00793B2A">
        <w:rPr>
          <w:rFonts w:ascii="Book Antiqua" w:hAnsi="Book Antiqua"/>
          <w:lang w:val="it-IT"/>
        </w:rPr>
        <w:tab/>
      </w:r>
      <w:r w:rsidRPr="00793B2A">
        <w:rPr>
          <w:rFonts w:ascii="Book Antiqua" w:hAnsi="Book Antiqua"/>
          <w:lang w:val="it-IT"/>
        </w:rPr>
        <w:tab/>
      </w:r>
      <w:r w:rsidR="00793B2A">
        <w:rPr>
          <w:rFonts w:ascii="Book Antiqua" w:hAnsi="Book Antiqua"/>
          <w:lang w:val="it-IT"/>
        </w:rPr>
        <w:tab/>
      </w:r>
      <w:r w:rsidR="00793B2A">
        <w:rPr>
          <w:rFonts w:ascii="Book Antiqua" w:hAnsi="Book Antiqua"/>
          <w:lang w:val="it-IT"/>
        </w:rPr>
        <w:tab/>
      </w:r>
      <w:r w:rsidR="00793B2A">
        <w:rPr>
          <w:rFonts w:ascii="Book Antiqua" w:hAnsi="Book Antiqua"/>
          <w:lang w:val="it-IT"/>
        </w:rPr>
        <w:tab/>
      </w:r>
      <w:r w:rsidR="00793B2A">
        <w:rPr>
          <w:rFonts w:ascii="Book Antiqua" w:hAnsi="Book Antiqua"/>
          <w:lang w:val="it-IT"/>
        </w:rPr>
        <w:tab/>
      </w:r>
      <w:r w:rsidR="00793B2A">
        <w:rPr>
          <w:rFonts w:ascii="Book Antiqua" w:hAnsi="Book Antiqua"/>
          <w:lang w:val="it-IT"/>
        </w:rPr>
        <w:tab/>
      </w:r>
      <w:r w:rsidR="00793B2A">
        <w:rPr>
          <w:rFonts w:ascii="Book Antiqua" w:hAnsi="Book Antiqua"/>
          <w:lang w:val="it-IT"/>
        </w:rPr>
        <w:tab/>
      </w:r>
      <w:r w:rsidR="00793B2A">
        <w:rPr>
          <w:rFonts w:ascii="Book Antiqua" w:hAnsi="Book Antiqua"/>
          <w:lang w:val="it-IT"/>
        </w:rPr>
        <w:tab/>
        <w:t xml:space="preserve">      </w:t>
      </w:r>
      <w:r w:rsidRPr="00793B2A">
        <w:rPr>
          <w:rFonts w:ascii="Book Antiqua" w:hAnsi="Book Antiqua"/>
          <w:lang w:val="it-IT"/>
        </w:rPr>
        <w:t>Ordinaria</w:t>
      </w:r>
    </w:p>
    <w:p w14:paraId="4881859A" w14:textId="77777777" w:rsidR="00F13533" w:rsidRPr="00793B2A" w:rsidRDefault="00F13533" w:rsidP="00F13533">
      <w:pPr>
        <w:rPr>
          <w:rFonts w:ascii="Book Antiqua" w:hAnsi="Book Antiqua"/>
          <w:lang w:val="it-IT"/>
        </w:rPr>
      </w:pPr>
    </w:p>
    <w:p w14:paraId="2BEF326C" w14:textId="77777777" w:rsidR="00F13533" w:rsidRPr="004F6F8E" w:rsidRDefault="00F13533" w:rsidP="00793B2A">
      <w:pPr>
        <w:jc w:val="center"/>
        <w:rPr>
          <w:rFonts w:ascii="Book Antiqua" w:hAnsi="Book Antiqua"/>
          <w:b/>
          <w:sz w:val="36"/>
          <w:lang w:val="es-ES_tradnl"/>
        </w:rPr>
      </w:pPr>
      <w:r w:rsidRPr="004F6F8E">
        <w:rPr>
          <w:rFonts w:ascii="Book Antiqua" w:hAnsi="Book Antiqua"/>
          <w:b/>
          <w:sz w:val="36"/>
          <w:lang w:val="es-ES_tradnl"/>
        </w:rPr>
        <w:t>CÁMARA DE REPRESENTANTES</w:t>
      </w:r>
    </w:p>
    <w:p w14:paraId="66344002" w14:textId="77777777" w:rsidR="00793B2A" w:rsidRPr="00793B2A" w:rsidRDefault="00793B2A" w:rsidP="00793B2A">
      <w:pPr>
        <w:jc w:val="center"/>
        <w:rPr>
          <w:rFonts w:ascii="Book Antiqua" w:hAnsi="Book Antiqua"/>
          <w:b/>
          <w:szCs w:val="24"/>
          <w:lang w:val="es-ES_tradnl"/>
        </w:rPr>
      </w:pPr>
    </w:p>
    <w:p w14:paraId="279BFDBC" w14:textId="07B92E5C" w:rsidR="00F13533" w:rsidRDefault="00F13533" w:rsidP="00793B2A">
      <w:pPr>
        <w:jc w:val="center"/>
        <w:rPr>
          <w:rFonts w:ascii="Book Antiqua" w:hAnsi="Book Antiqua"/>
          <w:b/>
          <w:sz w:val="52"/>
          <w:lang w:val="es-ES_tradnl"/>
        </w:rPr>
      </w:pPr>
      <w:r w:rsidRPr="004F6F8E">
        <w:rPr>
          <w:rFonts w:ascii="Book Antiqua" w:hAnsi="Book Antiqua"/>
          <w:b/>
          <w:sz w:val="52"/>
          <w:lang w:val="es-ES_tradnl"/>
        </w:rPr>
        <w:t>P. de la C.</w:t>
      </w:r>
      <w:r w:rsidR="00D5190E">
        <w:rPr>
          <w:rFonts w:ascii="Book Antiqua" w:hAnsi="Book Antiqua"/>
          <w:b/>
          <w:sz w:val="52"/>
          <w:lang w:val="es-ES_tradnl"/>
        </w:rPr>
        <w:t xml:space="preserve"> 750</w:t>
      </w:r>
      <w:r w:rsidRPr="004F6F8E">
        <w:rPr>
          <w:rFonts w:ascii="Book Antiqua" w:hAnsi="Book Antiqua"/>
          <w:b/>
          <w:sz w:val="52"/>
          <w:lang w:val="es-ES_tradnl"/>
        </w:rPr>
        <w:t xml:space="preserve"> </w:t>
      </w:r>
    </w:p>
    <w:p w14:paraId="4F71499B" w14:textId="77777777" w:rsidR="00793B2A" w:rsidRPr="00793B2A" w:rsidRDefault="00793B2A" w:rsidP="00793B2A">
      <w:pPr>
        <w:jc w:val="center"/>
        <w:rPr>
          <w:rFonts w:ascii="Book Antiqua" w:hAnsi="Book Antiqua"/>
          <w:b/>
          <w:szCs w:val="24"/>
          <w:lang w:val="es-ES_tradnl"/>
        </w:rPr>
      </w:pPr>
    </w:p>
    <w:p w14:paraId="2661CC12" w14:textId="117E2F23" w:rsidR="00F13533" w:rsidRDefault="00C27293" w:rsidP="00793B2A">
      <w:pPr>
        <w:jc w:val="center"/>
        <w:rPr>
          <w:rFonts w:ascii="Book Antiqua" w:hAnsi="Book Antiqua"/>
          <w:lang w:val="es-ES_tradnl"/>
        </w:rPr>
      </w:pPr>
      <w:r>
        <w:rPr>
          <w:rFonts w:ascii="Book Antiqua" w:hAnsi="Book Antiqua"/>
          <w:lang w:val="es-ES_tradnl"/>
        </w:rPr>
        <w:t>4</w:t>
      </w:r>
      <w:r w:rsidR="00F13533" w:rsidRPr="004F6F8E">
        <w:rPr>
          <w:rFonts w:ascii="Book Antiqua" w:hAnsi="Book Antiqua"/>
          <w:lang w:val="es-ES_tradnl"/>
        </w:rPr>
        <w:t xml:space="preserve"> DE </w:t>
      </w:r>
      <w:r>
        <w:rPr>
          <w:rFonts w:ascii="Book Antiqua" w:hAnsi="Book Antiqua"/>
          <w:lang w:val="es-ES_tradnl"/>
        </w:rPr>
        <w:t>AGOST</w:t>
      </w:r>
      <w:r w:rsidR="0097693A">
        <w:rPr>
          <w:rFonts w:ascii="Book Antiqua" w:hAnsi="Book Antiqua"/>
          <w:lang w:val="es-ES_tradnl"/>
        </w:rPr>
        <w:t>O</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793B2A" w:rsidRDefault="00DD2AA2" w:rsidP="00F13533">
      <w:pPr>
        <w:spacing w:before="120"/>
        <w:jc w:val="center"/>
        <w:rPr>
          <w:rFonts w:ascii="Book Antiqua" w:hAnsi="Book Antiqua"/>
          <w:szCs w:val="24"/>
          <w:lang w:val="es-ES_tradnl"/>
        </w:rPr>
      </w:pPr>
    </w:p>
    <w:p w14:paraId="1243895A" w14:textId="07DDE397" w:rsidR="00793B2A" w:rsidRDefault="00793B2A" w:rsidP="00793B2A">
      <w:pPr>
        <w:jc w:val="center"/>
        <w:rPr>
          <w:rFonts w:ascii="Book Antiqua" w:hAnsi="Book Antiqua"/>
          <w:i/>
          <w:iCs/>
          <w:lang w:val="es-ES_tradnl"/>
        </w:rPr>
      </w:pPr>
      <w:r w:rsidRPr="004F6F8E">
        <w:rPr>
          <w:rFonts w:ascii="Book Antiqua" w:hAnsi="Book Antiqua"/>
          <w:lang w:val="es-ES_tradnl"/>
        </w:rPr>
        <w:t xml:space="preserve">Presentado por </w:t>
      </w:r>
      <w:r>
        <w:rPr>
          <w:rFonts w:ascii="Book Antiqua" w:hAnsi="Book Antiqua"/>
          <w:lang w:val="es-ES_tradnl"/>
        </w:rPr>
        <w:t>el</w:t>
      </w:r>
      <w:r w:rsidRPr="004F6F8E">
        <w:rPr>
          <w:rFonts w:ascii="Book Antiqua" w:hAnsi="Book Antiqua"/>
          <w:lang w:val="es-ES_tradnl"/>
        </w:rPr>
        <w:t xml:space="preserve"> representante </w:t>
      </w:r>
      <w:r w:rsidRPr="004F6F8E">
        <w:rPr>
          <w:rFonts w:ascii="Book Antiqua" w:hAnsi="Book Antiqua"/>
          <w:i/>
          <w:iCs/>
          <w:lang w:val="es-ES_tradnl"/>
        </w:rPr>
        <w:t xml:space="preserve">Márquez Lebrón </w:t>
      </w:r>
    </w:p>
    <w:p w14:paraId="43F8EA15" w14:textId="77777777" w:rsidR="00793B2A" w:rsidRPr="004F6F8E" w:rsidRDefault="00793B2A" w:rsidP="00793B2A">
      <w:pPr>
        <w:jc w:val="center"/>
        <w:rPr>
          <w:rFonts w:ascii="Book Antiqua" w:hAnsi="Book Antiqua"/>
          <w:i/>
          <w:iCs/>
          <w:lang w:val="es-ES_tradnl"/>
        </w:rPr>
      </w:pPr>
      <w:r w:rsidRPr="006A6C9C">
        <w:rPr>
          <w:rFonts w:ascii="Book Antiqua" w:hAnsi="Book Antiqua"/>
          <w:lang w:val="es-ES_tradnl"/>
        </w:rPr>
        <w:t>y las representantes</w:t>
      </w:r>
      <w:r>
        <w:rPr>
          <w:rFonts w:ascii="Book Antiqua" w:hAnsi="Book Antiqua"/>
          <w:i/>
          <w:iCs/>
          <w:lang w:val="es-ES_tradnl"/>
        </w:rPr>
        <w:t xml:space="preserve"> </w:t>
      </w:r>
      <w:r w:rsidRPr="004F6F8E">
        <w:rPr>
          <w:rFonts w:ascii="Book Antiqua" w:hAnsi="Book Antiqua"/>
          <w:i/>
          <w:iCs/>
          <w:lang w:val="es-ES_tradnl"/>
        </w:rPr>
        <w:t xml:space="preserve">Gutiérrez Colón </w:t>
      </w:r>
      <w:r w:rsidRPr="006A6C9C">
        <w:rPr>
          <w:rFonts w:ascii="Book Antiqua" w:hAnsi="Book Antiqua"/>
          <w:lang w:val="es-ES_tradnl"/>
        </w:rPr>
        <w:t>y</w:t>
      </w:r>
      <w:r w:rsidRPr="004F6F8E">
        <w:rPr>
          <w:rFonts w:ascii="Book Antiqua" w:hAnsi="Book Antiqua"/>
          <w:i/>
          <w:iCs/>
          <w:lang w:val="es-ES_tradnl"/>
        </w:rPr>
        <w:t xml:space="preserve"> Lebrón Robles</w:t>
      </w:r>
    </w:p>
    <w:p w14:paraId="3F38FDCC" w14:textId="77777777" w:rsidR="00793B2A" w:rsidRDefault="00793B2A" w:rsidP="00793B2A">
      <w:pPr>
        <w:jc w:val="center"/>
        <w:rPr>
          <w:rFonts w:ascii="Book Antiqua" w:hAnsi="Book Antiqua"/>
          <w:lang w:val="es-ES_tradnl"/>
        </w:rPr>
      </w:pPr>
    </w:p>
    <w:p w14:paraId="086D509B" w14:textId="77777777" w:rsidR="00793B2A" w:rsidRPr="004F6F8E" w:rsidRDefault="00793B2A" w:rsidP="00793B2A">
      <w:pPr>
        <w:jc w:val="center"/>
        <w:rPr>
          <w:rFonts w:ascii="Book Antiqua" w:hAnsi="Book Antiqua"/>
          <w:lang w:val="es-ES_tradnl"/>
        </w:rPr>
      </w:pPr>
      <w:r w:rsidRPr="004F6F8E">
        <w:rPr>
          <w:rFonts w:ascii="Book Antiqua" w:hAnsi="Book Antiqua"/>
          <w:lang w:val="es-ES_tradnl"/>
        </w:rPr>
        <w:t xml:space="preserve">Referido a </w:t>
      </w:r>
      <w:r>
        <w:rPr>
          <w:rFonts w:ascii="Book Antiqua" w:hAnsi="Book Antiqua"/>
          <w:lang w:val="es-ES_tradnl"/>
        </w:rPr>
        <w:t>la Comisión de Recursos Naturales</w:t>
      </w:r>
    </w:p>
    <w:p w14:paraId="6BC4F371" w14:textId="77777777" w:rsidR="00793B2A" w:rsidRDefault="00793B2A" w:rsidP="00F13533">
      <w:pPr>
        <w:spacing w:before="120"/>
        <w:jc w:val="center"/>
        <w:rPr>
          <w:rFonts w:ascii="Book Antiqua" w:hAnsi="Book Antiqua"/>
          <w:lang w:val="es-ES_tradnl"/>
        </w:rPr>
      </w:pPr>
    </w:p>
    <w:p w14:paraId="7D55E694" w14:textId="77777777" w:rsidR="00F13533" w:rsidRPr="00DD2AA2" w:rsidRDefault="00F13533" w:rsidP="00793B2A">
      <w:pPr>
        <w:ind w:firstLine="360"/>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1C716515" w:rsidR="00F13533" w:rsidRDefault="00782D50" w:rsidP="00793B2A">
      <w:pPr>
        <w:ind w:left="720" w:hanging="720"/>
        <w:jc w:val="both"/>
        <w:rPr>
          <w:rFonts w:ascii="Book Antiqua" w:hAnsi="Book Antiqua"/>
          <w:lang w:val="es-ES_tradnl"/>
        </w:rPr>
      </w:pPr>
      <w:r w:rsidRPr="00782D50">
        <w:rPr>
          <w:rFonts w:ascii="Book Antiqua" w:hAnsi="Book Antiqua"/>
          <w:lang w:val="es-ES_tradnl"/>
        </w:rPr>
        <w:t xml:space="preserve">Para </w:t>
      </w:r>
      <w:r w:rsidR="000541A6" w:rsidRPr="00280CA6">
        <w:rPr>
          <w:rFonts w:ascii="Book Antiqua" w:hAnsi="Book Antiqua"/>
          <w:lang w:val="es-ES_tradnl"/>
        </w:rPr>
        <w:t>crear la Reserva Hídrica del Acuífero del Sur; ordenar al Departamento de Recursos Naturales y Ambientales, en coordinación con otras agencias, establecer las estrategias para alcanzar el objetivo de restaurar y conservar los acuíferos del sur; y para decretar otras disposiciones complementarias.</w:t>
      </w:r>
    </w:p>
    <w:p w14:paraId="666C599E" w14:textId="77777777" w:rsidR="00793B2A" w:rsidRPr="004F6F8E" w:rsidRDefault="00793B2A" w:rsidP="00793B2A">
      <w:pPr>
        <w:ind w:left="720" w:hanging="720"/>
        <w:jc w:val="both"/>
        <w:rPr>
          <w:rFonts w:ascii="Book Antiqua" w:hAnsi="Book Antiqua"/>
          <w:lang w:val="es-ES"/>
        </w:rPr>
      </w:pPr>
    </w:p>
    <w:p w14:paraId="2CA23802" w14:textId="016515A5" w:rsidR="00F13533" w:rsidRDefault="00F13533" w:rsidP="00793B2A">
      <w:pPr>
        <w:ind w:firstLine="360"/>
        <w:jc w:val="center"/>
        <w:rPr>
          <w:rFonts w:ascii="Book Antiqua" w:hAnsi="Book Antiqua"/>
          <w:lang w:val="es-ES_tradnl"/>
        </w:rPr>
      </w:pPr>
      <w:r w:rsidRPr="004F6F8E">
        <w:rPr>
          <w:rFonts w:ascii="Book Antiqua" w:hAnsi="Book Antiqua"/>
          <w:lang w:val="es-ES_tradnl"/>
        </w:rPr>
        <w:t>EXPOSICIÓN DE MOTIVOS</w:t>
      </w:r>
    </w:p>
    <w:p w14:paraId="3661FCD9" w14:textId="77777777" w:rsidR="00793B2A" w:rsidRPr="004F6F8E" w:rsidRDefault="00793B2A" w:rsidP="00793B2A">
      <w:pPr>
        <w:ind w:firstLine="360"/>
        <w:jc w:val="center"/>
        <w:rPr>
          <w:rFonts w:ascii="Book Antiqua" w:hAnsi="Book Antiqua"/>
          <w:lang w:val="es-ES_tradnl"/>
        </w:rPr>
      </w:pPr>
    </w:p>
    <w:p w14:paraId="508FB360" w14:textId="77777777" w:rsidR="000541A6" w:rsidRDefault="000541A6" w:rsidP="00793B2A">
      <w:pPr>
        <w:ind w:firstLine="360"/>
        <w:jc w:val="both"/>
        <w:rPr>
          <w:rFonts w:ascii="Book Antiqua" w:hAnsi="Book Antiqua"/>
          <w:lang w:val="es-PR"/>
        </w:rPr>
      </w:pPr>
      <w:r w:rsidRPr="00280CA6">
        <w:rPr>
          <w:rFonts w:ascii="Book Antiqua" w:hAnsi="Book Antiqua"/>
          <w:lang w:val="es-PR"/>
        </w:rPr>
        <w:t xml:space="preserve">En noviembre de 2002, el Comité de Derechos Económicos, Sociales y Culturales de la Organización de Naciones Unidas (ONU) adoptó la Observación General </w:t>
      </w:r>
      <w:proofErr w:type="spellStart"/>
      <w:r w:rsidRPr="00280CA6">
        <w:rPr>
          <w:rFonts w:ascii="Book Antiqua" w:hAnsi="Book Antiqua"/>
          <w:lang w:val="es-PR"/>
        </w:rPr>
        <w:t>nº</w:t>
      </w:r>
      <w:proofErr w:type="spellEnd"/>
      <w:r w:rsidRPr="00280CA6">
        <w:rPr>
          <w:rFonts w:ascii="Book Antiqua" w:hAnsi="Book Antiqua"/>
          <w:lang w:val="es-PR"/>
        </w:rPr>
        <w:t xml:space="preserve"> 15 sobre el derecho al agua. El artículo I.1 establece que "El derecho humano al agua es indispensable para una vida humana digna". La Observación </w:t>
      </w:r>
      <w:proofErr w:type="spellStart"/>
      <w:r w:rsidRPr="00280CA6">
        <w:rPr>
          <w:rFonts w:ascii="Book Antiqua" w:hAnsi="Book Antiqua"/>
          <w:lang w:val="es-PR"/>
        </w:rPr>
        <w:t>nº</w:t>
      </w:r>
      <w:proofErr w:type="spellEnd"/>
      <w:r w:rsidRPr="00280CA6">
        <w:rPr>
          <w:rFonts w:ascii="Book Antiqua" w:hAnsi="Book Antiqua"/>
          <w:lang w:val="es-PR"/>
        </w:rPr>
        <w:t xml:space="preserve"> 15 también define el derecho al agua como el derecho de cada persona a disponer de agua suficiente, saludable, aceptable, físicamente accesible y asequible para su uso personal y doméstico.</w:t>
      </w:r>
    </w:p>
    <w:p w14:paraId="533DFE59" w14:textId="77777777" w:rsidR="00793B2A" w:rsidRPr="00280CA6" w:rsidRDefault="00793B2A" w:rsidP="00793B2A">
      <w:pPr>
        <w:ind w:firstLine="360"/>
        <w:jc w:val="both"/>
        <w:rPr>
          <w:rFonts w:ascii="Book Antiqua" w:hAnsi="Book Antiqua"/>
          <w:lang w:val="es-PR"/>
        </w:rPr>
      </w:pPr>
    </w:p>
    <w:p w14:paraId="33E14B48" w14:textId="77777777" w:rsidR="000541A6" w:rsidRPr="00280CA6" w:rsidRDefault="000541A6" w:rsidP="00793B2A">
      <w:pPr>
        <w:ind w:firstLine="360"/>
        <w:jc w:val="both"/>
        <w:rPr>
          <w:rFonts w:ascii="Book Antiqua" w:hAnsi="Book Antiqua"/>
          <w:lang w:val="es-PR"/>
        </w:rPr>
      </w:pPr>
      <w:r w:rsidRPr="00280CA6">
        <w:rPr>
          <w:rFonts w:ascii="Book Antiqua" w:hAnsi="Book Antiqua"/>
          <w:lang w:val="es-PR"/>
        </w:rPr>
        <w:t>El 28 de julio de 2010, a través de la Resolución 64/292, la Asamblea General de la ONU reconoció explícitamente el derecho humano al agua y al saneamiento, reafirmando que el agua potable limpia y el saneamiento son esenciales para la realización de todos los derechos humanos. La Resolución exhorta a los Estados y organizaciones internacionales a proveer recursos financieros, a facilitar la capacitación y la transferencia de tecnología para ayudar a otros países, en particular a los países en vías de desarrollo, y a proporcionar un suministro de agua potable y saneamiento saludable, limpio, accesible y asequible para todas.</w:t>
      </w:r>
    </w:p>
    <w:p w14:paraId="6511E817" w14:textId="77777777" w:rsidR="000541A6" w:rsidRDefault="000541A6" w:rsidP="00793B2A">
      <w:pPr>
        <w:ind w:firstLine="360"/>
        <w:jc w:val="both"/>
        <w:rPr>
          <w:rFonts w:ascii="Book Antiqua" w:hAnsi="Book Antiqua"/>
          <w:lang w:val="es-PR"/>
        </w:rPr>
      </w:pPr>
      <w:r w:rsidRPr="00280CA6">
        <w:rPr>
          <w:rFonts w:ascii="Book Antiqua" w:hAnsi="Book Antiqua"/>
          <w:lang w:val="es-PR"/>
        </w:rPr>
        <w:lastRenderedPageBreak/>
        <w:t>En el 2012, expertos de la Universidad Estatal de San Francisco y de la Organización de las Naciones Unidas para la Educación, la Ciencia y la Cultura (UNESCO por sus siglas en inglés), advirtieron en el Foro Mundial del Agua, celebrado en Francia, que el cambio climático afectará la cantidad y calidad de un recurso vital para la humanidad, el agua subterránea, y que es necesario, no sólo investigar más esta fuente sino establecer reglas claras para su uso.</w:t>
      </w:r>
    </w:p>
    <w:p w14:paraId="77B8955D" w14:textId="77777777" w:rsidR="00793B2A" w:rsidRPr="00280CA6" w:rsidRDefault="00793B2A" w:rsidP="00793B2A">
      <w:pPr>
        <w:ind w:firstLine="360"/>
        <w:jc w:val="both"/>
        <w:rPr>
          <w:rFonts w:ascii="Book Antiqua" w:hAnsi="Book Antiqua"/>
          <w:lang w:val="es-PR"/>
        </w:rPr>
      </w:pPr>
    </w:p>
    <w:p w14:paraId="7B019983" w14:textId="77777777" w:rsidR="000541A6" w:rsidRDefault="000541A6" w:rsidP="00793B2A">
      <w:pPr>
        <w:ind w:firstLine="360"/>
        <w:jc w:val="both"/>
        <w:rPr>
          <w:rFonts w:ascii="Book Antiqua" w:hAnsi="Book Antiqua"/>
          <w:lang w:val="es-PR"/>
        </w:rPr>
      </w:pPr>
      <w:r w:rsidRPr="00280CA6">
        <w:rPr>
          <w:rFonts w:ascii="Book Antiqua" w:hAnsi="Book Antiqua"/>
          <w:lang w:val="es-PR"/>
        </w:rPr>
        <w:t xml:space="preserve">Jason </w:t>
      </w:r>
      <w:proofErr w:type="spellStart"/>
      <w:r w:rsidRPr="00280CA6">
        <w:rPr>
          <w:rFonts w:ascii="Book Antiqua" w:hAnsi="Book Antiqua"/>
          <w:lang w:val="es-PR"/>
        </w:rPr>
        <w:t>Gurdak</w:t>
      </w:r>
      <w:proofErr w:type="spellEnd"/>
      <w:r w:rsidRPr="00280CA6">
        <w:rPr>
          <w:rFonts w:ascii="Book Antiqua" w:hAnsi="Book Antiqua"/>
          <w:lang w:val="es-PR"/>
        </w:rPr>
        <w:t>, profesor de hidrogeología de la Universidad Estatal de San Francisco, señalo que: "Está previsto que la variabilidad climática cause mayores variaciones en precipitaciones. Las fuentes de agua superficial como reservas y lagos pueden sufrir mayor estrés hídrico en el futuro por lo que la demanda por fuentes subterráneas aumentará".</w:t>
      </w:r>
    </w:p>
    <w:p w14:paraId="60CBB50A" w14:textId="77777777" w:rsidR="00793B2A" w:rsidRPr="00280CA6" w:rsidRDefault="00793B2A" w:rsidP="00793B2A">
      <w:pPr>
        <w:ind w:firstLine="360"/>
        <w:jc w:val="both"/>
        <w:rPr>
          <w:rFonts w:ascii="Book Antiqua" w:hAnsi="Book Antiqua"/>
          <w:lang w:val="es-PR"/>
        </w:rPr>
      </w:pPr>
    </w:p>
    <w:p w14:paraId="076B2AA8" w14:textId="77777777" w:rsidR="000541A6" w:rsidRDefault="000541A6" w:rsidP="00793B2A">
      <w:pPr>
        <w:ind w:firstLine="360"/>
        <w:jc w:val="both"/>
        <w:rPr>
          <w:rFonts w:ascii="Book Antiqua" w:hAnsi="Book Antiqua"/>
          <w:lang w:val="es-PR"/>
        </w:rPr>
      </w:pPr>
      <w:r w:rsidRPr="00280CA6">
        <w:rPr>
          <w:rFonts w:ascii="Book Antiqua" w:hAnsi="Book Antiqua"/>
          <w:lang w:val="es-PR"/>
        </w:rPr>
        <w:t>Por su parte, José Luis Martín Bordes, coordinador de proyectos en el Programa Hidrológico Internacional de la UNESCO, comento que: “El agua subterránea representa la mayor reserva a nivel mundial de agua potable para el futuro. Es una reserva estratégica para luchar contra los impactos del cambio climático y los problemas de sequía y contaminación del agua superficial".</w:t>
      </w:r>
    </w:p>
    <w:p w14:paraId="1E0CDBBE" w14:textId="77777777" w:rsidR="00793B2A" w:rsidRPr="00280CA6" w:rsidRDefault="00793B2A" w:rsidP="00793B2A">
      <w:pPr>
        <w:ind w:firstLine="360"/>
        <w:jc w:val="both"/>
        <w:rPr>
          <w:rFonts w:ascii="Book Antiqua" w:hAnsi="Book Antiqua"/>
          <w:lang w:val="es-PR"/>
        </w:rPr>
      </w:pPr>
    </w:p>
    <w:p w14:paraId="35503072" w14:textId="77777777" w:rsidR="000541A6" w:rsidRDefault="000541A6" w:rsidP="00793B2A">
      <w:pPr>
        <w:ind w:firstLine="360"/>
        <w:jc w:val="both"/>
        <w:rPr>
          <w:rFonts w:ascii="Book Antiqua" w:hAnsi="Book Antiqua"/>
          <w:lang w:val="es-PR"/>
        </w:rPr>
      </w:pPr>
      <w:r w:rsidRPr="00280CA6">
        <w:rPr>
          <w:rFonts w:ascii="Book Antiqua" w:hAnsi="Book Antiqua"/>
          <w:lang w:val="es-PR"/>
        </w:rPr>
        <w:t xml:space="preserve">La Constitución del Estado Libre Asociado de Puerto Rico, en su Artículo VI, Sección 19, establece que: “Será política pública del Estado Libre Asociado la más eficaz conservación de sus recursos naturales, así como el mayor desarrollo y aprovechamiento de </w:t>
      </w:r>
      <w:proofErr w:type="gramStart"/>
      <w:r w:rsidRPr="00280CA6">
        <w:rPr>
          <w:rFonts w:ascii="Book Antiqua" w:hAnsi="Book Antiqua"/>
          <w:lang w:val="es-PR"/>
        </w:rPr>
        <w:t>los mismos</w:t>
      </w:r>
      <w:proofErr w:type="gramEnd"/>
      <w:r w:rsidRPr="00280CA6">
        <w:rPr>
          <w:rFonts w:ascii="Book Antiqua" w:hAnsi="Book Antiqua"/>
          <w:lang w:val="es-PR"/>
        </w:rPr>
        <w:t xml:space="preserve"> para el beneficio general de la comunidad…”.</w:t>
      </w:r>
    </w:p>
    <w:p w14:paraId="14A2954B" w14:textId="77777777" w:rsidR="00793B2A" w:rsidRPr="00280CA6" w:rsidRDefault="00793B2A" w:rsidP="00793B2A">
      <w:pPr>
        <w:ind w:firstLine="360"/>
        <w:jc w:val="both"/>
        <w:rPr>
          <w:rFonts w:ascii="Book Antiqua" w:hAnsi="Book Antiqua"/>
          <w:lang w:val="es-PR"/>
        </w:rPr>
      </w:pPr>
    </w:p>
    <w:p w14:paraId="605F4ED8" w14:textId="77777777" w:rsidR="000541A6" w:rsidRDefault="000541A6" w:rsidP="00793B2A">
      <w:pPr>
        <w:ind w:firstLine="360"/>
        <w:jc w:val="both"/>
        <w:rPr>
          <w:rFonts w:ascii="Book Antiqua" w:hAnsi="Book Antiqua"/>
          <w:lang w:val="es-ES_tradnl"/>
        </w:rPr>
      </w:pPr>
      <w:r w:rsidRPr="00280CA6">
        <w:rPr>
          <w:rFonts w:ascii="Book Antiqua" w:hAnsi="Book Antiqua"/>
          <w:lang w:val="es-PR"/>
        </w:rPr>
        <w:t xml:space="preserve">Además, la </w:t>
      </w:r>
      <w:r w:rsidRPr="00280CA6">
        <w:rPr>
          <w:rFonts w:ascii="Book Antiqua" w:hAnsi="Book Antiqua"/>
          <w:lang w:val="es-ES_tradnl"/>
        </w:rPr>
        <w:t>Ley Núm. 136 del 3 de junio de 1976, según enmendada, conocida como "Ley para la Conservación, el Desarrollo y Uso de los Recursos de Agua de Puerto Rico", establece en su Artículo 2 que la política pública del Estado Libre Asociado es “mantener el grado de pureza de las aguas de Puerto Rico que requiera el bienestar, la seguridad y el desarrollo del país, asegurar el abasto de aguas que precisen las generaciones puertorriqueñas presentes y futuras mediante el establecimiento de áreas de reserva de aguas y aprovechar las aguas y cuerpos de agua de Puerto Rico con arreglo al interés público y a criterios de uso óptimo, beneficioso y razonables.”</w:t>
      </w:r>
    </w:p>
    <w:p w14:paraId="00499730" w14:textId="77777777" w:rsidR="00793B2A" w:rsidRPr="00280CA6" w:rsidRDefault="00793B2A" w:rsidP="00793B2A">
      <w:pPr>
        <w:ind w:firstLine="360"/>
        <w:jc w:val="both"/>
        <w:rPr>
          <w:rFonts w:ascii="Book Antiqua" w:hAnsi="Book Antiqua"/>
          <w:lang w:val="es-PR"/>
        </w:rPr>
      </w:pPr>
    </w:p>
    <w:p w14:paraId="43608E9C" w14:textId="77777777" w:rsidR="000541A6" w:rsidRDefault="000541A6" w:rsidP="00793B2A">
      <w:pPr>
        <w:ind w:firstLine="360"/>
        <w:jc w:val="both"/>
        <w:rPr>
          <w:rFonts w:ascii="Book Antiqua" w:hAnsi="Book Antiqua"/>
          <w:lang w:val="es-PR"/>
        </w:rPr>
      </w:pPr>
      <w:r w:rsidRPr="00280CA6">
        <w:rPr>
          <w:rFonts w:ascii="Book Antiqua" w:hAnsi="Book Antiqua"/>
          <w:lang w:val="es-PR"/>
        </w:rPr>
        <w:t xml:space="preserve">En Puerto Rico, una de las principales fuentes de agua son los acuíferos. </w:t>
      </w:r>
      <w:r>
        <w:rPr>
          <w:rFonts w:ascii="Book Antiqua" w:hAnsi="Book Antiqua"/>
          <w:lang w:val="es-PR"/>
        </w:rPr>
        <w:t xml:space="preserve"> </w:t>
      </w:r>
      <w:r w:rsidRPr="00280CA6">
        <w:rPr>
          <w:rFonts w:ascii="Book Antiqua" w:hAnsi="Book Antiqua"/>
          <w:lang w:val="es-PR"/>
        </w:rPr>
        <w:t>Un acuífero es una formación geológica saturada con agua, cuyo volumen y permeabilidad es suficiente para sostener la extracción de un caudal significativo de agua dulce (</w:t>
      </w:r>
      <w:proofErr w:type="spellStart"/>
      <w:r w:rsidRPr="00280CA6">
        <w:rPr>
          <w:rFonts w:ascii="Book Antiqua" w:hAnsi="Book Antiqua"/>
          <w:lang w:val="es-PR"/>
        </w:rPr>
        <w:t>Driscoll</w:t>
      </w:r>
      <w:proofErr w:type="spellEnd"/>
      <w:r w:rsidRPr="00280CA6">
        <w:rPr>
          <w:rFonts w:ascii="Book Antiqua" w:hAnsi="Book Antiqua"/>
          <w:lang w:val="es-PR"/>
        </w:rPr>
        <w:t xml:space="preserve">, 1986; Campbell y </w:t>
      </w:r>
      <w:proofErr w:type="spellStart"/>
      <w:r w:rsidRPr="00280CA6">
        <w:rPr>
          <w:rFonts w:ascii="Book Antiqua" w:hAnsi="Book Antiqua"/>
          <w:lang w:val="es-PR"/>
        </w:rPr>
        <w:t>Lehr</w:t>
      </w:r>
      <w:proofErr w:type="spellEnd"/>
      <w:r w:rsidRPr="00280CA6">
        <w:rPr>
          <w:rFonts w:ascii="Book Antiqua" w:hAnsi="Book Antiqua"/>
          <w:lang w:val="es-PR"/>
        </w:rPr>
        <w:t>, 1973). Puerto Rico cuenta con una diversidad de formaciones geológicas que funcionan como acuíferos, las cuales se pueden agrupar en tres tipos de formaciones geológicas fundamentales: depósitos aluviales, roca caliza (cárstica) y roca ígnea. Los acuíferos formados por depósitos aluviales se conocen como acuíferos aluviales, que son el tipo de acuífero que se encuentra en la zona sur de Puerto Rico.</w:t>
      </w:r>
    </w:p>
    <w:p w14:paraId="71F25183" w14:textId="77777777" w:rsidR="00793B2A" w:rsidRPr="00280CA6" w:rsidRDefault="00793B2A" w:rsidP="00793B2A">
      <w:pPr>
        <w:ind w:firstLine="360"/>
        <w:jc w:val="both"/>
        <w:rPr>
          <w:rFonts w:ascii="Book Antiqua" w:hAnsi="Book Antiqua"/>
          <w:lang w:val="es-PR"/>
        </w:rPr>
      </w:pPr>
    </w:p>
    <w:p w14:paraId="6A4BBDDA" w14:textId="77777777" w:rsidR="000541A6" w:rsidRDefault="000541A6" w:rsidP="00793B2A">
      <w:pPr>
        <w:ind w:firstLine="360"/>
        <w:jc w:val="both"/>
        <w:rPr>
          <w:rFonts w:ascii="Book Antiqua" w:hAnsi="Book Antiqua"/>
          <w:lang w:val="es-PR"/>
        </w:rPr>
      </w:pPr>
      <w:r w:rsidRPr="00280CA6">
        <w:rPr>
          <w:rFonts w:ascii="Book Antiqua" w:hAnsi="Book Antiqua"/>
          <w:lang w:val="es-PR"/>
        </w:rPr>
        <w:lastRenderedPageBreak/>
        <w:t xml:space="preserve">En el 2014, el Departamento de Recursos Naturales y Ambientales (DRNA), presentó un “Informe Técnico para la Declaración de Área Crítica – Acuíferos del Sur”, el cual establecía el estado de situación de los acuíferos del sur de Puerto Rico y las medidas urgentes a tomar para la recuperación de este importante recurso natural. Basado en este Informe, y en reuniones de trabajo </w:t>
      </w:r>
      <w:proofErr w:type="spellStart"/>
      <w:r w:rsidRPr="00280CA6">
        <w:rPr>
          <w:rFonts w:ascii="Book Antiqua" w:hAnsi="Book Antiqua"/>
          <w:lang w:val="es-PR"/>
        </w:rPr>
        <w:t>interagencial</w:t>
      </w:r>
      <w:proofErr w:type="spellEnd"/>
      <w:r w:rsidRPr="00280CA6">
        <w:rPr>
          <w:rFonts w:ascii="Book Antiqua" w:hAnsi="Book Antiqua"/>
          <w:lang w:val="es-PR"/>
        </w:rPr>
        <w:t xml:space="preserve"> posteriores, se redactó un “Plan de Acción para la Recuperación de los Acuíferos del Sur”.</w:t>
      </w:r>
    </w:p>
    <w:p w14:paraId="2923E13B" w14:textId="77777777" w:rsidR="00793B2A" w:rsidRPr="00280CA6" w:rsidRDefault="00793B2A" w:rsidP="00793B2A">
      <w:pPr>
        <w:ind w:firstLine="360"/>
        <w:jc w:val="both"/>
        <w:rPr>
          <w:rFonts w:ascii="Book Antiqua" w:hAnsi="Book Antiqua"/>
          <w:lang w:val="es-PR"/>
        </w:rPr>
      </w:pPr>
    </w:p>
    <w:p w14:paraId="76BF4376" w14:textId="77777777" w:rsidR="000541A6" w:rsidRDefault="000541A6" w:rsidP="00793B2A">
      <w:pPr>
        <w:ind w:firstLine="360"/>
        <w:jc w:val="both"/>
        <w:rPr>
          <w:rFonts w:ascii="Book Antiqua" w:hAnsi="Book Antiqua"/>
          <w:lang w:val="es-PR"/>
        </w:rPr>
      </w:pPr>
      <w:r w:rsidRPr="00280CA6">
        <w:rPr>
          <w:rFonts w:ascii="Book Antiqua" w:hAnsi="Book Antiqua"/>
          <w:lang w:val="es-PR"/>
        </w:rPr>
        <w:t xml:space="preserve">Según el Informe, la problemática con el sistema de los acuíferos del sur viene agudizándose desde la década de los ‘90. Históricamente, los suelos agrícolas de la costa sur fueron regados con una combinación de agua de los acuíferos locales y de los canales de riego para el cultivo de la caña de azúcar. El riego de este cultivo se hacía mediante inundación de los terrenos. El exceso de agua que no se evapotranspiraba se infiltraba al acuífero. Todo este proceso resultaba en una recarga de los acuíferos mayor a la que ocurriría naturalmente. </w:t>
      </w:r>
    </w:p>
    <w:p w14:paraId="4E1DC370" w14:textId="77777777" w:rsidR="00793B2A" w:rsidRPr="00280CA6" w:rsidRDefault="00793B2A" w:rsidP="00793B2A">
      <w:pPr>
        <w:ind w:firstLine="360"/>
        <w:jc w:val="both"/>
        <w:rPr>
          <w:rFonts w:ascii="Book Antiqua" w:hAnsi="Book Antiqua"/>
          <w:lang w:val="es-PR"/>
        </w:rPr>
      </w:pPr>
    </w:p>
    <w:p w14:paraId="228BFBF5" w14:textId="77777777" w:rsidR="000541A6" w:rsidRDefault="000541A6" w:rsidP="00793B2A">
      <w:pPr>
        <w:ind w:firstLine="360"/>
        <w:jc w:val="both"/>
        <w:rPr>
          <w:rFonts w:ascii="Book Antiqua" w:hAnsi="Book Antiqua"/>
          <w:lang w:val="es-PR"/>
        </w:rPr>
      </w:pPr>
      <w:r w:rsidRPr="00280CA6">
        <w:rPr>
          <w:rFonts w:ascii="Book Antiqua" w:hAnsi="Book Antiqua"/>
          <w:lang w:val="es-PR"/>
        </w:rPr>
        <w:t>A principios de la década de los ’90, finaliza el cultivo de la caña y los nuevos cultivos se riegan con aguas subterráneas mediante el método de riego por goteo. El uso de los acuíferos como fuente de agua potable se intensifica y pasa a ser el uso principal del agua del acuífero. Esto resulta en una sobreexplotación de los acuíferos, pues ya se había eliminado la recarga artificial que resultaba del riego de aguas por inundación de los terrenos agrícolas. La reducción en el área bajo riego y menos cuerdas que utilizaban agua de los canales, y un sistema de riego por goteo que dejó de utilizar agua de los canales y empezó a utilizar agua subterránea, son factores que han producido una merma significativa en la recarga de los acuíferos en la Costa Sur durante los últimos 20 años.</w:t>
      </w:r>
    </w:p>
    <w:p w14:paraId="24ED113C" w14:textId="77777777" w:rsidR="00793B2A" w:rsidRPr="00280CA6" w:rsidRDefault="00793B2A" w:rsidP="00793B2A">
      <w:pPr>
        <w:ind w:firstLine="360"/>
        <w:jc w:val="both"/>
        <w:rPr>
          <w:rFonts w:ascii="Book Antiqua" w:hAnsi="Book Antiqua"/>
          <w:lang w:val="es-PR"/>
        </w:rPr>
      </w:pPr>
    </w:p>
    <w:p w14:paraId="6F4DA3AB" w14:textId="77777777" w:rsidR="000541A6" w:rsidRDefault="000541A6" w:rsidP="00793B2A">
      <w:pPr>
        <w:ind w:firstLine="360"/>
        <w:jc w:val="both"/>
        <w:rPr>
          <w:rFonts w:ascii="Book Antiqua" w:hAnsi="Book Antiqua"/>
          <w:lang w:val="es-PR"/>
        </w:rPr>
      </w:pPr>
      <w:r w:rsidRPr="00280CA6">
        <w:rPr>
          <w:rFonts w:ascii="Book Antiqua" w:hAnsi="Book Antiqua"/>
          <w:lang w:val="es-PR"/>
        </w:rPr>
        <w:t>El Informe determinó que los acuíferos del sur que están siendo sobreexplotados y que presentan algún tipo de contaminación o tendencia en esa dirección son los que ubican en los municipios de Ponce, Juana Díaz, Santa Isabel, Salinas, Guayama y Arroyo. Más adelante se incluyeron Coamo y Aibonito.</w:t>
      </w:r>
    </w:p>
    <w:p w14:paraId="01138EA0" w14:textId="77777777" w:rsidR="00793B2A" w:rsidRPr="00280CA6" w:rsidRDefault="00793B2A" w:rsidP="00793B2A">
      <w:pPr>
        <w:ind w:firstLine="360"/>
        <w:jc w:val="both"/>
        <w:rPr>
          <w:rFonts w:ascii="Book Antiqua" w:hAnsi="Book Antiqua"/>
          <w:lang w:val="es-PR"/>
        </w:rPr>
      </w:pPr>
    </w:p>
    <w:p w14:paraId="108CC3C5" w14:textId="77777777" w:rsidR="000541A6" w:rsidRDefault="000541A6" w:rsidP="00793B2A">
      <w:pPr>
        <w:ind w:firstLine="360"/>
        <w:jc w:val="both"/>
        <w:rPr>
          <w:rFonts w:ascii="Book Antiqua" w:hAnsi="Book Antiqua"/>
          <w:lang w:val="es-PR"/>
        </w:rPr>
      </w:pPr>
      <w:r w:rsidRPr="00280CA6">
        <w:rPr>
          <w:rFonts w:ascii="Book Antiqua" w:hAnsi="Book Antiqua"/>
          <w:lang w:val="es-PR"/>
        </w:rPr>
        <w:t xml:space="preserve">Estos acuíferos son la fuente de agua potable para cerca de 110,000 personas en la zona sur de Puerto Rico y para riego de los suelos agrícolas del sur de la Isla. Actualmente, estos acuíferos presentan contaminación con sólidos disueltos (intrusión salina) y nitratos. Esta contaminación compromete la calidad del agua de los acuíferos para uso agrícola y agua potable. De prolongarse y agravarse este problema llegará el momento en que el acuífero no será apto para uso alguno y habrá que invertir en la restauración </w:t>
      </w:r>
      <w:proofErr w:type="gramStart"/>
      <w:r w:rsidRPr="00280CA6">
        <w:rPr>
          <w:rFonts w:ascii="Book Antiqua" w:hAnsi="Book Antiqua"/>
          <w:lang w:val="es-PR"/>
        </w:rPr>
        <w:t>del mismo</w:t>
      </w:r>
      <w:proofErr w:type="gramEnd"/>
      <w:r w:rsidRPr="00280CA6">
        <w:rPr>
          <w:rFonts w:ascii="Book Antiqua" w:hAnsi="Book Antiqua"/>
          <w:lang w:val="es-PR"/>
        </w:rPr>
        <w:t>.</w:t>
      </w:r>
    </w:p>
    <w:p w14:paraId="217DD1D4" w14:textId="77777777" w:rsidR="00793B2A" w:rsidRPr="00280CA6" w:rsidRDefault="00793B2A" w:rsidP="00793B2A">
      <w:pPr>
        <w:ind w:firstLine="360"/>
        <w:jc w:val="both"/>
        <w:rPr>
          <w:rFonts w:ascii="Book Antiqua" w:hAnsi="Book Antiqua"/>
          <w:lang w:val="es-PR"/>
        </w:rPr>
      </w:pPr>
    </w:p>
    <w:p w14:paraId="033F1EBB" w14:textId="77777777" w:rsidR="000541A6" w:rsidRDefault="000541A6" w:rsidP="00793B2A">
      <w:pPr>
        <w:ind w:firstLine="360"/>
        <w:jc w:val="both"/>
        <w:rPr>
          <w:rFonts w:ascii="Book Antiqua" w:hAnsi="Book Antiqua"/>
          <w:lang w:val="es-PR"/>
        </w:rPr>
      </w:pPr>
      <w:r w:rsidRPr="00280CA6">
        <w:rPr>
          <w:rFonts w:ascii="Book Antiqua" w:hAnsi="Book Antiqua"/>
          <w:lang w:val="es-PR"/>
        </w:rPr>
        <w:t xml:space="preserve">Por su parte, la Junta de Planificación de Puerto Rico (JP), aprobó la Resolución JP-2016-314, la cual buscaba dar cumplimiento a la Orden Ejecutiva OE-2015-26 que establecía el Plan de Manejo y Restauración del Acuífero del Sur e incorporar procedimientos especiales para la evaluación de proyectos nuevos o expansiones de </w:t>
      </w:r>
      <w:r w:rsidRPr="00280CA6">
        <w:rPr>
          <w:rFonts w:ascii="Book Antiqua" w:hAnsi="Book Antiqua"/>
          <w:lang w:val="es-PR"/>
        </w:rPr>
        <w:lastRenderedPageBreak/>
        <w:t>proyectos vigentes en los municipios de Ponce, Juana Díaz, Santa Isabel, Salinas, Guayama, Arroyo, Coamo y Aibonito.</w:t>
      </w:r>
    </w:p>
    <w:p w14:paraId="2F4E96EF" w14:textId="77777777" w:rsidR="00793B2A" w:rsidRPr="00280CA6" w:rsidRDefault="00793B2A" w:rsidP="00793B2A">
      <w:pPr>
        <w:ind w:firstLine="360"/>
        <w:jc w:val="both"/>
        <w:rPr>
          <w:rFonts w:ascii="Book Antiqua" w:hAnsi="Book Antiqua"/>
          <w:lang w:val="es-PR"/>
        </w:rPr>
      </w:pPr>
    </w:p>
    <w:p w14:paraId="278AAE52" w14:textId="77777777" w:rsidR="000541A6" w:rsidRDefault="000541A6" w:rsidP="00793B2A">
      <w:pPr>
        <w:ind w:firstLine="360"/>
        <w:jc w:val="both"/>
        <w:rPr>
          <w:rFonts w:ascii="Book Antiqua" w:hAnsi="Book Antiqua"/>
          <w:lang w:val="es-PR"/>
        </w:rPr>
      </w:pPr>
      <w:r w:rsidRPr="00280CA6">
        <w:rPr>
          <w:rFonts w:ascii="Book Antiqua" w:hAnsi="Book Antiqua"/>
          <w:lang w:val="es-PR"/>
        </w:rPr>
        <w:t xml:space="preserve">En su Resolución, la JP establece que esta agencia “tiene la responsabilidad de integrar eficazmente la planificación del uso del suelo y la gestión de las aguas subterráneas en un rango de escalas geográficas, local hasta estatal, para lograr preservar sosteniblemente el Acuífero del Sur, facilitando la recarga y protegiendo la calidad de las aguas subterráneas”. </w:t>
      </w:r>
    </w:p>
    <w:p w14:paraId="2049D74F" w14:textId="77777777" w:rsidR="00793B2A" w:rsidRPr="00280CA6" w:rsidRDefault="00793B2A" w:rsidP="00793B2A">
      <w:pPr>
        <w:ind w:firstLine="360"/>
        <w:jc w:val="both"/>
        <w:rPr>
          <w:rFonts w:ascii="Book Antiqua" w:hAnsi="Book Antiqua"/>
          <w:lang w:val="es-PR"/>
        </w:rPr>
      </w:pPr>
    </w:p>
    <w:p w14:paraId="0E4E5716" w14:textId="77777777" w:rsidR="000541A6" w:rsidRDefault="000541A6" w:rsidP="00793B2A">
      <w:pPr>
        <w:ind w:firstLine="360"/>
        <w:jc w:val="both"/>
        <w:rPr>
          <w:rFonts w:ascii="Book Antiqua" w:hAnsi="Book Antiqua"/>
          <w:lang w:val="es-PR"/>
        </w:rPr>
      </w:pPr>
      <w:r w:rsidRPr="00280CA6">
        <w:rPr>
          <w:rFonts w:ascii="Book Antiqua" w:hAnsi="Book Antiqua"/>
          <w:lang w:val="es-PR"/>
        </w:rPr>
        <w:t xml:space="preserve">Además, la JP designó “Zona de Evaluación Especial del Acuífero del Sur los terrenos designados por el DRNA en el informe técnico “Declaración del Área Crítica – Acuíferos del Sur” como áreas de interés primario y secundario, y las áreas de servicio de la Autoridad de Acueductos y Alcantarillados (AAA) suplidas parcial o totalmente por fuentes subterráneas del acuífero del sur en los municipios de Ponce, Juana Díaz, Santa Isabel, Salinas, Guayama, Arroyo, Coamo y Aibonito…”. </w:t>
      </w:r>
    </w:p>
    <w:p w14:paraId="49731649" w14:textId="77777777" w:rsidR="00793B2A" w:rsidRPr="00280CA6" w:rsidRDefault="00793B2A" w:rsidP="00793B2A">
      <w:pPr>
        <w:ind w:firstLine="360"/>
        <w:jc w:val="both"/>
        <w:rPr>
          <w:rFonts w:ascii="Book Antiqua" w:hAnsi="Book Antiqua"/>
          <w:lang w:val="es-PR"/>
        </w:rPr>
      </w:pPr>
    </w:p>
    <w:p w14:paraId="6E6FA28F" w14:textId="77777777" w:rsidR="000541A6" w:rsidRDefault="000541A6" w:rsidP="00793B2A">
      <w:pPr>
        <w:ind w:firstLine="360"/>
        <w:jc w:val="both"/>
        <w:rPr>
          <w:rFonts w:ascii="Book Antiqua" w:hAnsi="Book Antiqua"/>
          <w:lang w:val="es-PR"/>
        </w:rPr>
      </w:pPr>
      <w:r w:rsidRPr="00280CA6">
        <w:rPr>
          <w:rFonts w:ascii="Book Antiqua" w:hAnsi="Book Antiqua"/>
          <w:lang w:val="es-PR"/>
        </w:rPr>
        <w:t>De igual forma, diversos estudios publicados en los pasados años, y que exploran las implicaciones del cambio climático para Puerto Rico, han presentado proyecciones que indican cambios sustanciales en los promedios de temperatura y precipitación en toda la isla, así como variaciones según la década analizada y el área geográfica.</w:t>
      </w:r>
    </w:p>
    <w:p w14:paraId="04F6BE63" w14:textId="77777777" w:rsidR="00793B2A" w:rsidRPr="00280CA6" w:rsidRDefault="00793B2A" w:rsidP="00793B2A">
      <w:pPr>
        <w:ind w:firstLine="360"/>
        <w:jc w:val="both"/>
        <w:rPr>
          <w:rFonts w:ascii="Book Antiqua" w:hAnsi="Book Antiqua"/>
          <w:lang w:val="es-PR"/>
        </w:rPr>
      </w:pPr>
    </w:p>
    <w:p w14:paraId="4BBC314C" w14:textId="77777777" w:rsidR="000541A6" w:rsidRDefault="000541A6" w:rsidP="00793B2A">
      <w:pPr>
        <w:ind w:firstLine="360"/>
        <w:jc w:val="both"/>
        <w:rPr>
          <w:rFonts w:ascii="Book Antiqua" w:hAnsi="Book Antiqua"/>
          <w:lang w:val="es-PR"/>
        </w:rPr>
      </w:pPr>
      <w:r w:rsidRPr="00280CA6">
        <w:rPr>
          <w:rFonts w:ascii="Book Antiqua" w:hAnsi="Book Antiqua"/>
          <w:lang w:val="es-PR"/>
        </w:rPr>
        <w:t>Algunos de esos estudios muestran un aumento de la temperatura de 4.6°C a 9°C (8°F a 16°F) y una disminución de la precipitación de hasta un 50% para finales de siglo. También se detalla cómo estos cambios están relacionados con la topografía de la isla y advierte una tendencia hacia el aumento de los días de calor al año y en la demanda de refrigeración, así como un aumento en el número de días sin lluvia al año.</w:t>
      </w:r>
    </w:p>
    <w:p w14:paraId="77EC6163" w14:textId="77777777" w:rsidR="0014758C" w:rsidRPr="00280CA6" w:rsidRDefault="0014758C" w:rsidP="00793B2A">
      <w:pPr>
        <w:ind w:firstLine="360"/>
        <w:jc w:val="both"/>
        <w:rPr>
          <w:rFonts w:ascii="Book Antiqua" w:hAnsi="Book Antiqua"/>
          <w:lang w:val="es-PR"/>
        </w:rPr>
      </w:pPr>
    </w:p>
    <w:p w14:paraId="1E5914D6" w14:textId="0DBC1970" w:rsidR="00A10B1E" w:rsidRPr="004F6F8E" w:rsidRDefault="000541A6" w:rsidP="00793B2A">
      <w:pPr>
        <w:ind w:firstLine="360"/>
        <w:jc w:val="both"/>
        <w:rPr>
          <w:rFonts w:ascii="Book Antiqua" w:hAnsi="Book Antiqua"/>
          <w:lang w:val="es-PR"/>
        </w:rPr>
      </w:pPr>
      <w:r w:rsidRPr="00280CA6">
        <w:rPr>
          <w:rFonts w:ascii="Book Antiqua" w:hAnsi="Book Antiqua"/>
          <w:lang w:val="es-PR"/>
        </w:rPr>
        <w:t>Esta Asamblea Legislativa, asumiendo su responsabilidad con las generaciones presentes y futuras de nuestro país, entiende que la salud y el bienestar general de la población requieren que las aguas subterráneas utilizadas para el consumo, incluidas las posibles fuentes de agua potable, no sólo estén debidamente protegidas, sino que sean seguras para el consumo, con sujeción a una reglamentación razonable. Además, la realidad actual de nuestros acuíferos, en especial los acuíferos del sur, y los retos que conlleva los efectos del cambio climático, hace necesario establecer – en lo que constituye una iniciativa novel en nuestro país, donde a esta fecha no hay reservas hídricas declaradas por la vía legislativa</w:t>
      </w:r>
      <w:proofErr w:type="gramStart"/>
      <w:r w:rsidRPr="00280CA6">
        <w:rPr>
          <w:rFonts w:ascii="Book Antiqua" w:hAnsi="Book Antiqua"/>
          <w:lang w:val="es-PR"/>
        </w:rPr>
        <w:t>-  la</w:t>
      </w:r>
      <w:proofErr w:type="gramEnd"/>
      <w:r w:rsidRPr="00280CA6">
        <w:rPr>
          <w:rFonts w:ascii="Book Antiqua" w:hAnsi="Book Antiqua"/>
          <w:lang w:val="es-PR"/>
        </w:rPr>
        <w:t xml:space="preserve"> Reserva Hídrica del Acuífero del Sur.</w:t>
      </w:r>
    </w:p>
    <w:p w14:paraId="7674B2AD" w14:textId="192CDDF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3B7C35DC" w14:textId="4153C996" w:rsidR="005827FF" w:rsidRPr="00280CA6" w:rsidRDefault="005827FF" w:rsidP="005827FF">
      <w:pPr>
        <w:spacing w:line="480" w:lineRule="auto"/>
        <w:ind w:firstLine="360"/>
        <w:jc w:val="both"/>
        <w:rPr>
          <w:rFonts w:ascii="Book Antiqua" w:hAnsi="Book Antiqua"/>
          <w:lang w:val="es-ES_tradnl"/>
        </w:rPr>
      </w:pPr>
      <w:r w:rsidRPr="00280CA6">
        <w:rPr>
          <w:rFonts w:ascii="Book Antiqua" w:hAnsi="Book Antiqua"/>
          <w:lang w:val="es-ES_tradnl"/>
        </w:rPr>
        <w:t>Artículo 1.</w:t>
      </w:r>
      <w:r>
        <w:rPr>
          <w:rFonts w:ascii="Book Antiqua" w:hAnsi="Book Antiqua"/>
          <w:lang w:val="es-ES_tradnl"/>
        </w:rPr>
        <w:t xml:space="preserve"> –</w:t>
      </w:r>
      <w:r w:rsidRPr="00280CA6">
        <w:rPr>
          <w:rFonts w:ascii="Book Antiqua" w:hAnsi="Book Antiqua"/>
          <w:lang w:val="es-ES_tradnl"/>
        </w:rPr>
        <w:t xml:space="preserve"> Título</w:t>
      </w:r>
    </w:p>
    <w:p w14:paraId="272AF9BD" w14:textId="77777777" w:rsidR="005827FF" w:rsidRPr="00280CA6" w:rsidRDefault="005827FF" w:rsidP="005827FF">
      <w:pPr>
        <w:spacing w:line="480" w:lineRule="auto"/>
        <w:ind w:firstLine="360"/>
        <w:jc w:val="both"/>
        <w:rPr>
          <w:rFonts w:ascii="Book Antiqua" w:hAnsi="Book Antiqua"/>
          <w:lang w:val="es-ES_tradnl"/>
        </w:rPr>
      </w:pPr>
      <w:r w:rsidRPr="00280CA6">
        <w:rPr>
          <w:rFonts w:ascii="Book Antiqua" w:hAnsi="Book Antiqua"/>
          <w:lang w:val="es-ES_tradnl"/>
        </w:rPr>
        <w:t>Esta Ley se conocerá como “Ley de la Reserva Hídrica del Acuífero del Sur”.</w:t>
      </w:r>
    </w:p>
    <w:p w14:paraId="36BB7FB5" w14:textId="7C6C7A06"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ES_tradnl"/>
        </w:rPr>
        <w:lastRenderedPageBreak/>
        <w:tab/>
        <w:t>Artículo 2.</w:t>
      </w:r>
      <w:r>
        <w:rPr>
          <w:rFonts w:ascii="Book Antiqua" w:hAnsi="Book Antiqua"/>
          <w:lang w:val="es-ES_tradnl"/>
        </w:rPr>
        <w:t xml:space="preserve"> –</w:t>
      </w:r>
      <w:r w:rsidRPr="00280CA6">
        <w:rPr>
          <w:rFonts w:ascii="Book Antiqua" w:hAnsi="Book Antiqua"/>
          <w:lang w:val="es-ES_tradnl"/>
        </w:rPr>
        <w:t xml:space="preserve"> Política Pública</w:t>
      </w:r>
    </w:p>
    <w:p w14:paraId="521F177F" w14:textId="77777777"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PR"/>
        </w:rPr>
        <w:t>El Gobierno de Puerto Rico apoya la determinación del Comité de Derechos Económicos, Sociales y Culturales de la Organización de Naciones Unidas (ONU), la cual estableció que: "El derecho humano al agua es indispensable para una vida humana digna".</w:t>
      </w:r>
    </w:p>
    <w:p w14:paraId="0DD54DB0" w14:textId="77777777"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PR"/>
        </w:rPr>
        <w:t xml:space="preserve">Además, reitera el compromiso fijado en el Artículo VI, Sección 19, de la Constitución del Estado Libre Asociado de Puerto Rico, con “la más eficaz conservación de sus recursos naturales, así como el mayor desarrollo y aprovechamiento de </w:t>
      </w:r>
      <w:proofErr w:type="gramStart"/>
      <w:r w:rsidRPr="00280CA6">
        <w:rPr>
          <w:rFonts w:ascii="Book Antiqua" w:hAnsi="Book Antiqua"/>
          <w:lang w:val="es-PR"/>
        </w:rPr>
        <w:t>los mismos</w:t>
      </w:r>
      <w:proofErr w:type="gramEnd"/>
      <w:r w:rsidRPr="00280CA6">
        <w:rPr>
          <w:rFonts w:ascii="Book Antiqua" w:hAnsi="Book Antiqua"/>
          <w:lang w:val="es-PR"/>
        </w:rPr>
        <w:t xml:space="preserve"> para el beneficio general de la comunidad…”.</w:t>
      </w:r>
    </w:p>
    <w:p w14:paraId="4B1217A7" w14:textId="77777777"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PR"/>
        </w:rPr>
        <w:t>De igual forma, se reafirma la política pública establecida en la Ley Núm. 136 del 3 de junio de 1976, según enmendada, conocida como "Ley para la Conservación, el Desarrollo y Uso de los Recursos de Agua de Puerto Rico", sobre: “mantener el grado de pureza de las aguas de Puerto Rico que requiera el bienestar, la seguridad y el desarrollo del país, asegurar el abasto de aguas que precisen las generaciones puertorriqueñas presentes y futuras mediante el establecimiento de áreas de reserva de aguas y aprovechar las aguas y cuerpos de agua de Puerto Rico con arreglo al interés público y a criterios de uso óptimo, beneficioso y razonables.”</w:t>
      </w:r>
    </w:p>
    <w:p w14:paraId="10223CC9" w14:textId="6741524C" w:rsidR="005827FF" w:rsidRPr="00280CA6" w:rsidRDefault="005827FF" w:rsidP="005827FF">
      <w:pPr>
        <w:spacing w:line="480" w:lineRule="auto"/>
        <w:ind w:firstLine="360"/>
        <w:jc w:val="both"/>
        <w:rPr>
          <w:rFonts w:ascii="Book Antiqua" w:hAnsi="Book Antiqua"/>
          <w:lang w:val="es-ES_tradnl"/>
        </w:rPr>
      </w:pPr>
      <w:r w:rsidRPr="00280CA6">
        <w:rPr>
          <w:rFonts w:ascii="Book Antiqua" w:hAnsi="Book Antiqua"/>
          <w:lang w:val="es-ES_tradnl"/>
        </w:rPr>
        <w:t>Artículo 3.</w:t>
      </w:r>
      <w:r>
        <w:rPr>
          <w:rFonts w:ascii="Book Antiqua" w:hAnsi="Book Antiqua"/>
          <w:lang w:val="es-ES_tradnl"/>
        </w:rPr>
        <w:t xml:space="preserve"> –</w:t>
      </w:r>
      <w:r w:rsidRPr="00280CA6">
        <w:rPr>
          <w:rFonts w:ascii="Book Antiqua" w:hAnsi="Book Antiqua"/>
          <w:lang w:val="es-ES_tradnl"/>
        </w:rPr>
        <w:t xml:space="preserve"> Definiciones</w:t>
      </w:r>
    </w:p>
    <w:p w14:paraId="0C8299B4" w14:textId="77777777" w:rsidR="005827FF" w:rsidRPr="00280CA6" w:rsidRDefault="005827FF" w:rsidP="005827FF">
      <w:pPr>
        <w:numPr>
          <w:ilvl w:val="0"/>
          <w:numId w:val="16"/>
        </w:numPr>
        <w:spacing w:line="480" w:lineRule="auto"/>
        <w:jc w:val="both"/>
        <w:rPr>
          <w:rFonts w:ascii="Book Antiqua" w:hAnsi="Book Antiqua"/>
          <w:lang w:val="es-ES_tradnl"/>
        </w:rPr>
      </w:pPr>
      <w:r w:rsidRPr="00280CA6">
        <w:rPr>
          <w:rFonts w:ascii="Book Antiqua" w:hAnsi="Book Antiqua"/>
          <w:lang w:val="es-ES_tradnl"/>
        </w:rPr>
        <w:t>Acuífero – significa una formación geológica saturada con agua, cuyo volumen y permeabilidad es suficiente para sostener la extracción de un caudal significativo de agua dulce (</w:t>
      </w:r>
      <w:proofErr w:type="spellStart"/>
      <w:r w:rsidRPr="00280CA6">
        <w:rPr>
          <w:rFonts w:ascii="Book Antiqua" w:hAnsi="Book Antiqua"/>
          <w:lang w:val="es-ES_tradnl"/>
        </w:rPr>
        <w:t>Driscoll</w:t>
      </w:r>
      <w:proofErr w:type="spellEnd"/>
      <w:r w:rsidRPr="00280CA6">
        <w:rPr>
          <w:rFonts w:ascii="Book Antiqua" w:hAnsi="Book Antiqua"/>
          <w:lang w:val="es-ES_tradnl"/>
        </w:rPr>
        <w:t xml:space="preserve">, 1986; Campbell y </w:t>
      </w:r>
      <w:proofErr w:type="spellStart"/>
      <w:r w:rsidRPr="00280CA6">
        <w:rPr>
          <w:rFonts w:ascii="Book Antiqua" w:hAnsi="Book Antiqua"/>
          <w:lang w:val="es-ES_tradnl"/>
        </w:rPr>
        <w:t>Lehr</w:t>
      </w:r>
      <w:proofErr w:type="spellEnd"/>
      <w:r w:rsidRPr="00280CA6">
        <w:rPr>
          <w:rFonts w:ascii="Book Antiqua" w:hAnsi="Book Antiqua"/>
          <w:lang w:val="es-ES_tradnl"/>
        </w:rPr>
        <w:t>, 1973).</w:t>
      </w:r>
    </w:p>
    <w:p w14:paraId="094F4817" w14:textId="77777777" w:rsidR="005827FF" w:rsidRPr="00280CA6" w:rsidRDefault="005827FF" w:rsidP="005827FF">
      <w:pPr>
        <w:numPr>
          <w:ilvl w:val="0"/>
          <w:numId w:val="16"/>
        </w:numPr>
        <w:spacing w:line="480" w:lineRule="auto"/>
        <w:jc w:val="both"/>
        <w:rPr>
          <w:rFonts w:ascii="Book Antiqua" w:hAnsi="Book Antiqua"/>
          <w:lang w:val="es-ES_tradnl"/>
        </w:rPr>
      </w:pPr>
      <w:r w:rsidRPr="00280CA6">
        <w:rPr>
          <w:rFonts w:ascii="Book Antiqua" w:hAnsi="Book Antiqua"/>
          <w:lang w:val="es-ES_tradnl"/>
        </w:rPr>
        <w:t>AEE – significa Autoridad de Energía Eléctrica.</w:t>
      </w:r>
    </w:p>
    <w:p w14:paraId="418D4896" w14:textId="77777777" w:rsidR="005827FF" w:rsidRPr="00280CA6" w:rsidRDefault="005827FF" w:rsidP="005827FF">
      <w:pPr>
        <w:numPr>
          <w:ilvl w:val="0"/>
          <w:numId w:val="16"/>
        </w:numPr>
        <w:spacing w:line="480" w:lineRule="auto"/>
        <w:jc w:val="both"/>
        <w:rPr>
          <w:rFonts w:ascii="Book Antiqua" w:hAnsi="Book Antiqua"/>
          <w:lang w:val="es-ES_tradnl"/>
        </w:rPr>
      </w:pPr>
      <w:r w:rsidRPr="00280CA6">
        <w:rPr>
          <w:rFonts w:ascii="Book Antiqua" w:hAnsi="Book Antiqua"/>
          <w:lang w:val="es-ES_tradnl"/>
        </w:rPr>
        <w:lastRenderedPageBreak/>
        <w:t>DRNA – significa el Departamento de Recursos Naturales y Ambientales.</w:t>
      </w:r>
    </w:p>
    <w:p w14:paraId="64267F1A" w14:textId="77777777" w:rsidR="005827FF" w:rsidRPr="00280CA6" w:rsidRDefault="005827FF" w:rsidP="005827FF">
      <w:pPr>
        <w:numPr>
          <w:ilvl w:val="0"/>
          <w:numId w:val="16"/>
        </w:numPr>
        <w:spacing w:line="480" w:lineRule="auto"/>
        <w:jc w:val="both"/>
        <w:rPr>
          <w:rFonts w:ascii="Book Antiqua" w:hAnsi="Book Antiqua"/>
          <w:lang w:val="es-ES_tradnl"/>
        </w:rPr>
      </w:pPr>
      <w:r w:rsidRPr="00280CA6">
        <w:rPr>
          <w:rFonts w:ascii="Book Antiqua" w:hAnsi="Book Antiqua"/>
          <w:lang w:val="es-ES_tradnl"/>
        </w:rPr>
        <w:t>JP – significa la Junta de Planificación de Puerto Rico.</w:t>
      </w:r>
    </w:p>
    <w:p w14:paraId="33E6F5C4" w14:textId="77777777" w:rsidR="005827FF" w:rsidRPr="00280CA6" w:rsidRDefault="005827FF" w:rsidP="005827FF">
      <w:pPr>
        <w:numPr>
          <w:ilvl w:val="0"/>
          <w:numId w:val="16"/>
        </w:numPr>
        <w:spacing w:line="480" w:lineRule="auto"/>
        <w:jc w:val="both"/>
        <w:rPr>
          <w:rFonts w:ascii="Book Antiqua" w:hAnsi="Book Antiqua"/>
          <w:lang w:val="es-ES_tradnl"/>
        </w:rPr>
      </w:pPr>
      <w:r w:rsidRPr="00280CA6">
        <w:rPr>
          <w:rFonts w:ascii="Book Antiqua" w:hAnsi="Book Antiqua"/>
          <w:lang w:val="es-ES_tradnl"/>
        </w:rPr>
        <w:t xml:space="preserve">Reserva Hídrica del Acuífero del Sur – significa los acuíferos y todo aquel cuerpo de agua (ríos, quebradas, canales o lagos) que influya en la recarga de </w:t>
      </w:r>
      <w:proofErr w:type="gramStart"/>
      <w:r w:rsidRPr="00280CA6">
        <w:rPr>
          <w:rFonts w:ascii="Book Antiqua" w:hAnsi="Book Antiqua"/>
          <w:lang w:val="es-ES_tradnl"/>
        </w:rPr>
        <w:t>los mismos</w:t>
      </w:r>
      <w:proofErr w:type="gramEnd"/>
      <w:r w:rsidRPr="00280CA6">
        <w:rPr>
          <w:rFonts w:ascii="Book Antiqua" w:hAnsi="Book Antiqua"/>
          <w:lang w:val="es-ES_tradnl"/>
        </w:rPr>
        <w:t>, delimitada por el DRNA y la JP.</w:t>
      </w:r>
    </w:p>
    <w:p w14:paraId="3E6F3A91" w14:textId="6488350D" w:rsidR="005827FF" w:rsidRPr="00280CA6" w:rsidRDefault="005827FF" w:rsidP="005827FF">
      <w:pPr>
        <w:spacing w:line="480" w:lineRule="auto"/>
        <w:ind w:firstLine="360"/>
        <w:jc w:val="both"/>
        <w:rPr>
          <w:rFonts w:ascii="Book Antiqua" w:hAnsi="Book Antiqua"/>
          <w:lang w:val="es-ES_tradnl"/>
        </w:rPr>
      </w:pPr>
      <w:r w:rsidRPr="00280CA6">
        <w:rPr>
          <w:rFonts w:ascii="Book Antiqua" w:hAnsi="Book Antiqua"/>
          <w:lang w:val="es-ES_tradnl"/>
        </w:rPr>
        <w:tab/>
        <w:t>Artículo 4.</w:t>
      </w:r>
      <w:r>
        <w:rPr>
          <w:rFonts w:ascii="Book Antiqua" w:hAnsi="Book Antiqua"/>
          <w:lang w:val="es-ES_tradnl"/>
        </w:rPr>
        <w:t xml:space="preserve"> –</w:t>
      </w:r>
      <w:r w:rsidRPr="00280CA6">
        <w:rPr>
          <w:rFonts w:ascii="Book Antiqua" w:hAnsi="Book Antiqua"/>
          <w:lang w:val="es-ES_tradnl"/>
        </w:rPr>
        <w:t xml:space="preserve"> Reserva Hídrica del Acuífero del Sur, Objetivos</w:t>
      </w:r>
    </w:p>
    <w:p w14:paraId="4C26A8C3" w14:textId="77777777"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ES_tradnl"/>
        </w:rPr>
        <w:tab/>
      </w:r>
      <w:r w:rsidRPr="00280CA6">
        <w:rPr>
          <w:rFonts w:ascii="Book Antiqua" w:hAnsi="Book Antiqua"/>
          <w:lang w:val="es-PR"/>
        </w:rPr>
        <w:t xml:space="preserve">La Reserva Hídrica del Acuífero del Sur se crea con los siguientes objetivos:  </w:t>
      </w:r>
    </w:p>
    <w:p w14:paraId="022523C0" w14:textId="77777777" w:rsidR="005827FF" w:rsidRPr="00280CA6" w:rsidRDefault="005827FF" w:rsidP="005827FF">
      <w:pPr>
        <w:numPr>
          <w:ilvl w:val="0"/>
          <w:numId w:val="14"/>
        </w:numPr>
        <w:spacing w:line="480" w:lineRule="auto"/>
        <w:jc w:val="both"/>
        <w:rPr>
          <w:rFonts w:ascii="Book Antiqua" w:hAnsi="Book Antiqua"/>
          <w:lang w:val="es-PR"/>
        </w:rPr>
      </w:pPr>
      <w:r w:rsidRPr="00280CA6">
        <w:rPr>
          <w:rFonts w:ascii="Book Antiqua" w:hAnsi="Book Antiqua"/>
          <w:lang w:val="es-PR"/>
        </w:rPr>
        <w:t>Asegurar la provisión de agua a los acuíferos ubicados en los municipios de Ponce, Juana Díaz, Santa Isabel, Salinas, Guayama, Arroyo, Coamo y Aibonito, en cantidad y calidad adecuada, compatibilizando las actividades de uso del suelo con el funcionamiento óptimo del ciclo hidrológico de toda cuenca</w:t>
      </w:r>
    </w:p>
    <w:p w14:paraId="65D9273B" w14:textId="77777777" w:rsidR="005827FF" w:rsidRPr="00280CA6" w:rsidRDefault="005827FF" w:rsidP="005827FF">
      <w:pPr>
        <w:numPr>
          <w:ilvl w:val="0"/>
          <w:numId w:val="14"/>
        </w:numPr>
        <w:spacing w:line="480" w:lineRule="auto"/>
        <w:jc w:val="both"/>
        <w:rPr>
          <w:rFonts w:ascii="Book Antiqua" w:hAnsi="Book Antiqua"/>
          <w:lang w:val="es-PR"/>
        </w:rPr>
      </w:pPr>
      <w:r w:rsidRPr="00280CA6">
        <w:rPr>
          <w:rFonts w:ascii="Book Antiqua" w:hAnsi="Book Antiqua"/>
          <w:lang w:val="es-PR"/>
        </w:rPr>
        <w:t>Asegurar el agua potable para el uso humano y para la actividad agrícola</w:t>
      </w:r>
    </w:p>
    <w:p w14:paraId="56C30243" w14:textId="77777777" w:rsidR="005827FF" w:rsidRPr="00280CA6" w:rsidRDefault="005827FF" w:rsidP="005827FF">
      <w:pPr>
        <w:numPr>
          <w:ilvl w:val="0"/>
          <w:numId w:val="14"/>
        </w:numPr>
        <w:spacing w:line="480" w:lineRule="auto"/>
        <w:jc w:val="both"/>
        <w:rPr>
          <w:rFonts w:ascii="Book Antiqua" w:hAnsi="Book Antiqua"/>
          <w:lang w:val="es-PR"/>
        </w:rPr>
      </w:pPr>
      <w:r w:rsidRPr="00280CA6">
        <w:rPr>
          <w:rFonts w:ascii="Book Antiqua" w:hAnsi="Book Antiqua"/>
          <w:lang w:val="es-PR"/>
        </w:rPr>
        <w:t>Prevenir la contaminación del recurso hídrico</w:t>
      </w:r>
    </w:p>
    <w:p w14:paraId="123AB08A" w14:textId="77777777" w:rsidR="005827FF" w:rsidRPr="00280CA6" w:rsidRDefault="005827FF" w:rsidP="005827FF">
      <w:pPr>
        <w:numPr>
          <w:ilvl w:val="0"/>
          <w:numId w:val="14"/>
        </w:numPr>
        <w:spacing w:line="480" w:lineRule="auto"/>
        <w:jc w:val="both"/>
        <w:rPr>
          <w:rFonts w:ascii="Book Antiqua" w:hAnsi="Book Antiqua"/>
          <w:lang w:val="es-PR"/>
        </w:rPr>
      </w:pPr>
      <w:r w:rsidRPr="00280CA6">
        <w:rPr>
          <w:rFonts w:ascii="Book Antiqua" w:hAnsi="Book Antiqua"/>
          <w:lang w:val="es-PR"/>
        </w:rPr>
        <w:t>Controlar la erosión y sedimentación en toda la reserva</w:t>
      </w:r>
    </w:p>
    <w:p w14:paraId="70935CB2" w14:textId="77777777" w:rsidR="005827FF" w:rsidRPr="00280CA6" w:rsidRDefault="005827FF" w:rsidP="005827FF">
      <w:pPr>
        <w:numPr>
          <w:ilvl w:val="0"/>
          <w:numId w:val="14"/>
        </w:numPr>
        <w:spacing w:line="480" w:lineRule="auto"/>
        <w:jc w:val="both"/>
        <w:rPr>
          <w:rFonts w:ascii="Book Antiqua" w:hAnsi="Book Antiqua"/>
          <w:lang w:val="es-PR"/>
        </w:rPr>
      </w:pPr>
      <w:r w:rsidRPr="00280CA6">
        <w:rPr>
          <w:rFonts w:ascii="Book Antiqua" w:hAnsi="Book Antiqua"/>
          <w:lang w:val="es-PR"/>
        </w:rPr>
        <w:t>Ordenar y regular el uso recreativo y turístico en toda la reserva</w:t>
      </w:r>
    </w:p>
    <w:p w14:paraId="60580C34" w14:textId="77777777" w:rsidR="005827FF" w:rsidRPr="00280CA6" w:rsidRDefault="005827FF" w:rsidP="005827FF">
      <w:pPr>
        <w:numPr>
          <w:ilvl w:val="0"/>
          <w:numId w:val="14"/>
        </w:numPr>
        <w:spacing w:line="480" w:lineRule="auto"/>
        <w:jc w:val="both"/>
        <w:rPr>
          <w:rFonts w:ascii="Book Antiqua" w:hAnsi="Book Antiqua"/>
          <w:lang w:val="es-PR"/>
        </w:rPr>
      </w:pPr>
      <w:r w:rsidRPr="00280CA6">
        <w:rPr>
          <w:rFonts w:ascii="Book Antiqua" w:hAnsi="Book Antiqua"/>
          <w:lang w:val="es-PR"/>
        </w:rPr>
        <w:t xml:space="preserve">Facilitar las actividades de conservación, educación, investigación, y </w:t>
      </w:r>
      <w:proofErr w:type="spellStart"/>
      <w:r w:rsidRPr="00280CA6">
        <w:rPr>
          <w:rFonts w:ascii="Book Antiqua" w:hAnsi="Book Antiqua"/>
          <w:lang w:val="es-PR"/>
        </w:rPr>
        <w:t>monitoría</w:t>
      </w:r>
      <w:proofErr w:type="spellEnd"/>
      <w:r w:rsidRPr="00280CA6">
        <w:rPr>
          <w:rFonts w:ascii="Book Antiqua" w:hAnsi="Book Antiqua"/>
          <w:lang w:val="es-PR"/>
        </w:rPr>
        <w:t xml:space="preserve"> sobre el ambiente y sus recursos en la Reserva</w:t>
      </w:r>
    </w:p>
    <w:p w14:paraId="2CD90454" w14:textId="58D2ABA2"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PR"/>
        </w:rPr>
        <w:t>Artículo 5.</w:t>
      </w:r>
      <w:r>
        <w:rPr>
          <w:rFonts w:ascii="Book Antiqua" w:hAnsi="Book Antiqua"/>
          <w:lang w:val="es-PR"/>
        </w:rPr>
        <w:t xml:space="preserve"> </w:t>
      </w:r>
      <w:r>
        <w:rPr>
          <w:rFonts w:ascii="Book Antiqua" w:hAnsi="Book Antiqua"/>
          <w:lang w:val="es-ES_tradnl"/>
        </w:rPr>
        <w:t>–</w:t>
      </w:r>
      <w:r w:rsidRPr="00280CA6">
        <w:rPr>
          <w:rFonts w:ascii="Book Antiqua" w:hAnsi="Book Antiqua"/>
          <w:lang w:val="es-PR"/>
        </w:rPr>
        <w:t xml:space="preserve"> Deberes de las agencias</w:t>
      </w:r>
    </w:p>
    <w:p w14:paraId="1C87D166" w14:textId="77777777"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PR"/>
        </w:rPr>
        <w:t xml:space="preserve">La Ley Núm. 136 de 3 de junio de 1976, según enmendada, conocida como la “Ley para la Conservación, el Desarrollo y Uso de los Recursos de Agua de Puerto Rico” (Ley de Aguas), en su Artículo 5 (d), faculta al Secretario(a) del DRNA a “establecer áreas o </w:t>
      </w:r>
      <w:r w:rsidRPr="00280CA6">
        <w:rPr>
          <w:rFonts w:ascii="Book Antiqua" w:hAnsi="Book Antiqua"/>
          <w:lang w:val="es-PR"/>
        </w:rPr>
        <w:lastRenderedPageBreak/>
        <w:t>distritos de aguas en estado crítico y adoptar con referencia a ellas las normas especiales y el sistema de prioridades que se precise para garantizar su mejor conservación, uso y aprovechamiento”.</w:t>
      </w:r>
    </w:p>
    <w:p w14:paraId="21790974" w14:textId="77777777"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PR"/>
        </w:rPr>
        <w:t>Dicha Ley, en su Artículo 2, establece que: “Es política pública del Estado Libre Asociado mantener el grado de pureza de las aguas de Puerto Rico que requiera el bienestar, la seguridad y el desarrollo del país, asegurar el abasto de aguas que precisen las generaciones puertorriqueñas presentes y futuras mediante el establecimiento de áreas de reserva de aguas y aprovechar las aguas y cuerpos de agua de Puerto Rico con arreglo al interés público y a criterios de uso óptimo, beneficioso y razonables.”</w:t>
      </w:r>
    </w:p>
    <w:p w14:paraId="3B6C60FC" w14:textId="77777777"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PR"/>
        </w:rPr>
        <w:t>Por tanto, se ordena lo siguiente:</w:t>
      </w:r>
    </w:p>
    <w:p w14:paraId="47D18614" w14:textId="77777777" w:rsidR="005827FF" w:rsidRPr="00280CA6" w:rsidRDefault="005827FF" w:rsidP="005827FF">
      <w:pPr>
        <w:numPr>
          <w:ilvl w:val="0"/>
          <w:numId w:val="17"/>
        </w:numPr>
        <w:spacing w:line="480" w:lineRule="auto"/>
        <w:ind w:left="720"/>
        <w:jc w:val="both"/>
        <w:rPr>
          <w:rFonts w:ascii="Book Antiqua" w:hAnsi="Book Antiqua"/>
          <w:lang w:val="es-PR"/>
        </w:rPr>
      </w:pPr>
      <w:r w:rsidRPr="00280CA6">
        <w:rPr>
          <w:rFonts w:ascii="Book Antiqua" w:hAnsi="Book Antiqua"/>
          <w:lang w:val="es-PR"/>
        </w:rPr>
        <w:t>Delimitación de reserva</w:t>
      </w:r>
    </w:p>
    <w:p w14:paraId="4C1181A2" w14:textId="77777777" w:rsidR="005827FF" w:rsidRPr="00280CA6" w:rsidRDefault="005827FF" w:rsidP="005827FF">
      <w:pPr>
        <w:numPr>
          <w:ilvl w:val="3"/>
          <w:numId w:val="17"/>
        </w:numPr>
        <w:spacing w:line="480" w:lineRule="auto"/>
        <w:ind w:left="1800"/>
        <w:jc w:val="both"/>
        <w:rPr>
          <w:rFonts w:ascii="Book Antiqua" w:hAnsi="Book Antiqua"/>
          <w:lang w:val="es-PR"/>
        </w:rPr>
      </w:pPr>
      <w:r w:rsidRPr="00280CA6">
        <w:rPr>
          <w:rFonts w:ascii="Book Antiqua" w:hAnsi="Book Antiqua"/>
          <w:lang w:val="es-PR"/>
        </w:rPr>
        <w:t>Se ordena al DRNA, en conjunto con la JP, a establecer aquellos procedimientos necesarios para el efectivo cumplimiento de esta Ley y establecer la Reserva Hídrica del Acuífero del Sur y delimitar su extensión.</w:t>
      </w:r>
    </w:p>
    <w:p w14:paraId="56A711EC" w14:textId="77777777" w:rsidR="005827FF" w:rsidRPr="00280CA6" w:rsidRDefault="005827FF" w:rsidP="005827FF">
      <w:pPr>
        <w:numPr>
          <w:ilvl w:val="0"/>
          <w:numId w:val="17"/>
        </w:numPr>
        <w:spacing w:line="480" w:lineRule="auto"/>
        <w:ind w:left="720"/>
        <w:jc w:val="both"/>
        <w:rPr>
          <w:rFonts w:ascii="Book Antiqua" w:hAnsi="Book Antiqua"/>
          <w:lang w:val="es-PR"/>
        </w:rPr>
      </w:pPr>
      <w:r w:rsidRPr="00280CA6">
        <w:rPr>
          <w:rFonts w:ascii="Book Antiqua" w:hAnsi="Book Antiqua"/>
          <w:lang w:val="es-PR"/>
        </w:rPr>
        <w:t>Informes y Estudios</w:t>
      </w:r>
    </w:p>
    <w:p w14:paraId="62675E0E" w14:textId="77777777" w:rsidR="005827FF" w:rsidRPr="00280CA6" w:rsidRDefault="005827FF" w:rsidP="005827FF">
      <w:pPr>
        <w:numPr>
          <w:ilvl w:val="3"/>
          <w:numId w:val="17"/>
        </w:numPr>
        <w:spacing w:line="480" w:lineRule="auto"/>
        <w:ind w:left="1800"/>
        <w:jc w:val="both"/>
        <w:rPr>
          <w:rFonts w:ascii="Book Antiqua" w:hAnsi="Book Antiqua"/>
          <w:lang w:val="es-PR"/>
        </w:rPr>
      </w:pPr>
      <w:r w:rsidRPr="00280CA6">
        <w:rPr>
          <w:rFonts w:ascii="Book Antiqua" w:hAnsi="Book Antiqua"/>
          <w:lang w:val="es-PR"/>
        </w:rPr>
        <w:t xml:space="preserve">El DRNA entregará en noventa (90) días a partir de la aprobación de esta Ley, un informe a la Asamblea Legislativa en el cual presentará una evaluación detallada y actualizada de las Acciones Remediadoras establecida por esa agencia a raíz del “Informe Técnico para la Declaración de Área Crítica-Acuíferos del Sur” (2014) y del Plan de Acción para la Recuperación de los Acuíferos del Sur (2016), donde se </w:t>
      </w:r>
      <w:r w:rsidRPr="00280CA6">
        <w:rPr>
          <w:rFonts w:ascii="Book Antiqua" w:hAnsi="Book Antiqua"/>
          <w:lang w:val="es-PR"/>
        </w:rPr>
        <w:lastRenderedPageBreak/>
        <w:t>incluya las acciones realizadas hasta el momento, la etapa en que se encuentra cada proyecto, los resultados alcanzados, proyecciones de cumplimiento, y toda aquella información relacionada.</w:t>
      </w:r>
    </w:p>
    <w:p w14:paraId="32901854" w14:textId="77777777" w:rsidR="005827FF" w:rsidRPr="00280CA6" w:rsidRDefault="005827FF" w:rsidP="005827FF">
      <w:pPr>
        <w:numPr>
          <w:ilvl w:val="3"/>
          <w:numId w:val="17"/>
        </w:numPr>
        <w:spacing w:line="480" w:lineRule="auto"/>
        <w:ind w:left="1800"/>
        <w:jc w:val="both"/>
        <w:rPr>
          <w:rFonts w:ascii="Book Antiqua" w:hAnsi="Book Antiqua"/>
          <w:lang w:val="es-PR"/>
        </w:rPr>
      </w:pPr>
      <w:r w:rsidRPr="00280CA6">
        <w:rPr>
          <w:rFonts w:ascii="Book Antiqua" w:hAnsi="Book Antiqua"/>
          <w:lang w:val="es-PR"/>
        </w:rPr>
        <w:t>El DRNA podrá realizar cualquier estudio adicional que entienda sea necesario para dar cumplimiento a esta Ley.</w:t>
      </w:r>
    </w:p>
    <w:p w14:paraId="5D020ECD" w14:textId="24F880D6"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PR"/>
        </w:rPr>
        <w:t>Artículo 6.</w:t>
      </w:r>
      <w:r>
        <w:rPr>
          <w:rFonts w:ascii="Book Antiqua" w:hAnsi="Book Antiqua"/>
          <w:lang w:val="es-PR"/>
        </w:rPr>
        <w:t xml:space="preserve"> </w:t>
      </w:r>
      <w:r>
        <w:rPr>
          <w:rFonts w:ascii="Book Antiqua" w:hAnsi="Book Antiqua"/>
          <w:lang w:val="es-ES_tradnl"/>
        </w:rPr>
        <w:t>–</w:t>
      </w:r>
      <w:r w:rsidRPr="00280CA6">
        <w:rPr>
          <w:rFonts w:ascii="Book Antiqua" w:hAnsi="Book Antiqua"/>
          <w:lang w:val="es-PR"/>
        </w:rPr>
        <w:t xml:space="preserve"> Canales de Riego, Área Natural Protegida</w:t>
      </w:r>
    </w:p>
    <w:p w14:paraId="32FEC8D5" w14:textId="77777777" w:rsidR="005827FF" w:rsidRPr="00280CA6" w:rsidRDefault="005827FF" w:rsidP="005827FF">
      <w:pPr>
        <w:numPr>
          <w:ilvl w:val="0"/>
          <w:numId w:val="18"/>
        </w:numPr>
        <w:spacing w:line="480" w:lineRule="auto"/>
        <w:jc w:val="both"/>
        <w:rPr>
          <w:rFonts w:ascii="Book Antiqua" w:hAnsi="Book Antiqua"/>
          <w:lang w:val="es-PR"/>
        </w:rPr>
      </w:pPr>
      <w:r w:rsidRPr="00280CA6">
        <w:rPr>
          <w:rFonts w:ascii="Book Antiqua" w:hAnsi="Book Antiqua"/>
          <w:lang w:val="es-PR"/>
        </w:rPr>
        <w:t xml:space="preserve">Se ordena a la DRNA designar el Distrito de Riego de la Costa Sur como Área Natural Protegida por su alto valor ecológico, con el fin de conservar, proteger y mantener sus usos de riego agrícola, consumo doméstico o hidroeléctrico.  </w:t>
      </w:r>
    </w:p>
    <w:p w14:paraId="736B5E9B" w14:textId="77777777" w:rsidR="005827FF" w:rsidRPr="00280CA6" w:rsidRDefault="005827FF" w:rsidP="005827FF">
      <w:pPr>
        <w:numPr>
          <w:ilvl w:val="0"/>
          <w:numId w:val="18"/>
        </w:numPr>
        <w:spacing w:line="480" w:lineRule="auto"/>
        <w:jc w:val="both"/>
        <w:rPr>
          <w:rFonts w:ascii="Book Antiqua" w:hAnsi="Book Antiqua"/>
          <w:lang w:val="es-PR"/>
        </w:rPr>
      </w:pPr>
      <w:r w:rsidRPr="00280CA6">
        <w:rPr>
          <w:rFonts w:ascii="Book Antiqua" w:hAnsi="Book Antiqua"/>
          <w:lang w:val="es-PR"/>
        </w:rPr>
        <w:t xml:space="preserve">La AEE establecerá un acuerdo con el DRNA, el Departamento de Agricultura (DA) y la Autoridad de Acueducto y Alcantarillado (AAA) para desarrollar un programa de mantenimiento permanente y sustentable que garantice la protección de los canales de riego y la rotulación de las zonas como “Área Natural Protegida”. </w:t>
      </w:r>
    </w:p>
    <w:p w14:paraId="7919483B" w14:textId="77777777" w:rsidR="005827FF" w:rsidRPr="00280CA6" w:rsidRDefault="005827FF" w:rsidP="005827FF">
      <w:pPr>
        <w:numPr>
          <w:ilvl w:val="0"/>
          <w:numId w:val="18"/>
        </w:numPr>
        <w:spacing w:line="480" w:lineRule="auto"/>
        <w:jc w:val="both"/>
        <w:rPr>
          <w:rFonts w:ascii="Book Antiqua" w:hAnsi="Book Antiqua"/>
          <w:lang w:val="es-PR"/>
        </w:rPr>
      </w:pPr>
      <w:r w:rsidRPr="00280CA6">
        <w:rPr>
          <w:rFonts w:ascii="Book Antiqua" w:hAnsi="Book Antiqua"/>
          <w:lang w:val="es-PR"/>
        </w:rPr>
        <w:t>Informes</w:t>
      </w:r>
    </w:p>
    <w:p w14:paraId="59F4FD3D" w14:textId="77777777" w:rsidR="005827FF" w:rsidRPr="00280CA6" w:rsidRDefault="005827FF" w:rsidP="005827FF">
      <w:pPr>
        <w:numPr>
          <w:ilvl w:val="0"/>
          <w:numId w:val="19"/>
        </w:numPr>
        <w:spacing w:line="480" w:lineRule="auto"/>
        <w:ind w:left="1440"/>
        <w:jc w:val="both"/>
        <w:rPr>
          <w:rFonts w:ascii="Book Antiqua" w:hAnsi="Book Antiqua"/>
          <w:lang w:val="es-PR"/>
        </w:rPr>
      </w:pPr>
      <w:r w:rsidRPr="00280CA6">
        <w:rPr>
          <w:rFonts w:ascii="Book Antiqua" w:hAnsi="Book Antiqua"/>
          <w:lang w:val="es-PR"/>
        </w:rPr>
        <w:t>La AEE someterá un informe actualizado al DRNA y a la Asamblea Legislativa sobre la situación de los canales de riego bajo su jurisdicción.  El mismo contendrá información sobre la cantidad de agua en los canales y sus diferentes usos, el estado en que se encuentran los canales, áreas específicas donde se necesita reconstrucción, rehabilitación o mantenimiento especial.</w:t>
      </w:r>
    </w:p>
    <w:p w14:paraId="26A3E61A" w14:textId="77777777" w:rsidR="005827FF" w:rsidRPr="00280CA6" w:rsidRDefault="005827FF" w:rsidP="005827FF">
      <w:pPr>
        <w:numPr>
          <w:ilvl w:val="0"/>
          <w:numId w:val="19"/>
        </w:numPr>
        <w:spacing w:line="480" w:lineRule="auto"/>
        <w:ind w:left="1440"/>
        <w:jc w:val="both"/>
        <w:rPr>
          <w:rFonts w:ascii="Book Antiqua" w:hAnsi="Book Antiqua"/>
          <w:lang w:val="es-PR"/>
        </w:rPr>
      </w:pPr>
      <w:r w:rsidRPr="00280CA6">
        <w:rPr>
          <w:rFonts w:ascii="Book Antiqua" w:hAnsi="Book Antiqua"/>
          <w:lang w:val="es-PR"/>
        </w:rPr>
        <w:lastRenderedPageBreak/>
        <w:t>Una vez aprobada esta Ley, la AEE tendrá treinta (30) días para someter el Informe actualizado sobre la situación de los canales de riego.</w:t>
      </w:r>
    </w:p>
    <w:p w14:paraId="78BF3E38" w14:textId="77777777" w:rsidR="005827FF" w:rsidRPr="00280CA6" w:rsidRDefault="005827FF" w:rsidP="005827FF">
      <w:pPr>
        <w:numPr>
          <w:ilvl w:val="0"/>
          <w:numId w:val="18"/>
        </w:numPr>
        <w:spacing w:line="480" w:lineRule="auto"/>
        <w:jc w:val="both"/>
        <w:rPr>
          <w:rFonts w:ascii="Book Antiqua" w:hAnsi="Book Antiqua"/>
          <w:lang w:val="es-PR"/>
        </w:rPr>
      </w:pPr>
      <w:r w:rsidRPr="00280CA6">
        <w:rPr>
          <w:rFonts w:ascii="Book Antiqua" w:hAnsi="Book Antiqua"/>
          <w:lang w:val="es-PR"/>
        </w:rPr>
        <w:t>Para asegurar la conservación y protección de los canales de riego, se establecen las siguientes prohibiciones:</w:t>
      </w:r>
    </w:p>
    <w:p w14:paraId="5BC2F52F" w14:textId="77777777" w:rsidR="005827FF" w:rsidRPr="00280CA6" w:rsidRDefault="005827FF" w:rsidP="005827FF">
      <w:pPr>
        <w:numPr>
          <w:ilvl w:val="0"/>
          <w:numId w:val="15"/>
        </w:numPr>
        <w:spacing w:line="480" w:lineRule="auto"/>
        <w:ind w:left="1440"/>
        <w:jc w:val="both"/>
        <w:rPr>
          <w:rFonts w:ascii="Book Antiqua" w:hAnsi="Book Antiqua"/>
          <w:lang w:val="es-PR"/>
        </w:rPr>
      </w:pPr>
      <w:r w:rsidRPr="00280CA6">
        <w:rPr>
          <w:rFonts w:ascii="Book Antiqua" w:hAnsi="Book Antiqua"/>
          <w:lang w:val="es-PR"/>
        </w:rPr>
        <w:t>Se prohíbe la disposición en los canales de riego, sus orillas o alrededores de cualquier tipo de desperdicio o residuo residencial, comercial o industrial, materiales de construcción o aguas usadas.</w:t>
      </w:r>
    </w:p>
    <w:p w14:paraId="6144FC3D" w14:textId="77777777" w:rsidR="005827FF" w:rsidRPr="00280CA6" w:rsidRDefault="005827FF" w:rsidP="005827FF">
      <w:pPr>
        <w:numPr>
          <w:ilvl w:val="0"/>
          <w:numId w:val="15"/>
        </w:numPr>
        <w:spacing w:line="480" w:lineRule="auto"/>
        <w:ind w:left="1440"/>
        <w:jc w:val="both"/>
        <w:rPr>
          <w:rFonts w:ascii="Book Antiqua" w:hAnsi="Book Antiqua"/>
          <w:lang w:val="es-PR"/>
        </w:rPr>
      </w:pPr>
      <w:r w:rsidRPr="00280CA6">
        <w:rPr>
          <w:rFonts w:ascii="Book Antiqua" w:hAnsi="Book Antiqua"/>
          <w:lang w:val="es-PR"/>
        </w:rPr>
        <w:t>Se prohíbe el uso de plaguicidas, herbicidas y químicos en la orilla o alrededores de los canales de riego.</w:t>
      </w:r>
    </w:p>
    <w:p w14:paraId="2E8DAD24" w14:textId="64AFE46A" w:rsidR="005827FF" w:rsidRPr="00280CA6" w:rsidRDefault="005827FF" w:rsidP="005827FF">
      <w:pPr>
        <w:spacing w:line="480" w:lineRule="auto"/>
        <w:ind w:firstLine="360"/>
        <w:jc w:val="both"/>
        <w:rPr>
          <w:rFonts w:ascii="Book Antiqua" w:hAnsi="Book Antiqua"/>
          <w:lang w:val="es-ES_tradnl"/>
        </w:rPr>
      </w:pPr>
      <w:r w:rsidRPr="00280CA6">
        <w:rPr>
          <w:rFonts w:ascii="Book Antiqua" w:hAnsi="Book Antiqua"/>
          <w:lang w:val="es-ES_tradnl"/>
        </w:rPr>
        <w:t>Artículo 7.</w:t>
      </w:r>
      <w:r>
        <w:rPr>
          <w:rFonts w:ascii="Book Antiqua" w:hAnsi="Book Antiqua"/>
          <w:lang w:val="es-ES_tradnl"/>
        </w:rPr>
        <w:t xml:space="preserve"> –</w:t>
      </w:r>
      <w:r w:rsidRPr="00280CA6">
        <w:rPr>
          <w:rFonts w:ascii="Book Antiqua" w:hAnsi="Book Antiqua"/>
          <w:lang w:val="es-ES_tradnl"/>
        </w:rPr>
        <w:t xml:space="preserve"> Supremacía</w:t>
      </w:r>
    </w:p>
    <w:p w14:paraId="0C381706" w14:textId="77777777" w:rsidR="005827FF" w:rsidRPr="00280CA6" w:rsidRDefault="005827FF" w:rsidP="005827FF">
      <w:pPr>
        <w:spacing w:line="480" w:lineRule="auto"/>
        <w:ind w:firstLine="360"/>
        <w:jc w:val="both"/>
        <w:rPr>
          <w:rFonts w:ascii="Book Antiqua" w:hAnsi="Book Antiqua"/>
          <w:lang w:val="es-ES_tradnl"/>
        </w:rPr>
      </w:pPr>
      <w:r w:rsidRPr="00280CA6">
        <w:rPr>
          <w:rFonts w:ascii="Book Antiqua" w:hAnsi="Book Antiqua"/>
          <w:lang w:val="es-ES_tradnl"/>
        </w:rPr>
        <w:t>Las disposiciones de esta Ley prevalecerán sobre cualquier otra disposición de ley, reglamento o norma que no estuviere en armonía con ellas.</w:t>
      </w:r>
    </w:p>
    <w:p w14:paraId="5ED7E598" w14:textId="6DDAEA26"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ES_tradnl"/>
        </w:rPr>
        <w:t>Artículo 8</w:t>
      </w:r>
      <w:r w:rsidRPr="00280CA6">
        <w:rPr>
          <w:rFonts w:ascii="Book Antiqua" w:hAnsi="Book Antiqua"/>
          <w:lang w:val="es-PR"/>
        </w:rPr>
        <w:t>.</w:t>
      </w:r>
      <w:r>
        <w:rPr>
          <w:rFonts w:ascii="Book Antiqua" w:hAnsi="Book Antiqua"/>
          <w:lang w:val="es-PR"/>
        </w:rPr>
        <w:t xml:space="preserve"> </w:t>
      </w:r>
      <w:r>
        <w:rPr>
          <w:rFonts w:ascii="Book Antiqua" w:hAnsi="Book Antiqua"/>
          <w:lang w:val="es-ES_tradnl"/>
        </w:rPr>
        <w:t>–</w:t>
      </w:r>
      <w:r w:rsidRPr="00280CA6">
        <w:rPr>
          <w:rFonts w:ascii="Book Antiqua" w:hAnsi="Book Antiqua"/>
          <w:lang w:val="es-PR"/>
        </w:rPr>
        <w:t xml:space="preserve"> Cláusula de separabilidad</w:t>
      </w:r>
    </w:p>
    <w:p w14:paraId="1B8FDCB3" w14:textId="77777777"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280CA6">
        <w:rPr>
          <w:rFonts w:ascii="Book Antiqua" w:hAnsi="Book Antiqua"/>
          <w:lang w:val="es-PR"/>
        </w:rPr>
        <w:t>ejecutabilidad</w:t>
      </w:r>
      <w:proofErr w:type="spellEnd"/>
      <w:r w:rsidRPr="00280CA6">
        <w:rPr>
          <w:rFonts w:ascii="Book Antiqua" w:hAnsi="Book Antiqua"/>
          <w:lang w:val="es-PR"/>
        </w:rPr>
        <w:t xml:space="preserve"> y vigor de las restantes disposiciones que no hayan sido objeto de dictamen adverso.</w:t>
      </w:r>
    </w:p>
    <w:p w14:paraId="791288C1" w14:textId="76653EDB" w:rsidR="005827FF" w:rsidRPr="00280CA6" w:rsidRDefault="005827FF" w:rsidP="005827FF">
      <w:pPr>
        <w:spacing w:line="480" w:lineRule="auto"/>
        <w:ind w:firstLine="360"/>
        <w:jc w:val="both"/>
        <w:rPr>
          <w:rFonts w:ascii="Book Antiqua" w:hAnsi="Book Antiqua"/>
          <w:lang w:val="es-PR"/>
        </w:rPr>
      </w:pPr>
      <w:r w:rsidRPr="00280CA6">
        <w:rPr>
          <w:rFonts w:ascii="Book Antiqua" w:hAnsi="Book Antiqua"/>
          <w:lang w:val="es-ES_tradnl"/>
        </w:rPr>
        <w:t xml:space="preserve">Artículo </w:t>
      </w:r>
      <w:r w:rsidRPr="00280CA6">
        <w:rPr>
          <w:rFonts w:ascii="Book Antiqua" w:hAnsi="Book Antiqua"/>
          <w:lang w:val="es-PR"/>
        </w:rPr>
        <w:t>9.</w:t>
      </w:r>
      <w:r>
        <w:rPr>
          <w:rFonts w:ascii="Book Antiqua" w:hAnsi="Book Antiqua"/>
          <w:lang w:val="es-PR"/>
        </w:rPr>
        <w:t xml:space="preserve"> </w:t>
      </w:r>
      <w:r>
        <w:rPr>
          <w:rFonts w:ascii="Book Antiqua" w:hAnsi="Book Antiqua"/>
          <w:lang w:val="es-ES_tradnl"/>
        </w:rPr>
        <w:t>–</w:t>
      </w:r>
      <w:r w:rsidRPr="00280CA6">
        <w:rPr>
          <w:rFonts w:ascii="Book Antiqua" w:hAnsi="Book Antiqua"/>
          <w:lang w:val="es-PR"/>
        </w:rPr>
        <w:t xml:space="preserve"> Vigencia</w:t>
      </w:r>
    </w:p>
    <w:p w14:paraId="14DE6C7B" w14:textId="57154A20" w:rsidR="00173FD0" w:rsidRPr="00BC6728" w:rsidRDefault="005827FF" w:rsidP="005827FF">
      <w:pPr>
        <w:spacing w:line="480" w:lineRule="auto"/>
        <w:ind w:firstLine="360"/>
        <w:jc w:val="both"/>
        <w:rPr>
          <w:rFonts w:ascii="Book Antiqua" w:hAnsi="Book Antiqua"/>
          <w:lang w:val="es-ES"/>
        </w:rPr>
      </w:pPr>
      <w:r w:rsidRPr="00280CA6">
        <w:rPr>
          <w:rFonts w:ascii="Book Antiqua" w:hAnsi="Book Antiqua"/>
          <w:lang w:val="es-PR"/>
        </w:rPr>
        <w:t>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244A7" w14:textId="77777777" w:rsidR="00B41243" w:rsidRDefault="00B41243">
      <w:r>
        <w:separator/>
      </w:r>
    </w:p>
  </w:endnote>
  <w:endnote w:type="continuationSeparator" w:id="0">
    <w:p w14:paraId="7EF267CD" w14:textId="77777777" w:rsidR="00B41243" w:rsidRDefault="00B41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29CA8" w14:textId="77777777" w:rsidR="00B41243" w:rsidRDefault="00B41243">
      <w:r>
        <w:separator/>
      </w:r>
    </w:p>
  </w:footnote>
  <w:footnote w:type="continuationSeparator" w:id="0">
    <w:p w14:paraId="65C9865A" w14:textId="77777777" w:rsidR="00B41243" w:rsidRDefault="00B412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4547A4"/>
    <w:multiLevelType w:val="hybridMultilevel"/>
    <w:tmpl w:val="FB6633C6"/>
    <w:lvl w:ilvl="0" w:tplc="A17A5CE8">
      <w:start w:val="1"/>
      <w:numFmt w:val="lowerLetter"/>
      <w:lvlText w:val="%1."/>
      <w:lvlJc w:val="left"/>
      <w:pPr>
        <w:ind w:left="1440" w:hanging="360"/>
      </w:pPr>
      <w:rPr>
        <w:rFonts w:ascii="Book Antiqua" w:eastAsia="Times New Roman" w:hAnsi="Book Antiqua" w:cs="Times New Roman"/>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0C705D35"/>
    <w:multiLevelType w:val="hybridMultilevel"/>
    <w:tmpl w:val="6784C544"/>
    <w:lvl w:ilvl="0" w:tplc="68CCCB88">
      <w:start w:val="1"/>
      <w:numFmt w:val="decimal"/>
      <w:lvlText w:val="%1."/>
      <w:lvlJc w:val="left"/>
      <w:pPr>
        <w:ind w:left="1800" w:hanging="360"/>
      </w:pPr>
      <w:rPr>
        <w:rFonts w:ascii="Book Antiqua" w:eastAsia="Times New Roman" w:hAnsi="Book Antiqua" w:cs="Times New Roman"/>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15:restartNumberingAfterBreak="0">
    <w:nsid w:val="27755DF0"/>
    <w:multiLevelType w:val="hybridMultilevel"/>
    <w:tmpl w:val="647680D6"/>
    <w:lvl w:ilvl="0" w:tplc="754EC4F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517D7878"/>
    <w:multiLevelType w:val="hybridMultilevel"/>
    <w:tmpl w:val="1BFE3630"/>
    <w:lvl w:ilvl="0" w:tplc="F940C94C">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B44155B"/>
    <w:multiLevelType w:val="hybridMultilevel"/>
    <w:tmpl w:val="AC9AFC02"/>
    <w:lvl w:ilvl="0" w:tplc="57B2DC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6601DF2"/>
    <w:multiLevelType w:val="hybridMultilevel"/>
    <w:tmpl w:val="7C88E568"/>
    <w:lvl w:ilvl="0" w:tplc="C2FE39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6"/>
  </w:num>
  <w:num w:numId="3" w16cid:durableId="1132467">
    <w:abstractNumId w:val="10"/>
  </w:num>
  <w:num w:numId="4" w16cid:durableId="702096654">
    <w:abstractNumId w:val="11"/>
  </w:num>
  <w:num w:numId="5" w16cid:durableId="496698076">
    <w:abstractNumId w:val="15"/>
  </w:num>
  <w:num w:numId="6" w16cid:durableId="1469207924">
    <w:abstractNumId w:val="4"/>
  </w:num>
  <w:num w:numId="7" w16cid:durableId="355935514">
    <w:abstractNumId w:val="6"/>
  </w:num>
  <w:num w:numId="8" w16cid:durableId="259021808">
    <w:abstractNumId w:val="3"/>
  </w:num>
  <w:num w:numId="9" w16cid:durableId="957763560">
    <w:abstractNumId w:val="18"/>
  </w:num>
  <w:num w:numId="10" w16cid:durableId="229004811">
    <w:abstractNumId w:val="9"/>
  </w:num>
  <w:num w:numId="11" w16cid:durableId="465707011">
    <w:abstractNumId w:val="12"/>
  </w:num>
  <w:num w:numId="12" w16cid:durableId="1678343964">
    <w:abstractNumId w:val="5"/>
  </w:num>
  <w:num w:numId="13" w16cid:durableId="1564757104">
    <w:abstractNumId w:val="8"/>
  </w:num>
  <w:num w:numId="14" w16cid:durableId="1335261599">
    <w:abstractNumId w:val="1"/>
  </w:num>
  <w:num w:numId="15" w16cid:durableId="1960645039">
    <w:abstractNumId w:val="2"/>
  </w:num>
  <w:num w:numId="16" w16cid:durableId="903183462">
    <w:abstractNumId w:val="7"/>
  </w:num>
  <w:num w:numId="17" w16cid:durableId="1775319723">
    <w:abstractNumId w:val="13"/>
  </w:num>
  <w:num w:numId="18" w16cid:durableId="178006273">
    <w:abstractNumId w:val="17"/>
  </w:num>
  <w:num w:numId="19" w16cid:durableId="12940164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41A6"/>
    <w:rsid w:val="00056024"/>
    <w:rsid w:val="0006657F"/>
    <w:rsid w:val="00075607"/>
    <w:rsid w:val="00091706"/>
    <w:rsid w:val="00095AE1"/>
    <w:rsid w:val="000A6B6C"/>
    <w:rsid w:val="000B0DBB"/>
    <w:rsid w:val="000F2029"/>
    <w:rsid w:val="000F4204"/>
    <w:rsid w:val="0010351B"/>
    <w:rsid w:val="0011037A"/>
    <w:rsid w:val="00111E71"/>
    <w:rsid w:val="00126BCB"/>
    <w:rsid w:val="00127C6A"/>
    <w:rsid w:val="001363FE"/>
    <w:rsid w:val="001466C3"/>
    <w:rsid w:val="0014758C"/>
    <w:rsid w:val="001531F9"/>
    <w:rsid w:val="0017132B"/>
    <w:rsid w:val="00173FD0"/>
    <w:rsid w:val="00192F82"/>
    <w:rsid w:val="001B7D57"/>
    <w:rsid w:val="001C006D"/>
    <w:rsid w:val="001D24BE"/>
    <w:rsid w:val="001D6A0D"/>
    <w:rsid w:val="001F4CA3"/>
    <w:rsid w:val="001F612A"/>
    <w:rsid w:val="00210371"/>
    <w:rsid w:val="00211396"/>
    <w:rsid w:val="002205E2"/>
    <w:rsid w:val="00226AE6"/>
    <w:rsid w:val="00245B34"/>
    <w:rsid w:val="00251962"/>
    <w:rsid w:val="00263355"/>
    <w:rsid w:val="00273792"/>
    <w:rsid w:val="00276BD5"/>
    <w:rsid w:val="00285B86"/>
    <w:rsid w:val="002D4AC8"/>
    <w:rsid w:val="002D55FA"/>
    <w:rsid w:val="002E0923"/>
    <w:rsid w:val="002F0A85"/>
    <w:rsid w:val="003069A5"/>
    <w:rsid w:val="00312328"/>
    <w:rsid w:val="00320D78"/>
    <w:rsid w:val="003262FE"/>
    <w:rsid w:val="0034244A"/>
    <w:rsid w:val="00351F2D"/>
    <w:rsid w:val="00380FE5"/>
    <w:rsid w:val="003918AF"/>
    <w:rsid w:val="003924DD"/>
    <w:rsid w:val="00394FCB"/>
    <w:rsid w:val="003963F4"/>
    <w:rsid w:val="003B5254"/>
    <w:rsid w:val="003B75A6"/>
    <w:rsid w:val="003E1DFE"/>
    <w:rsid w:val="004061CA"/>
    <w:rsid w:val="004139BD"/>
    <w:rsid w:val="00415689"/>
    <w:rsid w:val="004440CB"/>
    <w:rsid w:val="00444D0D"/>
    <w:rsid w:val="0045085C"/>
    <w:rsid w:val="004548EA"/>
    <w:rsid w:val="004713D2"/>
    <w:rsid w:val="00475278"/>
    <w:rsid w:val="004A311A"/>
    <w:rsid w:val="004B7C8D"/>
    <w:rsid w:val="004D5973"/>
    <w:rsid w:val="004E029D"/>
    <w:rsid w:val="004F6F8E"/>
    <w:rsid w:val="00515E15"/>
    <w:rsid w:val="0051629D"/>
    <w:rsid w:val="00521639"/>
    <w:rsid w:val="0052618B"/>
    <w:rsid w:val="00532BB7"/>
    <w:rsid w:val="005332E4"/>
    <w:rsid w:val="0053550C"/>
    <w:rsid w:val="00555018"/>
    <w:rsid w:val="005723DC"/>
    <w:rsid w:val="005733E1"/>
    <w:rsid w:val="005827FF"/>
    <w:rsid w:val="005C65A3"/>
    <w:rsid w:val="005D79A1"/>
    <w:rsid w:val="006104EC"/>
    <w:rsid w:val="006210DC"/>
    <w:rsid w:val="0064349D"/>
    <w:rsid w:val="00643D93"/>
    <w:rsid w:val="00651FF1"/>
    <w:rsid w:val="00653EED"/>
    <w:rsid w:val="00685549"/>
    <w:rsid w:val="006A23E8"/>
    <w:rsid w:val="006B640E"/>
    <w:rsid w:val="006B7365"/>
    <w:rsid w:val="006C214B"/>
    <w:rsid w:val="006C2D81"/>
    <w:rsid w:val="006C7DF8"/>
    <w:rsid w:val="0070428A"/>
    <w:rsid w:val="00706B7B"/>
    <w:rsid w:val="00750FC8"/>
    <w:rsid w:val="007533D0"/>
    <w:rsid w:val="00755069"/>
    <w:rsid w:val="00772304"/>
    <w:rsid w:val="00782D50"/>
    <w:rsid w:val="00793B2A"/>
    <w:rsid w:val="007B0660"/>
    <w:rsid w:val="007B7B7D"/>
    <w:rsid w:val="007C057A"/>
    <w:rsid w:val="007D6C27"/>
    <w:rsid w:val="007E3868"/>
    <w:rsid w:val="007F1746"/>
    <w:rsid w:val="00820C41"/>
    <w:rsid w:val="00844617"/>
    <w:rsid w:val="00850256"/>
    <w:rsid w:val="00854B10"/>
    <w:rsid w:val="00860ADC"/>
    <w:rsid w:val="0088408D"/>
    <w:rsid w:val="008A0ACC"/>
    <w:rsid w:val="008C2489"/>
    <w:rsid w:val="008D2C7D"/>
    <w:rsid w:val="008D44C5"/>
    <w:rsid w:val="008E173A"/>
    <w:rsid w:val="008F3F61"/>
    <w:rsid w:val="009035B9"/>
    <w:rsid w:val="00923EC3"/>
    <w:rsid w:val="00924DCC"/>
    <w:rsid w:val="00931106"/>
    <w:rsid w:val="0093686F"/>
    <w:rsid w:val="00942FD4"/>
    <w:rsid w:val="00951997"/>
    <w:rsid w:val="0097693A"/>
    <w:rsid w:val="00990352"/>
    <w:rsid w:val="009B4897"/>
    <w:rsid w:val="009F35CF"/>
    <w:rsid w:val="00A03405"/>
    <w:rsid w:val="00A10B1E"/>
    <w:rsid w:val="00A12BB9"/>
    <w:rsid w:val="00A1528A"/>
    <w:rsid w:val="00A25B1B"/>
    <w:rsid w:val="00A33918"/>
    <w:rsid w:val="00A62B63"/>
    <w:rsid w:val="00A7629F"/>
    <w:rsid w:val="00A842B4"/>
    <w:rsid w:val="00A87FD3"/>
    <w:rsid w:val="00AA43B5"/>
    <w:rsid w:val="00AB248D"/>
    <w:rsid w:val="00AD2305"/>
    <w:rsid w:val="00AE36A9"/>
    <w:rsid w:val="00AF0CEE"/>
    <w:rsid w:val="00B2475B"/>
    <w:rsid w:val="00B335B4"/>
    <w:rsid w:val="00B41243"/>
    <w:rsid w:val="00B453F4"/>
    <w:rsid w:val="00B51ED2"/>
    <w:rsid w:val="00B667AD"/>
    <w:rsid w:val="00B833A0"/>
    <w:rsid w:val="00B834FC"/>
    <w:rsid w:val="00B84C38"/>
    <w:rsid w:val="00B86C00"/>
    <w:rsid w:val="00B947F6"/>
    <w:rsid w:val="00BC5540"/>
    <w:rsid w:val="00BC6728"/>
    <w:rsid w:val="00BF10EF"/>
    <w:rsid w:val="00BF16AA"/>
    <w:rsid w:val="00C27293"/>
    <w:rsid w:val="00C346ED"/>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CF7CF6"/>
    <w:rsid w:val="00D046E5"/>
    <w:rsid w:val="00D1295E"/>
    <w:rsid w:val="00D40CD7"/>
    <w:rsid w:val="00D417C2"/>
    <w:rsid w:val="00D429C3"/>
    <w:rsid w:val="00D5190E"/>
    <w:rsid w:val="00D56804"/>
    <w:rsid w:val="00D60936"/>
    <w:rsid w:val="00D672A6"/>
    <w:rsid w:val="00D709EB"/>
    <w:rsid w:val="00D74714"/>
    <w:rsid w:val="00D82F3F"/>
    <w:rsid w:val="00D84426"/>
    <w:rsid w:val="00D921C6"/>
    <w:rsid w:val="00D958C2"/>
    <w:rsid w:val="00DA735E"/>
    <w:rsid w:val="00DD0A78"/>
    <w:rsid w:val="00DD2AA2"/>
    <w:rsid w:val="00DE2C63"/>
    <w:rsid w:val="00DE56DE"/>
    <w:rsid w:val="00DE7377"/>
    <w:rsid w:val="00E04AB5"/>
    <w:rsid w:val="00E16745"/>
    <w:rsid w:val="00E50EEA"/>
    <w:rsid w:val="00E52F58"/>
    <w:rsid w:val="00E62E17"/>
    <w:rsid w:val="00E7058A"/>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70D3E"/>
    <w:rsid w:val="00F90D72"/>
    <w:rsid w:val="00F927AF"/>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2740</Words>
  <Characters>14254</Characters>
  <Application>Microsoft Office Word</Application>
  <DocSecurity>0</DocSecurity>
  <Lines>118</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16961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3</cp:revision>
  <cp:lastPrinted>2025-08-05T15:24:00Z</cp:lastPrinted>
  <dcterms:created xsi:type="dcterms:W3CDTF">2025-08-04T16:00:00Z</dcterms:created>
  <dcterms:modified xsi:type="dcterms:W3CDTF">2025-08-05T15:26:00Z</dcterms:modified>
</cp:coreProperties>
</file>