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84D7E" w14:textId="77777777" w:rsidR="00FA5385" w:rsidRPr="00FA5385" w:rsidRDefault="00FA5385" w:rsidP="00FA5385">
      <w:pPr>
        <w:spacing w:after="0" w:line="240" w:lineRule="auto"/>
        <w:jc w:val="center"/>
        <w:rPr>
          <w:rFonts w:ascii="Book Antiqua" w:eastAsia="Times New Roman" w:hAnsi="Book Antiqua" w:cs="Times New Roman"/>
          <w:kern w:val="0"/>
          <w:sz w:val="28"/>
          <w:szCs w:val="20"/>
          <w:lang w:val="es-ES_tradnl" w:eastAsia="en-US"/>
          <w14:ligatures w14:val="none"/>
        </w:rPr>
      </w:pPr>
      <w:r w:rsidRPr="00FA5385">
        <w:rPr>
          <w:rFonts w:ascii="Book Antiqua" w:eastAsia="Times New Roman" w:hAnsi="Book Antiqua" w:cs="Times New Roman"/>
          <w:kern w:val="0"/>
          <w:sz w:val="28"/>
          <w:szCs w:val="20"/>
          <w:lang w:val="es-ES_tradnl" w:eastAsia="en-US"/>
          <w14:ligatures w14:val="none"/>
        </w:rPr>
        <w:t>GOBIERNO DE PUERTO RICO</w:t>
      </w:r>
    </w:p>
    <w:p w14:paraId="05E1D715" w14:textId="77777777" w:rsidR="00FA5385" w:rsidRPr="00FA5385" w:rsidRDefault="00FA5385" w:rsidP="00FA5385">
      <w:pPr>
        <w:spacing w:after="0" w:line="240" w:lineRule="auto"/>
        <w:jc w:val="center"/>
        <w:rPr>
          <w:rFonts w:ascii="Book Antiqua" w:eastAsia="Times New Roman" w:hAnsi="Book Antiqua" w:cs="Times New Roman"/>
          <w:kern w:val="0"/>
          <w:szCs w:val="20"/>
          <w:lang w:val="es-ES_tradnl" w:eastAsia="en-US"/>
          <w14:ligatures w14:val="none"/>
        </w:rPr>
      </w:pPr>
    </w:p>
    <w:p w14:paraId="4405014B" w14:textId="2076014C" w:rsidR="00FA5385" w:rsidRPr="00F47D5A" w:rsidRDefault="00F47D5A" w:rsidP="00FA5385">
      <w:pPr>
        <w:tabs>
          <w:tab w:val="left" w:pos="648"/>
          <w:tab w:val="right" w:pos="7776"/>
          <w:tab w:val="left" w:pos="7848"/>
        </w:tabs>
        <w:spacing w:after="0" w:line="240" w:lineRule="auto"/>
        <w:rPr>
          <w:rFonts w:ascii="Book Antiqua" w:eastAsia="Times New Roman" w:hAnsi="Book Antiqua" w:cs="Times New Roman"/>
          <w:kern w:val="0"/>
          <w:szCs w:val="20"/>
          <w:lang w:val="it-IT" w:eastAsia="en-US"/>
          <w14:ligatures w14:val="none"/>
        </w:rPr>
      </w:pPr>
      <w:r w:rsidRPr="00F47D5A">
        <w:rPr>
          <w:rFonts w:ascii="Book Antiqua" w:eastAsia="Times New Roman" w:hAnsi="Book Antiqua" w:cs="Times New Roman"/>
          <w:kern w:val="0"/>
          <w:szCs w:val="20"/>
          <w:lang w:val="it-IT" w:eastAsia="en-US"/>
          <w14:ligatures w14:val="none"/>
        </w:rPr>
        <w:t>20ma.</w:t>
      </w:r>
      <w:r w:rsidR="00FA5385" w:rsidRPr="00F47D5A">
        <w:rPr>
          <w:rFonts w:ascii="Book Antiqua" w:eastAsia="Times New Roman" w:hAnsi="Book Antiqua" w:cs="Times New Roman"/>
          <w:kern w:val="0"/>
          <w:szCs w:val="20"/>
          <w:lang w:val="it-IT" w:eastAsia="en-US"/>
          <w14:ligatures w14:val="none"/>
        </w:rPr>
        <w:tab/>
      </w:r>
      <w:r w:rsidRPr="00F47D5A">
        <w:rPr>
          <w:rFonts w:ascii="Book Antiqua" w:eastAsia="Times New Roman" w:hAnsi="Book Antiqua" w:cs="Times New Roman"/>
          <w:kern w:val="0"/>
          <w:szCs w:val="20"/>
          <w:lang w:val="it-IT" w:eastAsia="en-US"/>
          <w14:ligatures w14:val="none"/>
        </w:rPr>
        <w:t xml:space="preserve"> </w:t>
      </w:r>
      <w:r w:rsidR="00FA5385" w:rsidRPr="00F47D5A">
        <w:rPr>
          <w:rFonts w:ascii="Book Antiqua" w:eastAsia="Times New Roman" w:hAnsi="Book Antiqua" w:cs="Times New Roman"/>
          <w:kern w:val="0"/>
          <w:szCs w:val="20"/>
          <w:lang w:val="it-IT" w:eastAsia="en-US"/>
          <w14:ligatures w14:val="none"/>
        </w:rPr>
        <w:t>Asamblea</w:t>
      </w:r>
      <w:r w:rsidR="00FA5385" w:rsidRPr="00F47D5A">
        <w:rPr>
          <w:rFonts w:ascii="Book Antiqua" w:eastAsia="Times New Roman" w:hAnsi="Book Antiqua" w:cs="Times New Roman"/>
          <w:kern w:val="0"/>
          <w:szCs w:val="20"/>
          <w:lang w:val="it-IT" w:eastAsia="en-US"/>
          <w14:ligatures w14:val="none"/>
        </w:rPr>
        <w:tab/>
      </w:r>
      <w:r w:rsidRPr="00F47D5A">
        <w:rPr>
          <w:rFonts w:ascii="Book Antiqua" w:eastAsia="Times New Roman" w:hAnsi="Book Antiqua" w:cs="Times New Roman"/>
          <w:kern w:val="0"/>
          <w:szCs w:val="20"/>
          <w:lang w:val="it-IT" w:eastAsia="en-US"/>
          <w14:ligatures w14:val="none"/>
        </w:rPr>
        <w:t>2da.</w:t>
      </w:r>
      <w:r w:rsidR="00FA5385" w:rsidRPr="00F47D5A">
        <w:rPr>
          <w:rFonts w:ascii="Book Antiqua" w:eastAsia="Times New Roman" w:hAnsi="Book Antiqua" w:cs="Times New Roman"/>
          <w:kern w:val="0"/>
          <w:szCs w:val="20"/>
          <w:lang w:val="it-IT" w:eastAsia="en-US"/>
          <w14:ligatures w14:val="none"/>
        </w:rPr>
        <w:tab/>
        <w:t>Sesión</w:t>
      </w:r>
    </w:p>
    <w:p w14:paraId="0F0F6AB9" w14:textId="6A1C89E3" w:rsidR="00FA5385" w:rsidRPr="00F47D5A" w:rsidRDefault="00FA5385" w:rsidP="00FA5385">
      <w:pPr>
        <w:tabs>
          <w:tab w:val="left" w:pos="648"/>
          <w:tab w:val="right" w:pos="7776"/>
          <w:tab w:val="left" w:pos="7848"/>
        </w:tabs>
        <w:spacing w:after="0" w:line="240" w:lineRule="auto"/>
        <w:rPr>
          <w:rFonts w:ascii="Book Antiqua" w:eastAsia="Times New Roman" w:hAnsi="Book Antiqua" w:cs="Times New Roman"/>
          <w:kern w:val="0"/>
          <w:szCs w:val="20"/>
          <w:lang w:val="it-IT" w:eastAsia="en-US"/>
          <w14:ligatures w14:val="none"/>
        </w:rPr>
      </w:pPr>
      <w:r w:rsidRPr="00F47D5A">
        <w:rPr>
          <w:rFonts w:ascii="Book Antiqua" w:eastAsia="Times New Roman" w:hAnsi="Book Antiqua" w:cs="Times New Roman"/>
          <w:kern w:val="0"/>
          <w:szCs w:val="20"/>
          <w:lang w:val="it-IT" w:eastAsia="en-US"/>
          <w14:ligatures w14:val="none"/>
        </w:rPr>
        <w:tab/>
      </w:r>
      <w:r w:rsidR="00F47D5A" w:rsidRPr="00F47D5A">
        <w:rPr>
          <w:rFonts w:ascii="Book Antiqua" w:eastAsia="Times New Roman" w:hAnsi="Book Antiqua" w:cs="Times New Roman"/>
          <w:kern w:val="0"/>
          <w:szCs w:val="20"/>
          <w:lang w:val="it-IT" w:eastAsia="en-US"/>
          <w14:ligatures w14:val="none"/>
        </w:rPr>
        <w:t xml:space="preserve"> </w:t>
      </w:r>
      <w:r w:rsidRPr="00F47D5A">
        <w:rPr>
          <w:rFonts w:ascii="Book Antiqua" w:eastAsia="Times New Roman" w:hAnsi="Book Antiqua" w:cs="Times New Roman"/>
          <w:kern w:val="0"/>
          <w:szCs w:val="20"/>
          <w:lang w:val="it-IT" w:eastAsia="en-US"/>
          <w14:ligatures w14:val="none"/>
        </w:rPr>
        <w:t>Legislativa</w:t>
      </w:r>
      <w:r w:rsidRPr="00F47D5A">
        <w:rPr>
          <w:rFonts w:ascii="Book Antiqua" w:eastAsia="Times New Roman" w:hAnsi="Book Antiqua" w:cs="Times New Roman"/>
          <w:kern w:val="0"/>
          <w:szCs w:val="20"/>
          <w:lang w:val="it-IT" w:eastAsia="en-US"/>
          <w14:ligatures w14:val="none"/>
        </w:rPr>
        <w:tab/>
      </w:r>
      <w:r w:rsidRPr="00F47D5A">
        <w:rPr>
          <w:rFonts w:ascii="Book Antiqua" w:eastAsia="Times New Roman" w:hAnsi="Book Antiqua" w:cs="Times New Roman"/>
          <w:kern w:val="0"/>
          <w:szCs w:val="20"/>
          <w:lang w:val="it-IT" w:eastAsia="en-US"/>
          <w14:ligatures w14:val="none"/>
        </w:rPr>
        <w:tab/>
        <w:t>Ordinaria</w:t>
      </w:r>
    </w:p>
    <w:p w14:paraId="5D7DF1D4" w14:textId="77777777" w:rsidR="00FA5385" w:rsidRPr="00F47D5A" w:rsidRDefault="00FA5385" w:rsidP="00FA5385">
      <w:pPr>
        <w:spacing w:after="0" w:line="240" w:lineRule="auto"/>
        <w:rPr>
          <w:rFonts w:ascii="Times New Roman" w:eastAsia="Times New Roman" w:hAnsi="Times New Roman" w:cs="Times New Roman"/>
          <w:kern w:val="0"/>
          <w:szCs w:val="20"/>
          <w:lang w:val="it-IT" w:eastAsia="en-US"/>
          <w14:ligatures w14:val="none"/>
        </w:rPr>
      </w:pPr>
    </w:p>
    <w:p w14:paraId="43B33BD1" w14:textId="77777777" w:rsidR="00FA5385" w:rsidRPr="00FA5385" w:rsidRDefault="00FA5385" w:rsidP="00FA5385">
      <w:pPr>
        <w:spacing w:after="0" w:line="240" w:lineRule="auto"/>
        <w:jc w:val="center"/>
        <w:rPr>
          <w:rFonts w:ascii="Book Antiqua" w:eastAsia="Times New Roman" w:hAnsi="Book Antiqua" w:cs="Times New Roman"/>
          <w:b/>
          <w:kern w:val="0"/>
          <w:sz w:val="36"/>
          <w:szCs w:val="20"/>
          <w:lang w:val="es-ES_tradnl" w:eastAsia="en-US"/>
          <w14:ligatures w14:val="none"/>
        </w:rPr>
      </w:pPr>
      <w:r w:rsidRPr="00FA5385">
        <w:rPr>
          <w:rFonts w:ascii="Book Antiqua" w:eastAsia="Times New Roman" w:hAnsi="Book Antiqua" w:cs="Times New Roman"/>
          <w:b/>
          <w:kern w:val="0"/>
          <w:sz w:val="36"/>
          <w:szCs w:val="20"/>
          <w:lang w:val="es-ES_tradnl" w:eastAsia="en-US"/>
          <w14:ligatures w14:val="none"/>
        </w:rPr>
        <w:t>CÁMARA DE REPRESENTANTES</w:t>
      </w:r>
    </w:p>
    <w:p w14:paraId="4E0A86AF" w14:textId="77777777" w:rsidR="00FA5385" w:rsidRPr="00FA5385" w:rsidRDefault="00FA5385" w:rsidP="00FA5385">
      <w:pPr>
        <w:spacing w:after="0" w:line="240" w:lineRule="auto"/>
        <w:jc w:val="center"/>
        <w:rPr>
          <w:rFonts w:ascii="Book Antiqua" w:eastAsia="Times New Roman" w:hAnsi="Book Antiqua" w:cs="Times New Roman"/>
          <w:b/>
          <w:kern w:val="0"/>
          <w:lang w:val="es-ES_tradnl" w:eastAsia="en-US"/>
          <w14:ligatures w14:val="none"/>
        </w:rPr>
      </w:pPr>
    </w:p>
    <w:p w14:paraId="04DDC58A" w14:textId="44331DCF" w:rsidR="00FA5385" w:rsidRPr="00FA5385" w:rsidRDefault="00FA5385" w:rsidP="00FA5385">
      <w:pPr>
        <w:spacing w:after="0" w:line="240" w:lineRule="auto"/>
        <w:jc w:val="center"/>
        <w:rPr>
          <w:rFonts w:ascii="Book Antiqua" w:eastAsia="Times New Roman" w:hAnsi="Book Antiqua" w:cs="Times New Roman"/>
          <w:b/>
          <w:kern w:val="0"/>
          <w:sz w:val="52"/>
          <w:szCs w:val="20"/>
          <w:lang w:val="es-ES_tradnl" w:eastAsia="en-US"/>
          <w14:ligatures w14:val="none"/>
        </w:rPr>
      </w:pPr>
      <w:r w:rsidRPr="00FA5385">
        <w:rPr>
          <w:rFonts w:ascii="Book Antiqua" w:eastAsia="Times New Roman" w:hAnsi="Book Antiqua" w:cs="Times New Roman"/>
          <w:b/>
          <w:kern w:val="0"/>
          <w:sz w:val="52"/>
          <w:szCs w:val="20"/>
          <w:lang w:val="es-ES_tradnl" w:eastAsia="en-US"/>
          <w14:ligatures w14:val="none"/>
        </w:rPr>
        <w:t>R. de la C.</w:t>
      </w:r>
      <w:r w:rsidR="00DE2F14">
        <w:rPr>
          <w:rFonts w:ascii="Book Antiqua" w:eastAsia="Times New Roman" w:hAnsi="Book Antiqua" w:cs="Times New Roman"/>
          <w:b/>
          <w:kern w:val="0"/>
          <w:sz w:val="52"/>
          <w:szCs w:val="20"/>
          <w:lang w:val="es-ES_tradnl" w:eastAsia="en-US"/>
          <w14:ligatures w14:val="none"/>
        </w:rPr>
        <w:t xml:space="preserve"> 380</w:t>
      </w:r>
    </w:p>
    <w:p w14:paraId="4AEFEA11" w14:textId="77777777" w:rsidR="00FA5385" w:rsidRPr="00FA5385" w:rsidRDefault="00FA5385" w:rsidP="00FA5385">
      <w:pPr>
        <w:spacing w:after="0" w:line="240" w:lineRule="auto"/>
        <w:jc w:val="center"/>
        <w:rPr>
          <w:rFonts w:ascii="Book Antiqua" w:eastAsia="Times New Roman" w:hAnsi="Book Antiqua" w:cs="Times New Roman"/>
          <w:b/>
          <w:kern w:val="0"/>
          <w:lang w:val="es-ES_tradnl" w:eastAsia="en-US"/>
          <w14:ligatures w14:val="none"/>
        </w:rPr>
      </w:pPr>
    </w:p>
    <w:p w14:paraId="70F36B16" w14:textId="768469A7" w:rsidR="00FA5385" w:rsidRPr="00FA5385" w:rsidRDefault="0093444B" w:rsidP="00FA5385">
      <w:pPr>
        <w:spacing w:after="0" w:line="240" w:lineRule="auto"/>
        <w:jc w:val="center"/>
        <w:rPr>
          <w:rFonts w:ascii="Book Antiqua" w:eastAsia="Times New Roman" w:hAnsi="Book Antiqua" w:cs="Times New Roman"/>
          <w:kern w:val="0"/>
          <w:szCs w:val="20"/>
          <w:lang w:val="es-ES_tradnl" w:eastAsia="en-US"/>
          <w14:ligatures w14:val="none"/>
        </w:rPr>
      </w:pPr>
      <w:r>
        <w:rPr>
          <w:rFonts w:ascii="Book Antiqua" w:eastAsia="Times New Roman" w:hAnsi="Book Antiqua" w:cs="Times New Roman"/>
          <w:kern w:val="0"/>
          <w:szCs w:val="20"/>
          <w:lang w:val="es-ES_tradnl" w:eastAsia="en-US"/>
          <w14:ligatures w14:val="none"/>
        </w:rPr>
        <w:t>14</w:t>
      </w:r>
      <w:r w:rsidR="00135073">
        <w:rPr>
          <w:rFonts w:ascii="Book Antiqua" w:eastAsia="Times New Roman" w:hAnsi="Book Antiqua" w:cs="Times New Roman"/>
          <w:kern w:val="0"/>
          <w:szCs w:val="20"/>
          <w:lang w:val="es-ES_tradnl" w:eastAsia="en-US"/>
          <w14:ligatures w14:val="none"/>
        </w:rPr>
        <w:t xml:space="preserve"> DE JULIO DE 2025</w:t>
      </w:r>
    </w:p>
    <w:p w14:paraId="45600DD3" w14:textId="77777777" w:rsidR="00FA5385" w:rsidRPr="00FA5385" w:rsidRDefault="00FA5385" w:rsidP="00FA5385">
      <w:pPr>
        <w:spacing w:after="0" w:line="240" w:lineRule="auto"/>
        <w:jc w:val="center"/>
        <w:rPr>
          <w:rFonts w:ascii="Book Antiqua" w:eastAsia="Times New Roman" w:hAnsi="Book Antiqua" w:cs="Times New Roman"/>
          <w:kern w:val="0"/>
          <w:szCs w:val="20"/>
          <w:lang w:val="es-ES_tradnl" w:eastAsia="en-US"/>
          <w14:ligatures w14:val="none"/>
        </w:rPr>
      </w:pPr>
    </w:p>
    <w:p w14:paraId="10FF219C" w14:textId="77777777" w:rsidR="00FA5385" w:rsidRPr="00FA5385" w:rsidRDefault="00FA5385" w:rsidP="00FA5385">
      <w:pPr>
        <w:spacing w:after="0" w:line="240" w:lineRule="auto"/>
        <w:jc w:val="center"/>
        <w:rPr>
          <w:rFonts w:ascii="Book Antiqua" w:eastAsia="Times New Roman" w:hAnsi="Book Antiqua" w:cs="Times New Roman"/>
          <w:i/>
          <w:kern w:val="0"/>
          <w:szCs w:val="20"/>
          <w:lang w:val="es-ES_tradnl" w:eastAsia="en-US"/>
          <w14:ligatures w14:val="none"/>
        </w:rPr>
      </w:pPr>
      <w:r w:rsidRPr="00FA5385">
        <w:rPr>
          <w:rFonts w:ascii="Book Antiqua" w:eastAsia="Times New Roman" w:hAnsi="Book Antiqua" w:cs="Times New Roman"/>
          <w:kern w:val="0"/>
          <w:szCs w:val="20"/>
          <w:lang w:val="es-ES_tradnl" w:eastAsia="en-US"/>
          <w14:ligatures w14:val="none"/>
        </w:rPr>
        <w:t xml:space="preserve">Presentada por la representante </w:t>
      </w:r>
      <w:r w:rsidRPr="00FA5385">
        <w:rPr>
          <w:rFonts w:ascii="Book Antiqua" w:eastAsia="Times New Roman" w:hAnsi="Book Antiqua" w:cs="Times New Roman"/>
          <w:i/>
          <w:kern w:val="0"/>
          <w:szCs w:val="20"/>
          <w:lang w:val="es-ES_tradnl" w:eastAsia="en-US"/>
          <w14:ligatures w14:val="none"/>
        </w:rPr>
        <w:t>Gutiérrez Colón</w:t>
      </w:r>
    </w:p>
    <w:p w14:paraId="26B91BDD" w14:textId="77777777" w:rsidR="00FA5385" w:rsidRPr="00FA5385" w:rsidRDefault="00FA5385" w:rsidP="00FA5385">
      <w:pPr>
        <w:spacing w:after="0" w:line="240" w:lineRule="auto"/>
        <w:jc w:val="center"/>
        <w:rPr>
          <w:rFonts w:ascii="Book Antiqua" w:eastAsia="Times New Roman" w:hAnsi="Book Antiqua" w:cs="Times New Roman"/>
          <w:kern w:val="0"/>
          <w:szCs w:val="20"/>
          <w:lang w:val="es-ES_tradnl" w:eastAsia="en-US"/>
          <w14:ligatures w14:val="none"/>
        </w:rPr>
      </w:pPr>
    </w:p>
    <w:p w14:paraId="266EBDFC" w14:textId="6BE7C1F3" w:rsidR="00FA5385" w:rsidRPr="00FA5385" w:rsidRDefault="00FA5385" w:rsidP="00FA5385">
      <w:pPr>
        <w:spacing w:after="0" w:line="240" w:lineRule="auto"/>
        <w:jc w:val="center"/>
        <w:rPr>
          <w:rFonts w:ascii="Book Antiqua" w:eastAsia="Times New Roman" w:hAnsi="Book Antiqua" w:cs="Times New Roman"/>
          <w:kern w:val="0"/>
          <w:szCs w:val="20"/>
          <w:lang w:val="es-ES_tradnl" w:eastAsia="en-US"/>
          <w14:ligatures w14:val="none"/>
        </w:rPr>
      </w:pPr>
      <w:r w:rsidRPr="00FA5385">
        <w:rPr>
          <w:rFonts w:ascii="Book Antiqua" w:eastAsia="Times New Roman" w:hAnsi="Book Antiqua" w:cs="Times New Roman"/>
          <w:kern w:val="0"/>
          <w:szCs w:val="20"/>
          <w:lang w:val="es-ES_tradnl" w:eastAsia="en-US"/>
          <w14:ligatures w14:val="none"/>
        </w:rPr>
        <w:t xml:space="preserve">Referida a </w:t>
      </w:r>
      <w:r w:rsidR="00F47D5A">
        <w:rPr>
          <w:rFonts w:ascii="Book Antiqua" w:eastAsia="Times New Roman" w:hAnsi="Book Antiqua" w:cs="Times New Roman"/>
          <w:kern w:val="0"/>
          <w:szCs w:val="20"/>
          <w:lang w:val="es-ES_tradnl" w:eastAsia="en-US"/>
          <w14:ligatures w14:val="none"/>
        </w:rPr>
        <w:t>la Comisión de Asuntos Internos</w:t>
      </w:r>
    </w:p>
    <w:p w14:paraId="017B3814" w14:textId="77777777" w:rsidR="00FA5385" w:rsidRPr="00FA5385" w:rsidRDefault="00FA5385" w:rsidP="00FA5385">
      <w:pPr>
        <w:spacing w:after="0" w:line="240" w:lineRule="auto"/>
        <w:jc w:val="both"/>
        <w:rPr>
          <w:rFonts w:ascii="Book Antiqua" w:eastAsia="Times New Roman" w:hAnsi="Book Antiqua" w:cs="Times New Roman"/>
          <w:kern w:val="0"/>
          <w:szCs w:val="20"/>
          <w:lang w:val="es-ES_tradnl" w:eastAsia="en-US"/>
          <w14:ligatures w14:val="none"/>
        </w:rPr>
      </w:pPr>
    </w:p>
    <w:p w14:paraId="6F230E56" w14:textId="77777777" w:rsidR="00FA5385" w:rsidRPr="00FA5385" w:rsidRDefault="00FA5385" w:rsidP="00FA5385">
      <w:pPr>
        <w:spacing w:after="0" w:line="240" w:lineRule="auto"/>
        <w:jc w:val="center"/>
        <w:rPr>
          <w:rFonts w:ascii="Book Antiqua" w:eastAsia="Times New Roman" w:hAnsi="Book Antiqua" w:cs="Times New Roman"/>
          <w:b/>
          <w:kern w:val="0"/>
          <w:sz w:val="28"/>
          <w:szCs w:val="20"/>
          <w:lang w:val="es-ES_tradnl" w:eastAsia="en-US"/>
          <w14:ligatures w14:val="none"/>
        </w:rPr>
      </w:pPr>
      <w:r w:rsidRPr="00FA5385">
        <w:rPr>
          <w:rFonts w:ascii="Book Antiqua" w:eastAsia="Times New Roman" w:hAnsi="Book Antiqua" w:cs="Times New Roman"/>
          <w:b/>
          <w:kern w:val="0"/>
          <w:sz w:val="28"/>
          <w:szCs w:val="20"/>
          <w:lang w:val="es-ES_tradnl" w:eastAsia="en-US"/>
          <w14:ligatures w14:val="none"/>
        </w:rPr>
        <w:t>RESOLUCIÓN</w:t>
      </w:r>
    </w:p>
    <w:p w14:paraId="2EE9E67D" w14:textId="77777777" w:rsidR="00FA5385" w:rsidRPr="00FA5385" w:rsidRDefault="00FA5385" w:rsidP="00B72563">
      <w:pPr>
        <w:spacing w:after="0" w:line="240" w:lineRule="auto"/>
        <w:jc w:val="both"/>
        <w:rPr>
          <w:rFonts w:ascii="Book Antiqua" w:eastAsia="Times New Roman" w:hAnsi="Book Antiqua" w:cs="Times New Roman"/>
          <w:kern w:val="0"/>
          <w:szCs w:val="20"/>
          <w:lang w:val="es-ES_tradnl" w:eastAsia="en-US"/>
          <w14:ligatures w14:val="none"/>
        </w:rPr>
      </w:pPr>
    </w:p>
    <w:p w14:paraId="253302BD" w14:textId="5CDAF46F" w:rsidR="00FA5385" w:rsidRPr="00B72563" w:rsidRDefault="00FA5385" w:rsidP="00F47D5A">
      <w:pPr>
        <w:pStyle w:val="p1"/>
        <w:ind w:left="720" w:hanging="720"/>
        <w:jc w:val="both"/>
        <w:divId w:val="854423578"/>
        <w:rPr>
          <w:rFonts w:ascii="Book Antiqua" w:hAnsi="Book Antiqua"/>
          <w:sz w:val="24"/>
          <w:szCs w:val="24"/>
        </w:rPr>
      </w:pPr>
      <w:r w:rsidRPr="00B72563">
        <w:rPr>
          <w:rStyle w:val="s1"/>
          <w:rFonts w:ascii="Book Antiqua" w:hAnsi="Book Antiqua"/>
          <w:sz w:val="24"/>
          <w:szCs w:val="24"/>
        </w:rPr>
        <w:t xml:space="preserve">Para ordenar </w:t>
      </w:r>
      <w:r w:rsidR="005C1953" w:rsidRPr="00251A3B">
        <w:rPr>
          <w:rStyle w:val="s1"/>
          <w:rFonts w:ascii="Book Antiqua" w:hAnsi="Book Antiqua"/>
          <w:sz w:val="24"/>
          <w:szCs w:val="24"/>
        </w:rPr>
        <w:t xml:space="preserve">la </w:t>
      </w:r>
      <w:r w:rsidR="00383A12" w:rsidRPr="00251A3B">
        <w:rPr>
          <w:rStyle w:val="s1"/>
          <w:rFonts w:ascii="Book Antiqua" w:hAnsi="Book Antiqua"/>
          <w:sz w:val="24"/>
          <w:szCs w:val="24"/>
        </w:rPr>
        <w:t xml:space="preserve">Comisión de Transporte e Infraestructura </w:t>
      </w:r>
      <w:r w:rsidR="00251A3B" w:rsidRPr="00251A3B">
        <w:rPr>
          <w:rStyle w:val="s1"/>
          <w:rFonts w:ascii="Book Antiqua" w:hAnsi="Book Antiqua"/>
          <w:sz w:val="24"/>
          <w:szCs w:val="24"/>
        </w:rPr>
        <w:t xml:space="preserve">y a </w:t>
      </w:r>
      <w:r w:rsidR="00251A3B" w:rsidRPr="00251A3B">
        <w:rPr>
          <w:rFonts w:ascii="Book Antiqua" w:hAnsi="Book Antiqua"/>
          <w:bCs/>
          <w:sz w:val="24"/>
          <w:szCs w:val="24"/>
        </w:rPr>
        <w:t>La Comisión de Asuntos del Consumidor</w:t>
      </w:r>
      <w:r w:rsidR="007A581E">
        <w:rPr>
          <w:rStyle w:val="s1"/>
          <w:rFonts w:ascii="Book Antiqua" w:hAnsi="Book Antiqua"/>
          <w:sz w:val="24"/>
          <w:szCs w:val="24"/>
        </w:rPr>
        <w:t xml:space="preserve"> </w:t>
      </w:r>
      <w:r w:rsidR="00251A3B">
        <w:rPr>
          <w:rStyle w:val="s1"/>
          <w:rFonts w:ascii="Book Antiqua" w:hAnsi="Book Antiqua"/>
          <w:sz w:val="24"/>
          <w:szCs w:val="24"/>
        </w:rPr>
        <w:t xml:space="preserve">a </w:t>
      </w:r>
      <w:r w:rsidRPr="00B72563">
        <w:rPr>
          <w:rStyle w:val="s1"/>
          <w:rFonts w:ascii="Book Antiqua" w:hAnsi="Book Antiqua"/>
          <w:sz w:val="24"/>
          <w:szCs w:val="24"/>
        </w:rPr>
        <w:t>realizar una</w:t>
      </w:r>
      <w:r w:rsidR="00B72563">
        <w:rPr>
          <w:rStyle w:val="s1"/>
          <w:rFonts w:ascii="Book Antiqua" w:hAnsi="Book Antiqua"/>
          <w:sz w:val="24"/>
          <w:szCs w:val="24"/>
        </w:rPr>
        <w:t xml:space="preserve"> </w:t>
      </w:r>
      <w:r w:rsidRPr="00B72563">
        <w:rPr>
          <w:rStyle w:val="s1"/>
          <w:rFonts w:ascii="Book Antiqua" w:hAnsi="Book Antiqua"/>
          <w:sz w:val="24"/>
          <w:szCs w:val="24"/>
        </w:rPr>
        <w:t>investigación sobre los procesos de facturación y cobro en</w:t>
      </w:r>
      <w:r w:rsidR="00251A3B" w:rsidRPr="00251A3B">
        <w:rPr>
          <w:rStyle w:val="s1"/>
          <w:rFonts w:ascii="Book Antiqua" w:hAnsi="Book Antiqua"/>
          <w:sz w:val="24"/>
          <w:szCs w:val="24"/>
        </w:rPr>
        <w:t xml:space="preserve"> </w:t>
      </w:r>
      <w:r w:rsidR="00251A3B">
        <w:rPr>
          <w:rStyle w:val="s1"/>
          <w:rFonts w:ascii="Book Antiqua" w:hAnsi="Book Antiqua"/>
          <w:sz w:val="24"/>
          <w:szCs w:val="24"/>
        </w:rPr>
        <w:t xml:space="preserve">el </w:t>
      </w:r>
      <w:r w:rsidR="00251A3B" w:rsidRPr="00F4246D">
        <w:rPr>
          <w:rStyle w:val="s1"/>
          <w:rFonts w:ascii="Book Antiqua" w:hAnsi="Book Antiqua"/>
          <w:sz w:val="24"/>
          <w:szCs w:val="24"/>
        </w:rPr>
        <w:t xml:space="preserve">sistema de </w:t>
      </w:r>
      <w:r w:rsidR="00251A3B" w:rsidRPr="00090A22">
        <w:rPr>
          <w:rStyle w:val="s1"/>
          <w:rFonts w:ascii="Book Antiqua" w:hAnsi="Book Antiqua"/>
          <w:sz w:val="24"/>
          <w:szCs w:val="24"/>
        </w:rPr>
        <w:t xml:space="preserve">"carriles de peaje dinámico" o "Dynamic Toll Lanes" </w:t>
      </w:r>
      <w:r w:rsidR="00251A3B">
        <w:rPr>
          <w:rStyle w:val="s1"/>
          <w:rFonts w:ascii="Book Antiqua" w:hAnsi="Book Antiqua"/>
          <w:sz w:val="24"/>
          <w:szCs w:val="24"/>
        </w:rPr>
        <w:t>(</w:t>
      </w:r>
      <w:r w:rsidR="00251A3B" w:rsidRPr="00090A22">
        <w:rPr>
          <w:rStyle w:val="s1"/>
          <w:rFonts w:ascii="Book Antiqua" w:hAnsi="Book Antiqua"/>
          <w:sz w:val="24"/>
          <w:szCs w:val="24"/>
        </w:rPr>
        <w:t>DTL</w:t>
      </w:r>
      <w:r w:rsidR="00251A3B">
        <w:rPr>
          <w:rStyle w:val="s1"/>
          <w:rFonts w:ascii="Book Antiqua" w:hAnsi="Book Antiqua"/>
          <w:sz w:val="24"/>
          <w:szCs w:val="24"/>
        </w:rPr>
        <w:t>)</w:t>
      </w:r>
      <w:r w:rsidRPr="00B72563">
        <w:rPr>
          <w:rStyle w:val="s1"/>
          <w:rFonts w:ascii="Book Antiqua" w:hAnsi="Book Antiqua"/>
          <w:sz w:val="24"/>
          <w:szCs w:val="24"/>
        </w:rPr>
        <w:t>, con el propósito de verificar la correspondencia entre los cargos anunciados y los cargos facturados a los usuarios; y para otros fines relacionados.</w:t>
      </w:r>
    </w:p>
    <w:p w14:paraId="44E49721" w14:textId="77777777" w:rsidR="00FA5385" w:rsidRPr="00FA5385" w:rsidRDefault="00FA5385" w:rsidP="00B72563">
      <w:pPr>
        <w:spacing w:after="0" w:line="240" w:lineRule="auto"/>
        <w:ind w:left="360" w:hanging="360"/>
        <w:jc w:val="both"/>
        <w:rPr>
          <w:rFonts w:ascii="Book Antiqua" w:eastAsia="Times New Roman" w:hAnsi="Book Antiqua" w:cs="Times New Roman"/>
          <w:kern w:val="0"/>
          <w:lang w:val="es-ES_tradnl" w:eastAsia="en-US"/>
          <w14:ligatures w14:val="none"/>
        </w:rPr>
      </w:pPr>
    </w:p>
    <w:p w14:paraId="10869AB1" w14:textId="77777777" w:rsidR="00FA5385" w:rsidRDefault="00FA5385" w:rsidP="00FA5385">
      <w:pPr>
        <w:spacing w:after="0" w:line="240" w:lineRule="auto"/>
        <w:ind w:firstLine="360"/>
        <w:jc w:val="center"/>
        <w:rPr>
          <w:rFonts w:ascii="Book Antiqua" w:eastAsia="Times New Roman" w:hAnsi="Book Antiqua" w:cs="Times New Roman"/>
          <w:kern w:val="0"/>
          <w:szCs w:val="20"/>
          <w:lang w:val="es-ES_tradnl" w:eastAsia="en-US"/>
          <w14:ligatures w14:val="none"/>
        </w:rPr>
      </w:pPr>
      <w:r w:rsidRPr="00FA5385">
        <w:rPr>
          <w:rFonts w:ascii="Book Antiqua" w:eastAsia="Times New Roman" w:hAnsi="Book Antiqua" w:cs="Times New Roman"/>
          <w:kern w:val="0"/>
          <w:szCs w:val="20"/>
          <w:lang w:val="es-ES_tradnl" w:eastAsia="en-US"/>
          <w14:ligatures w14:val="none"/>
        </w:rPr>
        <w:t>EXPOSICIÓN DE MOTIVOS</w:t>
      </w:r>
    </w:p>
    <w:p w14:paraId="53AD66C8" w14:textId="77777777" w:rsidR="00E33290" w:rsidRDefault="00E33290" w:rsidP="00FA5385">
      <w:pPr>
        <w:spacing w:after="0" w:line="240" w:lineRule="auto"/>
        <w:ind w:firstLine="360"/>
        <w:jc w:val="center"/>
        <w:rPr>
          <w:rFonts w:ascii="Book Antiqua" w:eastAsia="Times New Roman" w:hAnsi="Book Antiqua" w:cs="Times New Roman"/>
          <w:kern w:val="0"/>
          <w:szCs w:val="20"/>
          <w:lang w:val="es-ES_tradnl" w:eastAsia="en-US"/>
          <w14:ligatures w14:val="none"/>
        </w:rPr>
      </w:pPr>
    </w:p>
    <w:p w14:paraId="23DE35B5" w14:textId="016EC05D" w:rsidR="00F4246D" w:rsidRPr="00F4246D" w:rsidRDefault="00F4246D" w:rsidP="00F4246D">
      <w:pPr>
        <w:pStyle w:val="p1"/>
        <w:ind w:firstLine="360"/>
        <w:jc w:val="both"/>
        <w:divId w:val="2009140258"/>
        <w:rPr>
          <w:rFonts w:ascii="Book Antiqua" w:hAnsi="Book Antiqua"/>
          <w:sz w:val="24"/>
          <w:szCs w:val="24"/>
        </w:rPr>
      </w:pPr>
      <w:r w:rsidRPr="00F4246D">
        <w:rPr>
          <w:rStyle w:val="s1"/>
          <w:rFonts w:ascii="Book Antiqua" w:hAnsi="Book Antiqua"/>
          <w:sz w:val="24"/>
          <w:szCs w:val="24"/>
        </w:rPr>
        <w:t xml:space="preserve">El sistema de </w:t>
      </w:r>
      <w:r w:rsidR="00090A22" w:rsidRPr="00090A22">
        <w:rPr>
          <w:rStyle w:val="s1"/>
          <w:rFonts w:ascii="Book Antiqua" w:hAnsi="Book Antiqua"/>
          <w:sz w:val="24"/>
          <w:szCs w:val="24"/>
        </w:rPr>
        <w:t xml:space="preserve">"carriles de peaje dinámico" o "Dynamic Toll Lanes" </w:t>
      </w:r>
      <w:r w:rsidR="00135073">
        <w:rPr>
          <w:rStyle w:val="s1"/>
          <w:rFonts w:ascii="Book Antiqua" w:hAnsi="Book Antiqua"/>
          <w:sz w:val="24"/>
          <w:szCs w:val="24"/>
        </w:rPr>
        <w:t>(</w:t>
      </w:r>
      <w:r w:rsidR="00090A22" w:rsidRPr="00090A22">
        <w:rPr>
          <w:rStyle w:val="s1"/>
          <w:rFonts w:ascii="Book Antiqua" w:hAnsi="Book Antiqua"/>
          <w:sz w:val="24"/>
          <w:szCs w:val="24"/>
        </w:rPr>
        <w:t>DTL</w:t>
      </w:r>
      <w:r w:rsidR="00135073">
        <w:rPr>
          <w:rStyle w:val="s1"/>
          <w:rFonts w:ascii="Book Antiqua" w:hAnsi="Book Antiqua"/>
          <w:sz w:val="24"/>
          <w:szCs w:val="24"/>
        </w:rPr>
        <w:t>)</w:t>
      </w:r>
      <w:r w:rsidR="00090A22">
        <w:rPr>
          <w:rStyle w:val="s1"/>
          <w:rFonts w:ascii="Book Antiqua" w:hAnsi="Book Antiqua"/>
          <w:sz w:val="24"/>
          <w:szCs w:val="24"/>
        </w:rPr>
        <w:t xml:space="preserve"> </w:t>
      </w:r>
      <w:r w:rsidRPr="00F4246D">
        <w:rPr>
          <w:rStyle w:val="s1"/>
          <w:rFonts w:ascii="Book Antiqua" w:hAnsi="Book Antiqua"/>
          <w:sz w:val="24"/>
          <w:szCs w:val="24"/>
        </w:rPr>
        <w:t xml:space="preserve">permite el tránsito ágil de vehículos mediante un cargo variable, el cual es informado al conductor mediante un monitor electrónico al momento de ingresar al carril. Este modelo busca optimizar la movilidad vehicular en ciertas vías mediante el uso de tarifas </w:t>
      </w:r>
      <w:r w:rsidR="00090A22">
        <w:rPr>
          <w:rStyle w:val="s1"/>
          <w:rFonts w:ascii="Book Antiqua" w:hAnsi="Book Antiqua"/>
          <w:sz w:val="24"/>
          <w:szCs w:val="24"/>
        </w:rPr>
        <w:t xml:space="preserve">que varían </w:t>
      </w:r>
      <w:r w:rsidR="00090A22" w:rsidRPr="00090A22">
        <w:rPr>
          <w:rStyle w:val="s1"/>
          <w:rFonts w:ascii="Book Antiqua" w:hAnsi="Book Antiqua"/>
          <w:sz w:val="24"/>
          <w:szCs w:val="24"/>
        </w:rPr>
        <w:t>según la demanda de tránsito</w:t>
      </w:r>
      <w:r w:rsidRPr="00F4246D">
        <w:rPr>
          <w:rStyle w:val="s1"/>
          <w:rFonts w:ascii="Book Antiqua" w:hAnsi="Book Antiqua"/>
          <w:sz w:val="24"/>
          <w:szCs w:val="24"/>
        </w:rPr>
        <w:t>.</w:t>
      </w:r>
    </w:p>
    <w:p w14:paraId="1EBF18A7" w14:textId="77777777" w:rsidR="00F4246D" w:rsidRPr="00F4246D" w:rsidRDefault="00F4246D" w:rsidP="00F4246D">
      <w:pPr>
        <w:pStyle w:val="p2"/>
        <w:jc w:val="both"/>
        <w:divId w:val="2009140258"/>
        <w:rPr>
          <w:rFonts w:ascii="Book Antiqua" w:hAnsi="Book Antiqua"/>
          <w:sz w:val="24"/>
          <w:szCs w:val="24"/>
        </w:rPr>
      </w:pPr>
    </w:p>
    <w:p w14:paraId="2421857A" w14:textId="0115FC85" w:rsidR="00F4246D" w:rsidRPr="00F4246D" w:rsidRDefault="00F4246D" w:rsidP="005D32FD">
      <w:pPr>
        <w:pStyle w:val="p1"/>
        <w:ind w:firstLine="360"/>
        <w:jc w:val="both"/>
        <w:divId w:val="2009140258"/>
        <w:rPr>
          <w:rFonts w:ascii="Book Antiqua" w:hAnsi="Book Antiqua"/>
          <w:sz w:val="24"/>
          <w:szCs w:val="24"/>
        </w:rPr>
      </w:pPr>
      <w:r w:rsidRPr="00F4246D">
        <w:rPr>
          <w:rStyle w:val="s1"/>
          <w:rFonts w:ascii="Book Antiqua" w:hAnsi="Book Antiqua"/>
          <w:sz w:val="24"/>
          <w:szCs w:val="24"/>
        </w:rPr>
        <w:t xml:space="preserve">En la actualidad, estos carriles son operados por la empresa Metropistas, como parte de un acuerdo de </w:t>
      </w:r>
      <w:r w:rsidR="00090A22" w:rsidRPr="00135073">
        <w:rPr>
          <w:rStyle w:val="s1"/>
          <w:rFonts w:ascii="Book Antiqua" w:hAnsi="Book Antiqua"/>
          <w:sz w:val="24"/>
          <w:szCs w:val="24"/>
        </w:rPr>
        <w:t>Alianza Público-Privada</w:t>
      </w:r>
      <w:r w:rsidRPr="00F4246D">
        <w:rPr>
          <w:rStyle w:val="s1"/>
          <w:rFonts w:ascii="Book Antiqua" w:hAnsi="Book Antiqua"/>
          <w:sz w:val="24"/>
          <w:szCs w:val="24"/>
        </w:rPr>
        <w:t>. El servicio representa un costo recurrente para quienes lo utilizan, por lo cual es esencial que los mecanismos de información, facturación y cobro funcionen de forma precisa, confiable y conforme a la normativa vigente.</w:t>
      </w:r>
    </w:p>
    <w:p w14:paraId="350A65C0" w14:textId="77777777" w:rsidR="00F4246D" w:rsidRPr="00F4246D" w:rsidRDefault="00F4246D" w:rsidP="00F4246D">
      <w:pPr>
        <w:pStyle w:val="p2"/>
        <w:jc w:val="both"/>
        <w:divId w:val="2009140258"/>
        <w:rPr>
          <w:rFonts w:ascii="Book Antiqua" w:hAnsi="Book Antiqua"/>
          <w:sz w:val="24"/>
          <w:szCs w:val="24"/>
        </w:rPr>
      </w:pPr>
    </w:p>
    <w:p w14:paraId="6AEE34B7" w14:textId="61F58EB5" w:rsidR="00F4246D" w:rsidRDefault="00F4246D" w:rsidP="005D32FD">
      <w:pPr>
        <w:pStyle w:val="p1"/>
        <w:ind w:firstLine="360"/>
        <w:jc w:val="both"/>
        <w:divId w:val="2009140258"/>
        <w:rPr>
          <w:rStyle w:val="s1"/>
          <w:rFonts w:ascii="Book Antiqua" w:hAnsi="Book Antiqua"/>
          <w:sz w:val="24"/>
          <w:szCs w:val="24"/>
        </w:rPr>
      </w:pPr>
      <w:r w:rsidRPr="00F4246D">
        <w:rPr>
          <w:rStyle w:val="s1"/>
          <w:rFonts w:ascii="Book Antiqua" w:hAnsi="Book Antiqua"/>
          <w:sz w:val="24"/>
          <w:szCs w:val="24"/>
        </w:rPr>
        <w:t>A raíz de preocupaciones ciudadanas relacionadas con posibles discrepancias entre los cargos anunciados en el monitor y los reflejados posteriormente en las cuentas de los usuarios, se estima pertinente ordenar</w:t>
      </w:r>
      <w:r w:rsidR="00FE1727">
        <w:rPr>
          <w:rStyle w:val="s1"/>
          <w:rFonts w:ascii="Book Antiqua" w:hAnsi="Book Antiqua"/>
          <w:sz w:val="24"/>
          <w:szCs w:val="24"/>
        </w:rPr>
        <w:t xml:space="preserve"> a</w:t>
      </w:r>
      <w:r w:rsidR="00FE1727" w:rsidRPr="00251A3B">
        <w:rPr>
          <w:rStyle w:val="s1"/>
          <w:rFonts w:ascii="Book Antiqua" w:hAnsi="Book Antiqua"/>
          <w:sz w:val="24"/>
          <w:szCs w:val="24"/>
        </w:rPr>
        <w:t xml:space="preserve"> la Comisión</w:t>
      </w:r>
      <w:r w:rsidR="001E47E8" w:rsidRPr="00251A3B">
        <w:rPr>
          <w:rStyle w:val="s1"/>
          <w:rFonts w:ascii="Book Antiqua" w:hAnsi="Book Antiqua"/>
          <w:sz w:val="24"/>
          <w:szCs w:val="24"/>
        </w:rPr>
        <w:t xml:space="preserve"> de Transporte e Infraestructura </w:t>
      </w:r>
      <w:r w:rsidR="00251A3B" w:rsidRPr="00251A3B">
        <w:rPr>
          <w:rStyle w:val="s1"/>
          <w:rFonts w:ascii="Book Antiqua" w:hAnsi="Book Antiqua"/>
          <w:sz w:val="24"/>
          <w:szCs w:val="24"/>
        </w:rPr>
        <w:t xml:space="preserve">y a </w:t>
      </w:r>
      <w:r w:rsidR="00251A3B">
        <w:rPr>
          <w:rFonts w:ascii="Book Antiqua" w:hAnsi="Book Antiqua"/>
          <w:bCs/>
          <w:sz w:val="24"/>
          <w:szCs w:val="24"/>
        </w:rPr>
        <w:t>l</w:t>
      </w:r>
      <w:r w:rsidR="00251A3B" w:rsidRPr="00251A3B">
        <w:rPr>
          <w:rFonts w:ascii="Book Antiqua" w:hAnsi="Book Antiqua"/>
          <w:bCs/>
          <w:sz w:val="24"/>
          <w:szCs w:val="24"/>
        </w:rPr>
        <w:t>a Comisión de Asuntos del Consumidor</w:t>
      </w:r>
      <w:r w:rsidR="00FE1727" w:rsidRPr="00251A3B">
        <w:rPr>
          <w:rStyle w:val="s1"/>
          <w:rFonts w:ascii="Book Antiqua" w:hAnsi="Book Antiqua"/>
          <w:sz w:val="24"/>
          <w:szCs w:val="24"/>
        </w:rPr>
        <w:t xml:space="preserve"> </w:t>
      </w:r>
      <w:r w:rsidRPr="00F4246D">
        <w:rPr>
          <w:rStyle w:val="s1"/>
          <w:rFonts w:ascii="Book Antiqua" w:hAnsi="Book Antiqua"/>
          <w:sz w:val="24"/>
          <w:szCs w:val="24"/>
        </w:rPr>
        <w:t>que realice</w:t>
      </w:r>
      <w:r w:rsidR="00135073">
        <w:rPr>
          <w:rStyle w:val="s1"/>
          <w:rFonts w:ascii="Book Antiqua" w:hAnsi="Book Antiqua"/>
          <w:sz w:val="24"/>
          <w:szCs w:val="24"/>
        </w:rPr>
        <w:t>n</w:t>
      </w:r>
      <w:r w:rsidRPr="00F4246D">
        <w:rPr>
          <w:rStyle w:val="s1"/>
          <w:rFonts w:ascii="Book Antiqua" w:hAnsi="Book Antiqua"/>
          <w:sz w:val="24"/>
          <w:szCs w:val="24"/>
        </w:rPr>
        <w:t xml:space="preserve"> una investigación sobre los </w:t>
      </w:r>
      <w:r w:rsidRPr="00F4246D">
        <w:rPr>
          <w:rStyle w:val="s1"/>
          <w:rFonts w:ascii="Book Antiqua" w:hAnsi="Book Antiqua"/>
          <w:sz w:val="24"/>
          <w:szCs w:val="24"/>
        </w:rPr>
        <w:lastRenderedPageBreak/>
        <w:t>procesos asociados a este sistema, a fin de asegurar su transparencia, exactitud y funcionamiento adecuado.</w:t>
      </w:r>
    </w:p>
    <w:p w14:paraId="158F71EB" w14:textId="77777777" w:rsidR="003F4C9A" w:rsidRDefault="003F4C9A" w:rsidP="005D32FD">
      <w:pPr>
        <w:pStyle w:val="p1"/>
        <w:ind w:firstLine="360"/>
        <w:jc w:val="both"/>
        <w:divId w:val="2009140258"/>
        <w:rPr>
          <w:rStyle w:val="s1"/>
          <w:rFonts w:ascii="Book Antiqua" w:hAnsi="Book Antiqua"/>
          <w:sz w:val="24"/>
          <w:szCs w:val="24"/>
        </w:rPr>
      </w:pPr>
    </w:p>
    <w:p w14:paraId="6987F9ED" w14:textId="77777777" w:rsidR="00FA5385" w:rsidRPr="00FA5385" w:rsidRDefault="00FA5385" w:rsidP="00FA5385">
      <w:pPr>
        <w:spacing w:after="0" w:line="480" w:lineRule="auto"/>
        <w:rPr>
          <w:rFonts w:ascii="Book Antiqua" w:eastAsia="Times New Roman" w:hAnsi="Book Antiqua" w:cs="Times New Roman"/>
          <w:i/>
          <w:kern w:val="0"/>
          <w:szCs w:val="20"/>
          <w:lang w:val="es-ES_tradnl" w:eastAsia="en-US"/>
          <w14:ligatures w14:val="none"/>
        </w:rPr>
      </w:pPr>
      <w:r w:rsidRPr="00FA5385">
        <w:rPr>
          <w:rFonts w:ascii="Book Antiqua" w:eastAsia="Times New Roman" w:hAnsi="Book Antiqua" w:cs="Times New Roman"/>
          <w:i/>
          <w:kern w:val="0"/>
          <w:szCs w:val="20"/>
          <w:lang w:val="es-ES_tradnl" w:eastAsia="en-US"/>
          <w14:ligatures w14:val="none"/>
        </w:rPr>
        <w:t>RESUÉLVESE POR LA CÁMARA DE REPRESENTANTES DE PUERTO RICO:</w:t>
      </w:r>
    </w:p>
    <w:p w14:paraId="208BDB55" w14:textId="77777777" w:rsidR="00FA5385" w:rsidRPr="00FA5385" w:rsidRDefault="00FA5385" w:rsidP="00FA5385">
      <w:pPr>
        <w:spacing w:after="0" w:line="480" w:lineRule="auto"/>
        <w:jc w:val="both"/>
        <w:rPr>
          <w:rFonts w:ascii="Book Antiqua" w:eastAsia="Times New Roman" w:hAnsi="Book Antiqua" w:cs="Times New Roman"/>
          <w:kern w:val="0"/>
          <w:szCs w:val="20"/>
          <w:lang w:val="es-ES_tradnl" w:eastAsia="en-US"/>
          <w14:ligatures w14:val="none"/>
        </w:rPr>
        <w:sectPr w:rsidR="00FA5385" w:rsidRPr="00FA5385" w:rsidSect="00FA538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cols w:space="720"/>
          <w:titlePg/>
        </w:sectPr>
      </w:pPr>
    </w:p>
    <w:p w14:paraId="3188A075" w14:textId="629245A1" w:rsidR="00F645CE" w:rsidRPr="00F645CE" w:rsidRDefault="00F645CE" w:rsidP="00B335C4">
      <w:pPr>
        <w:spacing w:after="0" w:line="480" w:lineRule="auto"/>
        <w:ind w:firstLine="708"/>
        <w:jc w:val="both"/>
        <w:divId w:val="1010257343"/>
        <w:rPr>
          <w:rFonts w:ascii="Book Antiqua" w:hAnsi="Book Antiqua" w:cs="Times New Roman"/>
          <w:kern w:val="0"/>
          <w14:ligatures w14:val="none"/>
        </w:rPr>
      </w:pPr>
      <w:r w:rsidRPr="00F645CE">
        <w:rPr>
          <w:rFonts w:ascii="Book Antiqua" w:hAnsi="Book Antiqua" w:cs="Times New Roman"/>
          <w:kern w:val="0"/>
          <w14:ligatures w14:val="none"/>
        </w:rPr>
        <w:t xml:space="preserve">Sección 1. – Se ordena </w:t>
      </w:r>
      <w:r w:rsidR="00150BEC" w:rsidRPr="00251A3B">
        <w:rPr>
          <w:rStyle w:val="s1"/>
          <w:rFonts w:ascii="Book Antiqua" w:hAnsi="Book Antiqua"/>
          <w:sz w:val="24"/>
          <w:szCs w:val="24"/>
        </w:rPr>
        <w:t xml:space="preserve">la Comisión de Transporte e Infraestructura </w:t>
      </w:r>
      <w:r w:rsidR="00251A3B" w:rsidRPr="00251A3B">
        <w:rPr>
          <w:rStyle w:val="s1"/>
          <w:rFonts w:ascii="Book Antiqua" w:hAnsi="Book Antiqua"/>
          <w:sz w:val="24"/>
          <w:szCs w:val="24"/>
        </w:rPr>
        <w:t xml:space="preserve">y a </w:t>
      </w:r>
      <w:r w:rsidR="00251A3B">
        <w:rPr>
          <w:rFonts w:ascii="Book Antiqua" w:hAnsi="Book Antiqua"/>
          <w:bCs/>
        </w:rPr>
        <w:t>l</w:t>
      </w:r>
      <w:r w:rsidR="00251A3B" w:rsidRPr="00251A3B">
        <w:rPr>
          <w:rFonts w:ascii="Book Antiqua" w:hAnsi="Book Antiqua"/>
          <w:bCs/>
        </w:rPr>
        <w:t>a Comisión de Asuntos del Consumidor</w:t>
      </w:r>
      <w:r w:rsidR="00251A3B">
        <w:rPr>
          <w:rFonts w:ascii="Book Antiqua" w:hAnsi="Book Antiqua" w:cs="Times New Roman"/>
          <w:kern w:val="0"/>
          <w14:ligatures w14:val="none"/>
        </w:rPr>
        <w:t xml:space="preserve"> </w:t>
      </w:r>
      <w:r w:rsidRPr="00F645CE">
        <w:rPr>
          <w:rFonts w:ascii="Book Antiqua" w:hAnsi="Book Antiqua" w:cs="Times New Roman"/>
          <w:kern w:val="0"/>
          <w14:ligatures w14:val="none"/>
        </w:rPr>
        <w:t xml:space="preserve">llevar a cabo una investigación sobre los procesos de facturación y cobro en </w:t>
      </w:r>
      <w:r w:rsidR="00251A3B">
        <w:rPr>
          <w:rStyle w:val="s1"/>
          <w:rFonts w:ascii="Book Antiqua" w:hAnsi="Book Antiqua"/>
          <w:sz w:val="24"/>
          <w:szCs w:val="24"/>
        </w:rPr>
        <w:t xml:space="preserve">el </w:t>
      </w:r>
      <w:r w:rsidR="00251A3B" w:rsidRPr="00F4246D">
        <w:rPr>
          <w:rStyle w:val="s1"/>
          <w:rFonts w:ascii="Book Antiqua" w:hAnsi="Book Antiqua"/>
          <w:sz w:val="24"/>
          <w:szCs w:val="24"/>
        </w:rPr>
        <w:t xml:space="preserve">sistema de </w:t>
      </w:r>
      <w:r w:rsidR="00251A3B" w:rsidRPr="00090A22">
        <w:rPr>
          <w:rStyle w:val="s1"/>
          <w:rFonts w:ascii="Book Antiqua" w:hAnsi="Book Antiqua"/>
          <w:sz w:val="24"/>
          <w:szCs w:val="24"/>
        </w:rPr>
        <w:t>"carriles de peaje dinámico" o "Dynamic Toll Lanes</w:t>
      </w:r>
      <w:r w:rsidR="00135073" w:rsidRPr="00090A22">
        <w:rPr>
          <w:rStyle w:val="s1"/>
          <w:rFonts w:ascii="Book Antiqua" w:hAnsi="Book Antiqua"/>
          <w:sz w:val="24"/>
          <w:szCs w:val="24"/>
        </w:rPr>
        <w:t>” (</w:t>
      </w:r>
      <w:r w:rsidR="00251A3B" w:rsidRPr="00090A22">
        <w:rPr>
          <w:rStyle w:val="s1"/>
          <w:rFonts w:ascii="Book Antiqua" w:hAnsi="Book Antiqua"/>
          <w:sz w:val="24"/>
          <w:szCs w:val="24"/>
        </w:rPr>
        <w:t>DTL</w:t>
      </w:r>
      <w:r w:rsidR="00251A3B">
        <w:rPr>
          <w:rStyle w:val="s1"/>
          <w:rFonts w:ascii="Book Antiqua" w:hAnsi="Book Antiqua"/>
          <w:sz w:val="24"/>
          <w:szCs w:val="24"/>
        </w:rPr>
        <w:t>)</w:t>
      </w:r>
      <w:r w:rsidRPr="00F645CE">
        <w:rPr>
          <w:rFonts w:ascii="Book Antiqua" w:hAnsi="Book Antiqua" w:cs="Times New Roman"/>
          <w:kern w:val="0"/>
          <w14:ligatures w14:val="none"/>
        </w:rPr>
        <w:t>, con el objetivo de evaluar la correspondencia entre los cargos anunciados a los usuarios al momento del acceso y los cargos reflejados posteriormente en sus cuentas.</w:t>
      </w:r>
    </w:p>
    <w:p w14:paraId="47063370" w14:textId="000EAD5D" w:rsidR="00827912" w:rsidRDefault="00F645CE" w:rsidP="00827912">
      <w:pPr>
        <w:spacing w:after="0" w:line="480" w:lineRule="auto"/>
        <w:ind w:firstLine="708"/>
        <w:jc w:val="both"/>
        <w:divId w:val="1010257343"/>
        <w:rPr>
          <w:rFonts w:ascii="Book Antiqua" w:hAnsi="Book Antiqua" w:cs="Times New Roman"/>
          <w:kern w:val="0"/>
          <w14:ligatures w14:val="none"/>
        </w:rPr>
      </w:pPr>
      <w:r w:rsidRPr="00F645CE">
        <w:rPr>
          <w:rFonts w:ascii="Book Antiqua" w:hAnsi="Book Antiqua" w:cs="Times New Roman"/>
          <w:kern w:val="0"/>
          <w14:ligatures w14:val="none"/>
        </w:rPr>
        <w:t xml:space="preserve">Sección 2. – Como parte de dicha investigación, </w:t>
      </w:r>
      <w:r w:rsidR="00827912">
        <w:rPr>
          <w:rFonts w:ascii="Book Antiqua" w:hAnsi="Book Antiqua" w:cs="Times New Roman"/>
          <w:kern w:val="0"/>
          <w14:ligatures w14:val="none"/>
        </w:rPr>
        <w:t xml:space="preserve">pero sin limitarse a, </w:t>
      </w:r>
      <w:r w:rsidR="00090A22">
        <w:rPr>
          <w:rFonts w:ascii="Book Antiqua" w:hAnsi="Book Antiqua" w:cs="Times New Roman"/>
          <w:kern w:val="0"/>
          <w14:ligatures w14:val="none"/>
        </w:rPr>
        <w:t>la Comisión deberá:</w:t>
      </w:r>
    </w:p>
    <w:p w14:paraId="1C0BC62F" w14:textId="380BDDCB" w:rsidR="00827912" w:rsidRDefault="00090A22" w:rsidP="00827912">
      <w:pPr>
        <w:pStyle w:val="ListParagraph"/>
        <w:numPr>
          <w:ilvl w:val="0"/>
          <w:numId w:val="2"/>
        </w:numPr>
        <w:spacing w:after="0" w:line="480" w:lineRule="auto"/>
        <w:jc w:val="both"/>
        <w:divId w:val="1010257343"/>
        <w:rPr>
          <w:rFonts w:ascii="Book Antiqua" w:hAnsi="Book Antiqua" w:cs="Times New Roman"/>
          <w:kern w:val="0"/>
          <w14:ligatures w14:val="none"/>
        </w:rPr>
      </w:pPr>
      <w:r w:rsidRPr="00827912">
        <w:rPr>
          <w:rFonts w:ascii="Book Antiqua" w:hAnsi="Book Antiqua" w:cs="Times New Roman"/>
          <w:kern w:val="0"/>
          <w14:ligatures w14:val="none"/>
        </w:rPr>
        <w:t xml:space="preserve">Requerir al </w:t>
      </w:r>
      <w:r w:rsidR="00135073">
        <w:rPr>
          <w:rFonts w:ascii="Book Antiqua" w:hAnsi="Book Antiqua" w:cs="Times New Roman"/>
          <w:kern w:val="0"/>
          <w14:ligatures w14:val="none"/>
        </w:rPr>
        <w:t>Departamento de Transportación y Obras Públicas (</w:t>
      </w:r>
      <w:r w:rsidRPr="00827912">
        <w:rPr>
          <w:rFonts w:ascii="Book Antiqua" w:hAnsi="Book Antiqua" w:cs="Times New Roman"/>
          <w:kern w:val="0"/>
          <w14:ligatures w14:val="none"/>
        </w:rPr>
        <w:t>DTOP</w:t>
      </w:r>
      <w:r w:rsidR="00135073">
        <w:rPr>
          <w:rFonts w:ascii="Book Antiqua" w:hAnsi="Book Antiqua" w:cs="Times New Roman"/>
          <w:kern w:val="0"/>
          <w14:ligatures w14:val="none"/>
        </w:rPr>
        <w:t>)</w:t>
      </w:r>
      <w:r w:rsidRPr="00827912">
        <w:rPr>
          <w:rFonts w:ascii="Book Antiqua" w:hAnsi="Book Antiqua" w:cs="Times New Roman"/>
          <w:kern w:val="0"/>
          <w14:ligatures w14:val="none"/>
        </w:rPr>
        <w:t xml:space="preserve"> y a la Autoridad para las Alianzas Público</w:t>
      </w:r>
      <w:r w:rsidR="00827912" w:rsidRPr="00827912">
        <w:rPr>
          <w:rFonts w:ascii="Book Antiqua" w:hAnsi="Book Antiqua" w:cs="Times New Roman"/>
          <w:kern w:val="0"/>
          <w14:ligatures w14:val="none"/>
        </w:rPr>
        <w:t>-</w:t>
      </w:r>
      <w:r w:rsidRPr="00827912">
        <w:rPr>
          <w:rFonts w:ascii="Book Antiqua" w:hAnsi="Book Antiqua" w:cs="Times New Roman"/>
          <w:kern w:val="0"/>
          <w14:ligatures w14:val="none"/>
        </w:rPr>
        <w:t>Privada</w:t>
      </w:r>
      <w:r w:rsidR="00827912" w:rsidRPr="00827912">
        <w:rPr>
          <w:rFonts w:ascii="Book Antiqua" w:hAnsi="Book Antiqua" w:cs="Times New Roman"/>
          <w:kern w:val="0"/>
          <w14:ligatures w14:val="none"/>
        </w:rPr>
        <w:t>s (AAPP)</w:t>
      </w:r>
      <w:r w:rsidR="00827912">
        <w:rPr>
          <w:rFonts w:ascii="Book Antiqua" w:hAnsi="Book Antiqua" w:cs="Times New Roman"/>
          <w:kern w:val="0"/>
          <w14:ligatures w14:val="none"/>
        </w:rPr>
        <w:t xml:space="preserve"> </w:t>
      </w:r>
      <w:r w:rsidR="00F645CE" w:rsidRPr="00827912">
        <w:rPr>
          <w:rFonts w:ascii="Book Antiqua" w:hAnsi="Book Antiqua" w:cs="Times New Roman"/>
          <w:kern w:val="0"/>
          <w14:ligatures w14:val="none"/>
        </w:rPr>
        <w:t>examinar los sistemas y protocolos utilizados para establecer y comunicar los cargos</w:t>
      </w:r>
      <w:r w:rsidR="00135073">
        <w:rPr>
          <w:rFonts w:ascii="Book Antiqua" w:hAnsi="Book Antiqua" w:cs="Times New Roman"/>
          <w:kern w:val="0"/>
          <w14:ligatures w14:val="none"/>
        </w:rPr>
        <w:t>.</w:t>
      </w:r>
    </w:p>
    <w:p w14:paraId="66293C81" w14:textId="77777777" w:rsidR="00827912" w:rsidRDefault="00827912" w:rsidP="00827912">
      <w:pPr>
        <w:pStyle w:val="ListParagraph"/>
        <w:numPr>
          <w:ilvl w:val="0"/>
          <w:numId w:val="2"/>
        </w:numPr>
        <w:spacing w:after="0" w:line="480" w:lineRule="auto"/>
        <w:jc w:val="both"/>
        <w:divId w:val="1010257343"/>
        <w:rPr>
          <w:rFonts w:ascii="Book Antiqua" w:hAnsi="Book Antiqua" w:cs="Times New Roman"/>
          <w:kern w:val="0"/>
          <w14:ligatures w14:val="none"/>
        </w:rPr>
      </w:pPr>
      <w:r>
        <w:rPr>
          <w:rFonts w:ascii="Book Antiqua" w:hAnsi="Book Antiqua" w:cs="Times New Roman"/>
          <w:kern w:val="0"/>
          <w14:ligatures w14:val="none"/>
        </w:rPr>
        <w:t>Evaluar el cumplimiento de Metropistas con el contrato con el Gobierno de Puerto Rico en el que se establece como una APP.</w:t>
      </w:r>
    </w:p>
    <w:p w14:paraId="45FB65EA" w14:textId="099DB37B" w:rsidR="00135073" w:rsidRDefault="00135073" w:rsidP="00827912">
      <w:pPr>
        <w:pStyle w:val="ListParagraph"/>
        <w:numPr>
          <w:ilvl w:val="0"/>
          <w:numId w:val="2"/>
        </w:numPr>
        <w:spacing w:after="0" w:line="480" w:lineRule="auto"/>
        <w:jc w:val="both"/>
        <w:divId w:val="1010257343"/>
        <w:rPr>
          <w:rFonts w:ascii="Book Antiqua" w:hAnsi="Book Antiqua" w:cs="Times New Roman"/>
          <w:kern w:val="0"/>
          <w14:ligatures w14:val="none"/>
        </w:rPr>
      </w:pPr>
      <w:r>
        <w:rPr>
          <w:rFonts w:ascii="Book Antiqua" w:hAnsi="Book Antiqua" w:cs="Times New Roman"/>
          <w:kern w:val="0"/>
          <w14:ligatures w14:val="none"/>
        </w:rPr>
        <w:t>Requerir a Metropistas que explique las razones por las cuales surgen las discrepancias referidas por los ciudadanos y evidenciar que se corrigieron dichas discrepancias, de manera que la factura refleje un cargo idéntico al anunciado en el monitor al momento de utilizar el carril DTL.</w:t>
      </w:r>
    </w:p>
    <w:p w14:paraId="635B8447" w14:textId="1A6EAACE" w:rsidR="00827912" w:rsidRDefault="00827912" w:rsidP="00827912">
      <w:pPr>
        <w:pStyle w:val="ListParagraph"/>
        <w:numPr>
          <w:ilvl w:val="0"/>
          <w:numId w:val="2"/>
        </w:numPr>
        <w:spacing w:after="0" w:line="480" w:lineRule="auto"/>
        <w:jc w:val="both"/>
        <w:divId w:val="1010257343"/>
        <w:rPr>
          <w:rFonts w:ascii="Book Antiqua" w:hAnsi="Book Antiqua" w:cs="Times New Roman"/>
          <w:kern w:val="0"/>
          <w14:ligatures w14:val="none"/>
        </w:rPr>
      </w:pPr>
      <w:r>
        <w:rPr>
          <w:rFonts w:ascii="Book Antiqua" w:hAnsi="Book Antiqua" w:cs="Times New Roman"/>
          <w:kern w:val="0"/>
          <w14:ligatures w14:val="none"/>
        </w:rPr>
        <w:t xml:space="preserve">Requerir a Metropistas la devolución del dinero cobrado en exceso a los ciudadanos como resultado de la diferencia entre el costo anunciado y el facturado, si alguno. </w:t>
      </w:r>
    </w:p>
    <w:p w14:paraId="1A181B84" w14:textId="2B883BC4" w:rsidR="00F645CE" w:rsidRPr="00827912" w:rsidRDefault="00827912" w:rsidP="00827912">
      <w:pPr>
        <w:pStyle w:val="ListParagraph"/>
        <w:numPr>
          <w:ilvl w:val="0"/>
          <w:numId w:val="2"/>
        </w:numPr>
        <w:spacing w:after="0" w:line="480" w:lineRule="auto"/>
        <w:jc w:val="both"/>
        <w:divId w:val="1010257343"/>
        <w:rPr>
          <w:rFonts w:ascii="Book Antiqua" w:hAnsi="Book Antiqua" w:cs="Times New Roman"/>
          <w:kern w:val="0"/>
          <w14:ligatures w14:val="none"/>
        </w:rPr>
      </w:pPr>
      <w:r>
        <w:rPr>
          <w:rFonts w:ascii="Book Antiqua" w:hAnsi="Book Antiqua" w:cs="Times New Roman"/>
          <w:kern w:val="0"/>
          <w14:ligatures w14:val="none"/>
        </w:rPr>
        <w:lastRenderedPageBreak/>
        <w:t xml:space="preserve">Crear y divulgar los mecanismos </w:t>
      </w:r>
      <w:r w:rsidR="00F645CE" w:rsidRPr="00827912">
        <w:rPr>
          <w:rFonts w:ascii="Book Antiqua" w:hAnsi="Book Antiqua" w:cs="Times New Roman"/>
          <w:kern w:val="0"/>
          <w14:ligatures w14:val="none"/>
        </w:rPr>
        <w:t>disponibles para atender discrepancias o reclamaciones presentadas por los usuarios.</w:t>
      </w:r>
    </w:p>
    <w:p w14:paraId="3558D786" w14:textId="21E5B2C8" w:rsidR="00F645CE" w:rsidRPr="00F645CE" w:rsidRDefault="00F645CE" w:rsidP="00B335C4">
      <w:pPr>
        <w:spacing w:after="0" w:line="480" w:lineRule="auto"/>
        <w:ind w:firstLine="708"/>
        <w:jc w:val="both"/>
        <w:divId w:val="1010257343"/>
        <w:rPr>
          <w:rFonts w:ascii="Book Antiqua" w:hAnsi="Book Antiqua" w:cs="Times New Roman"/>
          <w:kern w:val="0"/>
          <w14:ligatures w14:val="none"/>
        </w:rPr>
      </w:pPr>
      <w:r w:rsidRPr="00F645CE">
        <w:rPr>
          <w:rFonts w:ascii="Book Antiqua" w:hAnsi="Book Antiqua" w:cs="Times New Roman"/>
          <w:kern w:val="0"/>
          <w14:ligatures w14:val="none"/>
        </w:rPr>
        <w:t xml:space="preserve">Sección 3. – </w:t>
      </w:r>
      <w:r w:rsidR="00827912">
        <w:rPr>
          <w:rFonts w:ascii="Book Antiqua" w:hAnsi="Book Antiqua" w:cs="Times New Roman"/>
          <w:kern w:val="0"/>
          <w14:ligatures w14:val="none"/>
        </w:rPr>
        <w:t>La Comisión</w:t>
      </w:r>
      <w:r w:rsidRPr="00F645CE">
        <w:rPr>
          <w:rFonts w:ascii="Book Antiqua" w:hAnsi="Book Antiqua" w:cs="Times New Roman"/>
          <w:kern w:val="0"/>
          <w14:ligatures w14:val="none"/>
        </w:rPr>
        <w:t xml:space="preserve"> deberá presentar a la Cámara de Representantes un informe con sus hallazgos, conclusiones y recomendaciones dentro de un término no mayor de ciento veinte (120) días contados a partir de la aprobación de esta Resolución.</w:t>
      </w:r>
    </w:p>
    <w:p w14:paraId="5232DC0B" w14:textId="2F951C8E" w:rsidR="00FA5385" w:rsidRPr="00827912" w:rsidRDefault="00F645CE" w:rsidP="00827912">
      <w:pPr>
        <w:spacing w:after="0" w:line="480" w:lineRule="auto"/>
        <w:ind w:firstLine="708"/>
        <w:jc w:val="both"/>
        <w:divId w:val="1010257343"/>
        <w:rPr>
          <w:rFonts w:ascii="Book Antiqua" w:hAnsi="Book Antiqua" w:cs="Times New Roman"/>
          <w:kern w:val="0"/>
          <w14:ligatures w14:val="none"/>
        </w:rPr>
      </w:pPr>
      <w:r w:rsidRPr="00F645CE">
        <w:rPr>
          <w:rFonts w:ascii="Book Antiqua" w:hAnsi="Book Antiqua" w:cs="Times New Roman"/>
          <w:kern w:val="0"/>
          <w14:ligatures w14:val="none"/>
        </w:rPr>
        <w:t>Sección 4. – Esta Resolución entrará en vigor inmediatamente después de su aprobación.</w:t>
      </w:r>
    </w:p>
    <w:sectPr w:rsidR="00FA5385" w:rsidRPr="00827912" w:rsidSect="00FA538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450C3" w14:textId="77777777" w:rsidR="00827912" w:rsidRDefault="00827912">
      <w:pPr>
        <w:spacing w:after="0" w:line="240" w:lineRule="auto"/>
      </w:pPr>
      <w:r>
        <w:separator/>
      </w:r>
    </w:p>
  </w:endnote>
  <w:endnote w:type="continuationSeparator" w:id="0">
    <w:p w14:paraId="79439FB0" w14:textId="77777777" w:rsidR="00827912" w:rsidRDefault="00827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491B" w14:textId="77777777" w:rsidR="00827912" w:rsidRDefault="008279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8B3A6" w14:textId="77777777" w:rsidR="00827912" w:rsidRDefault="008279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C9775" w14:textId="77777777" w:rsidR="00827912" w:rsidRDefault="00827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CB1B8" w14:textId="77777777" w:rsidR="00827912" w:rsidRDefault="00827912">
      <w:pPr>
        <w:spacing w:after="0" w:line="240" w:lineRule="auto"/>
      </w:pPr>
      <w:r>
        <w:separator/>
      </w:r>
    </w:p>
  </w:footnote>
  <w:footnote w:type="continuationSeparator" w:id="0">
    <w:p w14:paraId="74D15A60" w14:textId="77777777" w:rsidR="00827912" w:rsidRDefault="00827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C2B7" w14:textId="77777777" w:rsidR="00827912" w:rsidRDefault="008279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27B" w14:textId="77777777" w:rsidR="00827912" w:rsidRDefault="00827912">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6FB6" w14:textId="77777777" w:rsidR="00827912" w:rsidRDefault="00827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D269C"/>
    <w:multiLevelType w:val="hybridMultilevel"/>
    <w:tmpl w:val="BADE5E6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 w15:restartNumberingAfterBreak="0">
    <w:nsid w:val="5D1651DF"/>
    <w:multiLevelType w:val="hybridMultilevel"/>
    <w:tmpl w:val="2382AA7E"/>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66601520">
    <w:abstractNumId w:val="0"/>
  </w:num>
  <w:num w:numId="2" w16cid:durableId="1311250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385"/>
    <w:rsid w:val="00012DF0"/>
    <w:rsid w:val="00090A22"/>
    <w:rsid w:val="000B131E"/>
    <w:rsid w:val="0011237A"/>
    <w:rsid w:val="00135073"/>
    <w:rsid w:val="00150BEC"/>
    <w:rsid w:val="001D21C8"/>
    <w:rsid w:val="001E47E8"/>
    <w:rsid w:val="00251A3B"/>
    <w:rsid w:val="00383A12"/>
    <w:rsid w:val="003C6B61"/>
    <w:rsid w:val="003F4C9A"/>
    <w:rsid w:val="00535A0F"/>
    <w:rsid w:val="005C1953"/>
    <w:rsid w:val="005D32FD"/>
    <w:rsid w:val="006A2D93"/>
    <w:rsid w:val="00733EBF"/>
    <w:rsid w:val="007A581E"/>
    <w:rsid w:val="007D0571"/>
    <w:rsid w:val="00827912"/>
    <w:rsid w:val="0093444B"/>
    <w:rsid w:val="00982ABD"/>
    <w:rsid w:val="00A224CE"/>
    <w:rsid w:val="00A60CC1"/>
    <w:rsid w:val="00B335C4"/>
    <w:rsid w:val="00B72563"/>
    <w:rsid w:val="00BA2779"/>
    <w:rsid w:val="00C415F9"/>
    <w:rsid w:val="00DE2F14"/>
    <w:rsid w:val="00E014D8"/>
    <w:rsid w:val="00E33290"/>
    <w:rsid w:val="00E4031B"/>
    <w:rsid w:val="00E47266"/>
    <w:rsid w:val="00F4246D"/>
    <w:rsid w:val="00F47D5A"/>
    <w:rsid w:val="00F645CE"/>
    <w:rsid w:val="00FA5385"/>
    <w:rsid w:val="00FE1727"/>
    <w:rsid w:val="00FF176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EB75"/>
  <w15:chartTrackingRefBased/>
  <w15:docId w15:val="{B20CBCD6-840E-DE4B-A6D3-4DF85C8D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R"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3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3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3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3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3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3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3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3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3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3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385"/>
    <w:rPr>
      <w:rFonts w:eastAsiaTheme="majorEastAsia" w:cstheme="majorBidi"/>
      <w:color w:val="272727" w:themeColor="text1" w:themeTint="D8"/>
    </w:rPr>
  </w:style>
  <w:style w:type="paragraph" w:styleId="Title">
    <w:name w:val="Title"/>
    <w:basedOn w:val="Normal"/>
    <w:next w:val="Normal"/>
    <w:link w:val="TitleChar"/>
    <w:uiPriority w:val="10"/>
    <w:qFormat/>
    <w:rsid w:val="00FA5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385"/>
    <w:pPr>
      <w:spacing w:before="160"/>
      <w:jc w:val="center"/>
    </w:pPr>
    <w:rPr>
      <w:i/>
      <w:iCs/>
      <w:color w:val="404040" w:themeColor="text1" w:themeTint="BF"/>
    </w:rPr>
  </w:style>
  <w:style w:type="character" w:customStyle="1" w:styleId="QuoteChar">
    <w:name w:val="Quote Char"/>
    <w:basedOn w:val="DefaultParagraphFont"/>
    <w:link w:val="Quote"/>
    <w:uiPriority w:val="29"/>
    <w:rsid w:val="00FA5385"/>
    <w:rPr>
      <w:i/>
      <w:iCs/>
      <w:color w:val="404040" w:themeColor="text1" w:themeTint="BF"/>
    </w:rPr>
  </w:style>
  <w:style w:type="paragraph" w:styleId="ListParagraph">
    <w:name w:val="List Paragraph"/>
    <w:basedOn w:val="Normal"/>
    <w:uiPriority w:val="34"/>
    <w:qFormat/>
    <w:rsid w:val="00FA5385"/>
    <w:pPr>
      <w:ind w:left="720"/>
      <w:contextualSpacing/>
    </w:pPr>
  </w:style>
  <w:style w:type="character" w:styleId="IntenseEmphasis">
    <w:name w:val="Intense Emphasis"/>
    <w:basedOn w:val="DefaultParagraphFont"/>
    <w:uiPriority w:val="21"/>
    <w:qFormat/>
    <w:rsid w:val="00FA5385"/>
    <w:rPr>
      <w:i/>
      <w:iCs/>
      <w:color w:val="0F4761" w:themeColor="accent1" w:themeShade="BF"/>
    </w:rPr>
  </w:style>
  <w:style w:type="paragraph" w:styleId="IntenseQuote">
    <w:name w:val="Intense Quote"/>
    <w:basedOn w:val="Normal"/>
    <w:next w:val="Normal"/>
    <w:link w:val="IntenseQuoteChar"/>
    <w:uiPriority w:val="30"/>
    <w:qFormat/>
    <w:rsid w:val="00FA5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385"/>
    <w:rPr>
      <w:i/>
      <w:iCs/>
      <w:color w:val="0F4761" w:themeColor="accent1" w:themeShade="BF"/>
    </w:rPr>
  </w:style>
  <w:style w:type="character" w:styleId="IntenseReference">
    <w:name w:val="Intense Reference"/>
    <w:basedOn w:val="DefaultParagraphFont"/>
    <w:uiPriority w:val="32"/>
    <w:qFormat/>
    <w:rsid w:val="00FA5385"/>
    <w:rPr>
      <w:b/>
      <w:bCs/>
      <w:smallCaps/>
      <w:color w:val="0F4761" w:themeColor="accent1" w:themeShade="BF"/>
      <w:spacing w:val="5"/>
    </w:rPr>
  </w:style>
  <w:style w:type="paragraph" w:customStyle="1" w:styleId="Title2">
    <w:name w:val="Title2"/>
    <w:basedOn w:val="Normal"/>
    <w:next w:val="Normal"/>
    <w:rsid w:val="00FA5385"/>
    <w:pPr>
      <w:tabs>
        <w:tab w:val="left" w:pos="648"/>
        <w:tab w:val="right" w:pos="7776"/>
        <w:tab w:val="left" w:pos="7848"/>
      </w:tabs>
      <w:spacing w:after="0" w:line="240" w:lineRule="auto"/>
    </w:pPr>
    <w:rPr>
      <w:rFonts w:ascii="Times New Roman" w:eastAsia="Times New Roman" w:hAnsi="Times New Roman" w:cs="Times New Roman"/>
      <w:kern w:val="0"/>
      <w:szCs w:val="20"/>
      <w:lang w:val="en-US" w:eastAsia="en-US"/>
      <w14:ligatures w14:val="none"/>
    </w:rPr>
  </w:style>
  <w:style w:type="paragraph" w:styleId="Header">
    <w:name w:val="header"/>
    <w:basedOn w:val="Normal"/>
    <w:link w:val="HeaderChar"/>
    <w:rsid w:val="00FA5385"/>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HeaderChar">
    <w:name w:val="Header Char"/>
    <w:basedOn w:val="DefaultParagraphFont"/>
    <w:link w:val="Header"/>
    <w:rsid w:val="00FA5385"/>
    <w:rPr>
      <w:rFonts w:ascii="Times New Roman" w:eastAsia="Times New Roman" w:hAnsi="Times New Roman" w:cs="Times New Roman"/>
      <w:kern w:val="0"/>
      <w:szCs w:val="20"/>
      <w:lang w:val="en-US" w:eastAsia="en-US"/>
      <w14:ligatures w14:val="none"/>
    </w:rPr>
  </w:style>
  <w:style w:type="paragraph" w:styleId="Footer">
    <w:name w:val="footer"/>
    <w:basedOn w:val="Normal"/>
    <w:link w:val="FooterChar"/>
    <w:rsid w:val="00FA5385"/>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FooterChar">
    <w:name w:val="Footer Char"/>
    <w:basedOn w:val="DefaultParagraphFont"/>
    <w:link w:val="Footer"/>
    <w:rsid w:val="00FA5385"/>
    <w:rPr>
      <w:rFonts w:ascii="Times New Roman" w:eastAsia="Times New Roman" w:hAnsi="Times New Roman" w:cs="Times New Roman"/>
      <w:kern w:val="0"/>
      <w:szCs w:val="20"/>
      <w:lang w:val="en-US" w:eastAsia="en-US"/>
      <w14:ligatures w14:val="none"/>
    </w:rPr>
  </w:style>
  <w:style w:type="character" w:styleId="PageNumber">
    <w:name w:val="page number"/>
    <w:basedOn w:val="DefaultParagraphFont"/>
    <w:rsid w:val="00FA5385"/>
  </w:style>
  <w:style w:type="character" w:styleId="LineNumber">
    <w:name w:val="line number"/>
    <w:basedOn w:val="DefaultParagraphFont"/>
    <w:uiPriority w:val="99"/>
    <w:semiHidden/>
    <w:unhideWhenUsed/>
    <w:rsid w:val="00FA5385"/>
  </w:style>
  <w:style w:type="paragraph" w:customStyle="1" w:styleId="p1">
    <w:name w:val="p1"/>
    <w:basedOn w:val="Normal"/>
    <w:rsid w:val="00FA5385"/>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FA5385"/>
    <w:rPr>
      <w:rFonts w:ascii="UICTFontTextStyleBody" w:hAnsi="UICTFontTextStyleBody" w:hint="default"/>
      <w:b w:val="0"/>
      <w:bCs w:val="0"/>
      <w:i w:val="0"/>
      <w:iCs w:val="0"/>
      <w:sz w:val="26"/>
      <w:szCs w:val="26"/>
    </w:rPr>
  </w:style>
  <w:style w:type="paragraph" w:customStyle="1" w:styleId="p2">
    <w:name w:val="p2"/>
    <w:basedOn w:val="Normal"/>
    <w:rsid w:val="00F4246D"/>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F645CE"/>
    <w:rPr>
      <w:rFonts w:ascii="UICTFontTextStyleBody" w:hAnsi="UICTFontTextStyleBody" w:hint="default"/>
      <w:b w:val="0"/>
      <w:bCs w:val="0"/>
      <w:i w:val="0"/>
      <w:iCs w:val="0"/>
      <w:sz w:val="26"/>
      <w:szCs w:val="26"/>
    </w:rPr>
  </w:style>
  <w:style w:type="paragraph" w:styleId="FootnoteText">
    <w:name w:val="footnote text"/>
    <w:basedOn w:val="Normal"/>
    <w:link w:val="FootnoteTextChar"/>
    <w:uiPriority w:val="99"/>
    <w:semiHidden/>
    <w:unhideWhenUsed/>
    <w:rsid w:val="00E014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14D8"/>
    <w:rPr>
      <w:sz w:val="20"/>
      <w:szCs w:val="20"/>
    </w:rPr>
  </w:style>
  <w:style w:type="character" w:styleId="FootnoteReference">
    <w:name w:val="footnote reference"/>
    <w:basedOn w:val="DefaultParagraphFont"/>
    <w:uiPriority w:val="99"/>
    <w:semiHidden/>
    <w:unhideWhenUsed/>
    <w:rsid w:val="00E014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423578">
      <w:bodyDiv w:val="1"/>
      <w:marLeft w:val="0"/>
      <w:marRight w:val="0"/>
      <w:marTop w:val="0"/>
      <w:marBottom w:val="0"/>
      <w:divBdr>
        <w:top w:val="none" w:sz="0" w:space="0" w:color="auto"/>
        <w:left w:val="none" w:sz="0" w:space="0" w:color="auto"/>
        <w:bottom w:val="none" w:sz="0" w:space="0" w:color="auto"/>
        <w:right w:val="none" w:sz="0" w:space="0" w:color="auto"/>
      </w:divBdr>
    </w:div>
    <w:div w:id="1010257343">
      <w:bodyDiv w:val="1"/>
      <w:marLeft w:val="0"/>
      <w:marRight w:val="0"/>
      <w:marTop w:val="0"/>
      <w:marBottom w:val="0"/>
      <w:divBdr>
        <w:top w:val="none" w:sz="0" w:space="0" w:color="auto"/>
        <w:left w:val="none" w:sz="0" w:space="0" w:color="auto"/>
        <w:bottom w:val="none" w:sz="0" w:space="0" w:color="auto"/>
        <w:right w:val="none" w:sz="0" w:space="0" w:color="auto"/>
      </w:divBdr>
    </w:div>
    <w:div w:id="200914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545</Words>
  <Characters>3110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 COLON-MALDONADO</dc:creator>
  <cp:keywords/>
  <dc:description/>
  <cp:lastModifiedBy>Jan E. Febo Cabrera</cp:lastModifiedBy>
  <cp:revision>2</cp:revision>
  <cp:lastPrinted>2025-07-14T15:59:00Z</cp:lastPrinted>
  <dcterms:created xsi:type="dcterms:W3CDTF">2025-08-20T18:58:00Z</dcterms:created>
  <dcterms:modified xsi:type="dcterms:W3CDTF">2025-08-20T18:58:00Z</dcterms:modified>
</cp:coreProperties>
</file>