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0E7F54" w:rsidRDefault="00ED30AA" w:rsidP="00ED30AA">
      <w:pPr>
        <w:jc w:val="center"/>
        <w:rPr>
          <w:rFonts w:ascii="Book Antiqua" w:hAnsi="Book Antiqua"/>
          <w:sz w:val="28"/>
          <w:szCs w:val="28"/>
          <w:lang w:val="es-ES"/>
        </w:rPr>
      </w:pPr>
      <w:r w:rsidRPr="000E7F54">
        <w:rPr>
          <w:rFonts w:ascii="Book Antiqua" w:hAnsi="Book Antiqua"/>
          <w:b/>
          <w:sz w:val="28"/>
          <w:szCs w:val="28"/>
          <w:lang w:val="es-ES"/>
        </w:rPr>
        <w:t>GOBIERNO DE PUERTO RICO</w:t>
      </w:r>
    </w:p>
    <w:p w14:paraId="73AB2208" w14:textId="77777777" w:rsidR="00ED30AA" w:rsidRPr="000E7F5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0E7F54" w14:paraId="53F9BF01" w14:textId="77777777" w:rsidTr="00ED30AA">
        <w:tc>
          <w:tcPr>
            <w:tcW w:w="3139" w:type="dxa"/>
            <w:hideMark/>
          </w:tcPr>
          <w:p w14:paraId="0745955B" w14:textId="77777777" w:rsidR="00ED30AA" w:rsidRPr="000E7F54" w:rsidRDefault="00ED30AA" w:rsidP="00ED30AA">
            <w:pPr>
              <w:rPr>
                <w:rFonts w:ascii="Book Antiqua" w:hAnsi="Book Antiqua"/>
                <w:szCs w:val="24"/>
                <w:lang w:val="es-ES"/>
              </w:rPr>
            </w:pPr>
            <w:r w:rsidRPr="000E7F54">
              <w:rPr>
                <w:rFonts w:ascii="Book Antiqua" w:hAnsi="Book Antiqua"/>
                <w:szCs w:val="24"/>
                <w:lang w:val="es-ES"/>
              </w:rPr>
              <w:t>20</w:t>
            </w:r>
            <w:r w:rsidRPr="000E7F54">
              <w:rPr>
                <w:rFonts w:ascii="Book Antiqua" w:hAnsi="Book Antiqua"/>
                <w:szCs w:val="24"/>
                <w:vertAlign w:val="superscript"/>
                <w:lang w:val="es-ES"/>
              </w:rPr>
              <w:t>ma</w:t>
            </w:r>
            <w:r w:rsidRPr="000E7F54">
              <w:rPr>
                <w:rFonts w:ascii="Book Antiqua" w:hAnsi="Book Antiqua"/>
                <w:szCs w:val="24"/>
                <w:lang w:val="es-ES"/>
              </w:rPr>
              <w:t>Asamblea</w:t>
            </w:r>
          </w:p>
          <w:p w14:paraId="137F6EB2" w14:textId="4171334E" w:rsidR="00ED30AA" w:rsidRPr="000E7F54" w:rsidRDefault="00ED30AA" w:rsidP="00ED30AA">
            <w:pPr>
              <w:rPr>
                <w:rFonts w:ascii="Book Antiqua" w:hAnsi="Book Antiqua"/>
                <w:szCs w:val="24"/>
                <w:lang w:val="es-ES"/>
              </w:rPr>
            </w:pPr>
            <w:r w:rsidRPr="000E7F54">
              <w:rPr>
                <w:rFonts w:ascii="Book Antiqua" w:hAnsi="Book Antiqua"/>
                <w:szCs w:val="24"/>
                <w:lang w:val="es-ES"/>
              </w:rPr>
              <w:t xml:space="preserve">        Legislativa</w:t>
            </w:r>
          </w:p>
        </w:tc>
        <w:tc>
          <w:tcPr>
            <w:tcW w:w="3095" w:type="dxa"/>
          </w:tcPr>
          <w:p w14:paraId="1AC663B4" w14:textId="77777777" w:rsidR="00ED30AA" w:rsidRPr="000E7F54" w:rsidRDefault="00ED30AA" w:rsidP="00ED30AA">
            <w:pPr>
              <w:jc w:val="center"/>
              <w:rPr>
                <w:rFonts w:ascii="Book Antiqua" w:hAnsi="Book Antiqua"/>
                <w:szCs w:val="24"/>
                <w:lang w:val="es-ES"/>
              </w:rPr>
            </w:pPr>
          </w:p>
        </w:tc>
        <w:tc>
          <w:tcPr>
            <w:tcW w:w="3126" w:type="dxa"/>
            <w:hideMark/>
          </w:tcPr>
          <w:p w14:paraId="47EBBD58" w14:textId="1BD71AE8"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w:t>
            </w:r>
            <w:r w:rsidR="00A66CF3">
              <w:rPr>
                <w:rFonts w:ascii="Book Antiqua" w:hAnsi="Book Antiqua"/>
                <w:szCs w:val="24"/>
                <w:lang w:val="es-ES"/>
              </w:rPr>
              <w:t>3</w:t>
            </w:r>
            <w:r w:rsidR="00A66CF3" w:rsidRPr="00A66CF3">
              <w:rPr>
                <w:rFonts w:ascii="Book Antiqua" w:hAnsi="Book Antiqua"/>
                <w:szCs w:val="24"/>
                <w:vertAlign w:val="superscript"/>
                <w:lang w:val="es-ES"/>
              </w:rPr>
              <w:t>ra</w:t>
            </w:r>
            <w:r w:rsidRPr="000E7F54">
              <w:rPr>
                <w:rFonts w:ascii="Book Antiqua" w:hAnsi="Book Antiqua"/>
                <w:szCs w:val="24"/>
                <w:lang w:val="es-ES"/>
              </w:rPr>
              <w:t xml:space="preserve"> Sesión </w:t>
            </w:r>
          </w:p>
          <w:p w14:paraId="39CBA15A" w14:textId="076179CC"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Ordinaria</w:t>
            </w:r>
          </w:p>
        </w:tc>
      </w:tr>
    </w:tbl>
    <w:p w14:paraId="2F017266" w14:textId="77777777" w:rsidR="00ED30AA" w:rsidRPr="000E7F54" w:rsidRDefault="00ED30AA" w:rsidP="00ED30AA">
      <w:pPr>
        <w:jc w:val="center"/>
        <w:rPr>
          <w:rFonts w:ascii="Book Antiqua" w:hAnsi="Book Antiqua"/>
          <w:b/>
          <w:bCs/>
          <w:sz w:val="36"/>
          <w:szCs w:val="36"/>
          <w:lang w:val="es-ES"/>
        </w:rPr>
      </w:pPr>
      <w:r w:rsidRPr="000E7F54">
        <w:rPr>
          <w:rFonts w:ascii="Book Antiqua" w:hAnsi="Book Antiqua"/>
          <w:b/>
          <w:bCs/>
          <w:sz w:val="36"/>
          <w:szCs w:val="36"/>
          <w:lang w:val="es-ES"/>
        </w:rPr>
        <w:t>CÁMARA DE REPRESENTANTES</w:t>
      </w:r>
    </w:p>
    <w:p w14:paraId="658E8DB7" w14:textId="77777777" w:rsidR="00ED30AA" w:rsidRPr="000E7F54" w:rsidRDefault="00ED30AA" w:rsidP="00ED30AA">
      <w:pPr>
        <w:jc w:val="center"/>
        <w:rPr>
          <w:rFonts w:ascii="Book Antiqua" w:hAnsi="Book Antiqua"/>
          <w:sz w:val="28"/>
          <w:szCs w:val="28"/>
          <w:lang w:val="es-ES"/>
        </w:rPr>
      </w:pPr>
    </w:p>
    <w:p w14:paraId="28DF9D71" w14:textId="24374E15" w:rsidR="00ED30AA" w:rsidRPr="000E7F54" w:rsidRDefault="00ED30AA" w:rsidP="00ED30AA">
      <w:pPr>
        <w:jc w:val="center"/>
        <w:rPr>
          <w:rFonts w:ascii="Book Antiqua" w:hAnsi="Book Antiqua"/>
          <w:b/>
          <w:sz w:val="52"/>
          <w:szCs w:val="52"/>
          <w:lang w:val="es-ES"/>
        </w:rPr>
      </w:pPr>
      <w:r w:rsidRPr="000E7F54">
        <w:rPr>
          <w:rFonts w:ascii="Book Antiqua" w:hAnsi="Book Antiqua"/>
          <w:b/>
          <w:sz w:val="52"/>
          <w:szCs w:val="52"/>
          <w:lang w:val="es-ES"/>
        </w:rPr>
        <w:t>P. de</w:t>
      </w:r>
      <w:r w:rsidR="00AA6704" w:rsidRPr="000E7F54">
        <w:rPr>
          <w:rFonts w:ascii="Book Antiqua" w:hAnsi="Book Antiqua"/>
          <w:b/>
          <w:sz w:val="52"/>
          <w:szCs w:val="52"/>
          <w:lang w:val="es-ES"/>
        </w:rPr>
        <w:t xml:space="preserve"> </w:t>
      </w:r>
      <w:r w:rsidRPr="000E7F54">
        <w:rPr>
          <w:rFonts w:ascii="Book Antiqua" w:hAnsi="Book Antiqua"/>
          <w:b/>
          <w:sz w:val="52"/>
          <w:szCs w:val="52"/>
          <w:lang w:val="es-ES"/>
        </w:rPr>
        <w:t>l</w:t>
      </w:r>
      <w:r w:rsidR="00AA6704" w:rsidRPr="000E7F54">
        <w:rPr>
          <w:rFonts w:ascii="Book Antiqua" w:hAnsi="Book Antiqua"/>
          <w:b/>
          <w:sz w:val="52"/>
          <w:szCs w:val="52"/>
          <w:lang w:val="es-ES"/>
        </w:rPr>
        <w:t>a</w:t>
      </w:r>
      <w:r w:rsidRPr="000E7F54">
        <w:rPr>
          <w:rFonts w:ascii="Book Antiqua" w:hAnsi="Book Antiqua"/>
          <w:b/>
          <w:sz w:val="52"/>
          <w:szCs w:val="52"/>
          <w:lang w:val="es-ES"/>
        </w:rPr>
        <w:t xml:space="preserve"> </w:t>
      </w:r>
      <w:r w:rsidR="00AA6704" w:rsidRPr="000E7F54">
        <w:rPr>
          <w:rFonts w:ascii="Book Antiqua" w:hAnsi="Book Antiqua"/>
          <w:b/>
          <w:sz w:val="52"/>
          <w:szCs w:val="52"/>
          <w:lang w:val="es-ES"/>
        </w:rPr>
        <w:t>C</w:t>
      </w:r>
      <w:r w:rsidRPr="000E7F54">
        <w:rPr>
          <w:rFonts w:ascii="Book Antiqua" w:hAnsi="Book Antiqua"/>
          <w:b/>
          <w:sz w:val="52"/>
          <w:szCs w:val="52"/>
          <w:lang w:val="es-ES"/>
        </w:rPr>
        <w:t xml:space="preserve">. </w:t>
      </w:r>
      <w:r w:rsidR="00257C58">
        <w:rPr>
          <w:rFonts w:ascii="Book Antiqua" w:hAnsi="Book Antiqua"/>
          <w:b/>
          <w:sz w:val="52"/>
          <w:szCs w:val="52"/>
          <w:lang w:val="es-ES"/>
        </w:rPr>
        <w:t>844</w:t>
      </w:r>
    </w:p>
    <w:p w14:paraId="35CFB7DE" w14:textId="77777777" w:rsidR="00ED30AA" w:rsidRPr="000E7F54" w:rsidRDefault="00ED30AA" w:rsidP="00ED30AA">
      <w:pPr>
        <w:jc w:val="center"/>
        <w:rPr>
          <w:rFonts w:ascii="Book Antiqua" w:hAnsi="Book Antiqua"/>
          <w:sz w:val="28"/>
          <w:szCs w:val="28"/>
          <w:lang w:val="es-ES"/>
        </w:rPr>
      </w:pPr>
    </w:p>
    <w:p w14:paraId="25A7CA79" w14:textId="094147B6" w:rsidR="00ED30AA" w:rsidRPr="000E7F54" w:rsidRDefault="00ED30AA" w:rsidP="00ED30AA">
      <w:pPr>
        <w:jc w:val="center"/>
        <w:rPr>
          <w:rFonts w:ascii="Book Antiqua" w:hAnsi="Book Antiqua"/>
          <w:sz w:val="28"/>
          <w:szCs w:val="28"/>
          <w:lang w:val="es-ES"/>
        </w:rPr>
      </w:pPr>
      <w:r w:rsidRPr="000E7F54">
        <w:rPr>
          <w:rFonts w:ascii="Book Antiqua" w:hAnsi="Book Antiqua"/>
          <w:sz w:val="28"/>
          <w:szCs w:val="28"/>
          <w:lang w:val="es-ES"/>
        </w:rPr>
        <w:t xml:space="preserve">INFORME </w:t>
      </w:r>
      <w:r w:rsidR="00257C58">
        <w:rPr>
          <w:rFonts w:ascii="Book Antiqua" w:hAnsi="Book Antiqua"/>
          <w:sz w:val="28"/>
          <w:szCs w:val="28"/>
          <w:lang w:val="es-ES"/>
        </w:rPr>
        <w:t>POSITIVO</w:t>
      </w:r>
    </w:p>
    <w:p w14:paraId="310F564E" w14:textId="77777777" w:rsidR="00ED30AA" w:rsidRPr="000E7F54" w:rsidRDefault="00ED30AA" w:rsidP="00ED30AA">
      <w:pPr>
        <w:jc w:val="center"/>
        <w:rPr>
          <w:rFonts w:ascii="Book Antiqua" w:hAnsi="Book Antiqua"/>
          <w:bCs/>
          <w:sz w:val="28"/>
          <w:szCs w:val="28"/>
          <w:lang w:val="es-ES"/>
        </w:rPr>
      </w:pPr>
    </w:p>
    <w:p w14:paraId="346EB9B7" w14:textId="7826EB26" w:rsidR="00ED30AA" w:rsidRPr="000E7F54" w:rsidRDefault="00B30D95" w:rsidP="00ED30AA">
      <w:pPr>
        <w:jc w:val="center"/>
        <w:rPr>
          <w:rFonts w:ascii="Book Antiqua" w:hAnsi="Book Antiqua"/>
          <w:szCs w:val="24"/>
          <w:lang w:val="es-ES"/>
        </w:rPr>
      </w:pPr>
      <w:r>
        <w:rPr>
          <w:rFonts w:ascii="Book Antiqua" w:hAnsi="Book Antiqua"/>
          <w:bCs/>
          <w:szCs w:val="24"/>
          <w:lang w:val="es-ES"/>
        </w:rPr>
        <w:t>18</w:t>
      </w:r>
      <w:r w:rsidR="00277C23">
        <w:rPr>
          <w:rFonts w:ascii="Book Antiqua" w:hAnsi="Book Antiqua"/>
          <w:bCs/>
          <w:szCs w:val="24"/>
          <w:lang w:val="es-ES"/>
        </w:rPr>
        <w:t xml:space="preserve"> DE</w:t>
      </w:r>
      <w:r w:rsidR="00EC6B00">
        <w:rPr>
          <w:rFonts w:ascii="Book Antiqua" w:hAnsi="Book Antiqua"/>
          <w:bCs/>
          <w:szCs w:val="24"/>
          <w:lang w:val="es-ES"/>
        </w:rPr>
        <w:t xml:space="preserve"> JUNIO</w:t>
      </w:r>
      <w:r w:rsidR="00A66CF3">
        <w:rPr>
          <w:rFonts w:ascii="Book Antiqua" w:hAnsi="Book Antiqua"/>
          <w:bCs/>
          <w:szCs w:val="24"/>
          <w:lang w:val="es-ES"/>
        </w:rPr>
        <w:t xml:space="preserve"> DE 2026</w:t>
      </w:r>
    </w:p>
    <w:p w14:paraId="62161C4E" w14:textId="77777777" w:rsidR="00ED30AA" w:rsidRPr="000E7F54" w:rsidRDefault="00ED30AA" w:rsidP="00AA6704">
      <w:pPr>
        <w:rPr>
          <w:rFonts w:ascii="Book Antiqua" w:hAnsi="Book Antiqua"/>
          <w:sz w:val="28"/>
          <w:szCs w:val="28"/>
          <w:lang w:val="es-ES"/>
        </w:rPr>
      </w:pPr>
    </w:p>
    <w:p w14:paraId="0548D559" w14:textId="77777777" w:rsidR="00ED30AA" w:rsidRPr="009C3FBC" w:rsidRDefault="00ED30AA" w:rsidP="00ED30AA">
      <w:pPr>
        <w:rPr>
          <w:rFonts w:ascii="Book Antiqua" w:hAnsi="Book Antiqua"/>
          <w:b/>
          <w:bCs/>
          <w:szCs w:val="24"/>
          <w:lang w:val="es-ES"/>
        </w:rPr>
      </w:pPr>
      <w:r w:rsidRPr="009C3FBC">
        <w:rPr>
          <w:rFonts w:ascii="Book Antiqua" w:hAnsi="Book Antiqua"/>
          <w:b/>
          <w:bCs/>
          <w:szCs w:val="24"/>
          <w:lang w:val="es-ES"/>
        </w:rPr>
        <w:t>A LA CÁMARA DE REPRESENTANTES DE PUERTO RICO:</w:t>
      </w:r>
    </w:p>
    <w:p w14:paraId="562D7838" w14:textId="77777777" w:rsidR="00ED30AA" w:rsidRPr="009C3FBC" w:rsidRDefault="00ED30AA" w:rsidP="00ED30AA">
      <w:pPr>
        <w:jc w:val="center"/>
        <w:rPr>
          <w:rFonts w:ascii="Book Antiqua" w:hAnsi="Book Antiqua"/>
          <w:b/>
          <w:bCs/>
          <w:szCs w:val="24"/>
          <w:lang w:val="es-ES"/>
        </w:rPr>
      </w:pPr>
    </w:p>
    <w:p w14:paraId="42DAFBE7" w14:textId="6FE6A6DA" w:rsidR="0086325E" w:rsidRDefault="00ED30AA" w:rsidP="00ED3F35">
      <w:pPr>
        <w:ind w:firstLine="720"/>
        <w:jc w:val="both"/>
        <w:rPr>
          <w:rFonts w:ascii="Book Antiqua" w:hAnsi="Book Antiqua"/>
          <w:szCs w:val="24"/>
          <w:lang w:val="es-ES"/>
        </w:rPr>
      </w:pPr>
      <w:r w:rsidRPr="009C3FBC">
        <w:rPr>
          <w:rFonts w:ascii="Book Antiqua" w:hAnsi="Book Antiqua"/>
          <w:szCs w:val="24"/>
          <w:lang w:val="es-ES"/>
        </w:rPr>
        <w:t>La Comisión de</w:t>
      </w:r>
      <w:r w:rsidR="007D44E4">
        <w:rPr>
          <w:rFonts w:ascii="Book Antiqua" w:hAnsi="Book Antiqua"/>
          <w:szCs w:val="24"/>
          <w:lang w:val="es-ES"/>
        </w:rPr>
        <w:t>l</w:t>
      </w:r>
      <w:r w:rsidRPr="009C3FBC">
        <w:rPr>
          <w:rFonts w:ascii="Book Antiqua" w:hAnsi="Book Antiqua"/>
          <w:szCs w:val="24"/>
          <w:lang w:val="es-ES"/>
        </w:rPr>
        <w:t xml:space="preserve"> </w:t>
      </w:r>
      <w:r w:rsidR="007D44E4">
        <w:rPr>
          <w:rFonts w:ascii="Book Antiqua" w:hAnsi="Book Antiqua"/>
          <w:szCs w:val="24"/>
          <w:lang w:val="es-ES"/>
        </w:rPr>
        <w:t>Trabajo y Asuntos Laborales</w:t>
      </w:r>
      <w:r w:rsidRPr="009C3FBC">
        <w:rPr>
          <w:rFonts w:ascii="Book Antiqua" w:hAnsi="Book Antiqua"/>
          <w:szCs w:val="24"/>
          <w:lang w:val="es-ES"/>
        </w:rPr>
        <w:t xml:space="preserve"> de la Cámara de Representantes de Puerto Rico, </w:t>
      </w:r>
      <w:r w:rsidR="0086325E" w:rsidRPr="0086325E">
        <w:rPr>
          <w:rFonts w:ascii="Book Antiqua" w:hAnsi="Book Antiqua"/>
          <w:szCs w:val="24"/>
          <w:lang w:val="es-ES"/>
        </w:rPr>
        <w:t xml:space="preserve">luego de evaluar el </w:t>
      </w:r>
      <w:r w:rsidR="0086325E" w:rsidRPr="0086325E">
        <w:rPr>
          <w:rFonts w:ascii="Book Antiqua" w:hAnsi="Book Antiqua"/>
          <w:b/>
          <w:bCs/>
          <w:szCs w:val="24"/>
          <w:lang w:val="es-ES"/>
        </w:rPr>
        <w:t xml:space="preserve">P. de la C. </w:t>
      </w:r>
      <w:r w:rsidR="00257C58">
        <w:rPr>
          <w:rFonts w:ascii="Book Antiqua" w:hAnsi="Book Antiqua"/>
          <w:b/>
          <w:bCs/>
          <w:szCs w:val="24"/>
          <w:lang w:val="es-ES"/>
        </w:rPr>
        <w:t>844</w:t>
      </w:r>
      <w:r w:rsidR="0086325E" w:rsidRPr="0086325E">
        <w:rPr>
          <w:rFonts w:ascii="Book Antiqua" w:hAnsi="Book Antiqua"/>
          <w:szCs w:val="24"/>
          <w:lang w:val="es-ES"/>
        </w:rPr>
        <w:t>, así como los memoriales y</w:t>
      </w:r>
      <w:r w:rsidR="00ED3F35">
        <w:rPr>
          <w:rFonts w:ascii="Book Antiqua" w:hAnsi="Book Antiqua"/>
          <w:szCs w:val="24"/>
          <w:lang w:val="es-ES"/>
        </w:rPr>
        <w:t>/o</w:t>
      </w:r>
      <w:r w:rsidR="0086325E" w:rsidRPr="0086325E">
        <w:rPr>
          <w:rFonts w:ascii="Book Antiqua" w:hAnsi="Book Antiqua"/>
          <w:szCs w:val="24"/>
          <w:lang w:val="es-ES"/>
        </w:rPr>
        <w:t xml:space="preserve"> ponencias recibidas, comparece respetuosamente para rendir este </w:t>
      </w:r>
      <w:r w:rsidR="00257C58">
        <w:rPr>
          <w:rFonts w:ascii="Book Antiqua" w:hAnsi="Book Antiqua"/>
          <w:szCs w:val="24"/>
          <w:lang w:val="es-ES"/>
        </w:rPr>
        <w:t>Informe Positivo</w:t>
      </w:r>
      <w:r w:rsidR="0086325E" w:rsidRPr="0086325E">
        <w:rPr>
          <w:rFonts w:ascii="Book Antiqua" w:hAnsi="Book Antiqua"/>
          <w:szCs w:val="24"/>
          <w:lang w:val="es-ES"/>
        </w:rPr>
        <w:t xml:space="preserve">, </w:t>
      </w:r>
      <w:r w:rsidR="00257C58">
        <w:rPr>
          <w:rFonts w:ascii="Book Antiqua" w:hAnsi="Book Antiqua"/>
          <w:szCs w:val="24"/>
          <w:lang w:val="es-ES"/>
        </w:rPr>
        <w:t>recomendado que la medida sea aprobada</w:t>
      </w:r>
      <w:r w:rsidR="00EE0CD8">
        <w:rPr>
          <w:rFonts w:ascii="Book Antiqua" w:hAnsi="Book Antiqua"/>
          <w:szCs w:val="24"/>
          <w:lang w:val="es-ES"/>
        </w:rPr>
        <w:t xml:space="preserve"> </w:t>
      </w:r>
      <w:r w:rsidR="00EE0CD8">
        <w:rPr>
          <w:rFonts w:ascii="Book Antiqua" w:hAnsi="Book Antiqua"/>
          <w:b/>
          <w:bCs/>
          <w:szCs w:val="24"/>
          <w:lang w:val="es-ES"/>
        </w:rPr>
        <w:t>SIN ENMIENDAS.</w:t>
      </w:r>
    </w:p>
    <w:p w14:paraId="306ECD5D" w14:textId="77777777" w:rsidR="00ED3F35" w:rsidRPr="00ED3F35" w:rsidRDefault="00ED3F35" w:rsidP="00ED3F35">
      <w:pPr>
        <w:ind w:firstLine="720"/>
        <w:jc w:val="both"/>
        <w:rPr>
          <w:rFonts w:ascii="Book Antiqua" w:hAnsi="Book Antiqua"/>
          <w:szCs w:val="24"/>
          <w:lang w:val="es-ES"/>
        </w:rPr>
      </w:pPr>
    </w:p>
    <w:p w14:paraId="0B7B1DF1" w14:textId="4EC3B6A9" w:rsidR="00ED30AA" w:rsidRPr="009C3FBC" w:rsidRDefault="00ED30AA" w:rsidP="00ED30AA">
      <w:pPr>
        <w:jc w:val="center"/>
        <w:rPr>
          <w:rFonts w:ascii="Book Antiqua" w:hAnsi="Book Antiqua"/>
          <w:b/>
          <w:bCs/>
          <w:szCs w:val="24"/>
          <w:lang w:val="es-ES"/>
        </w:rPr>
      </w:pPr>
      <w:r w:rsidRPr="009C3FBC">
        <w:rPr>
          <w:rFonts w:ascii="Book Antiqua" w:hAnsi="Book Antiqua"/>
          <w:b/>
          <w:bCs/>
          <w:szCs w:val="24"/>
          <w:lang w:val="es-ES"/>
        </w:rPr>
        <w:t>ALCANCE DE LA MEDIDA</w:t>
      </w:r>
    </w:p>
    <w:p w14:paraId="0D3861BF" w14:textId="77777777" w:rsidR="00ED30AA" w:rsidRPr="009C3FBC" w:rsidRDefault="00ED30AA" w:rsidP="00ED30AA">
      <w:pPr>
        <w:jc w:val="center"/>
        <w:rPr>
          <w:rFonts w:ascii="Book Antiqua" w:hAnsi="Book Antiqua"/>
          <w:szCs w:val="24"/>
          <w:lang w:val="es-ES"/>
        </w:rPr>
      </w:pPr>
    </w:p>
    <w:p w14:paraId="3FF83D0F" w14:textId="4433FB6E" w:rsidR="008D4ABA" w:rsidRPr="00257C58" w:rsidRDefault="008617E2" w:rsidP="00257C58">
      <w:pPr>
        <w:tabs>
          <w:tab w:val="left" w:pos="360"/>
        </w:tabs>
        <w:ind w:left="720" w:hanging="720"/>
        <w:jc w:val="both"/>
        <w:rPr>
          <w:rFonts w:ascii="Book Antiqua" w:hAnsi="Book Antiqua"/>
          <w:lang w:val="es-ES"/>
        </w:rPr>
      </w:pPr>
      <w:r>
        <w:rPr>
          <w:rFonts w:ascii="Book Antiqua" w:hAnsi="Book Antiqua"/>
          <w:bCs/>
          <w:szCs w:val="24"/>
          <w:lang w:val="es-ES"/>
        </w:rPr>
        <w:t>“</w:t>
      </w:r>
      <w:r w:rsidR="00257C58" w:rsidRPr="00257C58">
        <w:rPr>
          <w:rFonts w:ascii="Book Antiqua" w:hAnsi="Book Antiqua"/>
          <w:lang w:val="es-ES"/>
        </w:rPr>
        <w:t>Para</w:t>
      </w:r>
      <w:r w:rsidR="00257C58" w:rsidRPr="00257C58">
        <w:rPr>
          <w:lang w:val="es-ES"/>
        </w:rPr>
        <w:t xml:space="preserve"> </w:t>
      </w:r>
      <w:r w:rsidR="00257C58" w:rsidRPr="00257C58">
        <w:rPr>
          <w:rFonts w:ascii="Book Antiqua" w:hAnsi="Book Antiqua"/>
          <w:lang w:val="es-ES"/>
        </w:rPr>
        <w:t>enmendar el Artículo 1 de la Ley 154-2000, según enmendada, conocida como “Ley para conceder una licencia a los empleados públicos para donar sangre”; enmendar el inciso 7-d del Artículo 2.04 de la Ley 26-2017, según enmendada, conocida como “Ley de Cumplimiento con el Plan Fiscal”; y enmendar la Sección 9.1(6)(b)(6) de la Ley 8-2017, según enmendada, conocida como la “Ley para la Administración y Transformación de los Recursos Humanos en el Gobierno de Puerto Rico”; a los fines de aumentar a ocho (8) horas al año la licencia con paga por el tiempo incurrido en la donación de sangre o en la inscripción como donante de médula ósea; y para otros fines relacionados</w:t>
      </w:r>
      <w:r w:rsidRPr="008617E2">
        <w:rPr>
          <w:rFonts w:ascii="Book Antiqua" w:hAnsi="Book Antiqua"/>
          <w:bCs/>
          <w:szCs w:val="24"/>
          <w:lang w:val="es-ES"/>
        </w:rPr>
        <w:t>.</w:t>
      </w:r>
      <w:r>
        <w:rPr>
          <w:rFonts w:ascii="Book Antiqua" w:hAnsi="Book Antiqua"/>
          <w:bCs/>
          <w:szCs w:val="24"/>
          <w:lang w:val="es-ES"/>
        </w:rPr>
        <w:t>”</w:t>
      </w:r>
    </w:p>
    <w:p w14:paraId="1A6B5788" w14:textId="77777777" w:rsidR="008617E2" w:rsidRPr="008617E2" w:rsidRDefault="008617E2" w:rsidP="008617E2">
      <w:pPr>
        <w:ind w:firstLine="720"/>
        <w:rPr>
          <w:rFonts w:ascii="Book Antiqua" w:hAnsi="Book Antiqua"/>
          <w:b/>
          <w:szCs w:val="24"/>
          <w:lang w:val="es-PR"/>
        </w:rPr>
      </w:pPr>
    </w:p>
    <w:p w14:paraId="294A170E" w14:textId="52591E9D"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ANÁLISIS DE LA MEDIDA</w:t>
      </w:r>
    </w:p>
    <w:p w14:paraId="1A632F82" w14:textId="77777777" w:rsidR="00ED30AA" w:rsidRPr="009C3FBC" w:rsidRDefault="00ED30AA" w:rsidP="00ED30AA">
      <w:pPr>
        <w:jc w:val="center"/>
        <w:rPr>
          <w:rFonts w:ascii="Book Antiqua" w:hAnsi="Book Antiqua"/>
          <w:b/>
          <w:bCs/>
          <w:szCs w:val="24"/>
          <w:lang w:val="es-ES"/>
        </w:rPr>
      </w:pPr>
    </w:p>
    <w:p w14:paraId="38DD6DC8" w14:textId="5B2BEA46" w:rsidR="001C0C85" w:rsidRDefault="001C0C85" w:rsidP="004A659C">
      <w:pPr>
        <w:ind w:firstLine="720"/>
        <w:jc w:val="both"/>
        <w:rPr>
          <w:rFonts w:ascii="Book Antiqua" w:hAnsi="Book Antiqua"/>
          <w:b/>
          <w:szCs w:val="24"/>
          <w:lang w:val="es-ES"/>
        </w:rPr>
      </w:pPr>
      <w:r w:rsidRPr="009C3FBC">
        <w:rPr>
          <w:rFonts w:ascii="Book Antiqua" w:hAnsi="Book Antiqua"/>
          <w:bCs/>
          <w:szCs w:val="24"/>
          <w:lang w:val="es-ES"/>
        </w:rPr>
        <w:t xml:space="preserve">La Comisión </w:t>
      </w:r>
      <w:r w:rsidR="007D44E4">
        <w:rPr>
          <w:rFonts w:ascii="Book Antiqua" w:hAnsi="Book Antiqua"/>
          <w:bCs/>
          <w:szCs w:val="24"/>
          <w:lang w:val="es-ES"/>
        </w:rPr>
        <w:t>del Trabajo y Asuntos Laborales</w:t>
      </w:r>
      <w:r w:rsidRPr="009C3FBC">
        <w:rPr>
          <w:rFonts w:ascii="Book Antiqua" w:hAnsi="Book Antiqua"/>
          <w:bCs/>
          <w:szCs w:val="24"/>
          <w:lang w:val="es-ES"/>
        </w:rPr>
        <w:t xml:space="preserve"> de la Cámara de Representantes de Puerto Rico, </w:t>
      </w:r>
      <w:r w:rsidR="008617E2">
        <w:rPr>
          <w:rFonts w:ascii="Book Antiqua" w:hAnsi="Book Antiqua"/>
          <w:bCs/>
          <w:szCs w:val="24"/>
          <w:lang w:val="es-ES"/>
        </w:rPr>
        <w:t>solicitó memorial explicativo al</w:t>
      </w:r>
      <w:r w:rsidR="00ED3F35">
        <w:rPr>
          <w:rFonts w:ascii="Book Antiqua" w:hAnsi="Book Antiqua"/>
          <w:bCs/>
          <w:szCs w:val="24"/>
          <w:lang w:val="es-ES"/>
        </w:rPr>
        <w:t xml:space="preserve"> </w:t>
      </w:r>
      <w:r w:rsidR="00257C58">
        <w:rPr>
          <w:rFonts w:ascii="Book Antiqua" w:hAnsi="Book Antiqua"/>
          <w:b/>
          <w:szCs w:val="24"/>
          <w:lang w:val="es-ES"/>
        </w:rPr>
        <w:t>Oficina de Administración y Transformación de los Recursos Humanos del Gobierno de Puerto Rico</w:t>
      </w:r>
      <w:r w:rsidR="00ED3F35">
        <w:rPr>
          <w:rFonts w:ascii="Book Antiqua" w:hAnsi="Book Antiqua"/>
          <w:b/>
          <w:szCs w:val="24"/>
          <w:lang w:val="es-ES"/>
        </w:rPr>
        <w:t xml:space="preserve"> (</w:t>
      </w:r>
      <w:r w:rsidR="00257C58">
        <w:rPr>
          <w:rFonts w:ascii="Book Antiqua" w:hAnsi="Book Antiqua"/>
          <w:b/>
          <w:szCs w:val="24"/>
          <w:lang w:val="es-ES"/>
        </w:rPr>
        <w:t>OATRH</w:t>
      </w:r>
      <w:r w:rsidR="00ED3F35">
        <w:rPr>
          <w:rFonts w:ascii="Book Antiqua" w:hAnsi="Book Antiqua"/>
          <w:b/>
          <w:szCs w:val="24"/>
          <w:lang w:val="es-ES"/>
        </w:rPr>
        <w:t>)</w:t>
      </w:r>
      <w:r w:rsidR="008617E2">
        <w:rPr>
          <w:rStyle w:val="FootnoteReference"/>
          <w:rFonts w:ascii="Book Antiqua" w:hAnsi="Book Antiqua"/>
          <w:b/>
          <w:szCs w:val="24"/>
          <w:lang w:val="es-ES"/>
        </w:rPr>
        <w:footnoteReference w:id="1"/>
      </w:r>
      <w:r w:rsidR="008617E2">
        <w:rPr>
          <w:rFonts w:ascii="Book Antiqua" w:hAnsi="Book Antiqua"/>
          <w:b/>
          <w:szCs w:val="24"/>
          <w:lang w:val="es-ES"/>
        </w:rPr>
        <w:t xml:space="preserve">, a </w:t>
      </w:r>
      <w:r w:rsidR="00257C58">
        <w:rPr>
          <w:rFonts w:ascii="Book Antiqua" w:hAnsi="Book Antiqua"/>
          <w:b/>
          <w:szCs w:val="24"/>
          <w:lang w:val="es-ES"/>
        </w:rPr>
        <w:lastRenderedPageBreak/>
        <w:t>Oficina de Gerencia y Presupuesto</w:t>
      </w:r>
      <w:r w:rsidR="008617E2">
        <w:rPr>
          <w:rFonts w:ascii="Book Antiqua" w:hAnsi="Book Antiqua"/>
          <w:b/>
          <w:szCs w:val="24"/>
          <w:lang w:val="es-ES"/>
        </w:rPr>
        <w:t xml:space="preserve"> (</w:t>
      </w:r>
      <w:r w:rsidR="00257C58">
        <w:rPr>
          <w:rFonts w:ascii="Book Antiqua" w:hAnsi="Book Antiqua"/>
          <w:b/>
          <w:szCs w:val="24"/>
          <w:lang w:val="es-ES"/>
        </w:rPr>
        <w:t>OGP</w:t>
      </w:r>
      <w:r w:rsidR="008617E2">
        <w:rPr>
          <w:rFonts w:ascii="Book Antiqua" w:hAnsi="Book Antiqua"/>
          <w:b/>
          <w:szCs w:val="24"/>
          <w:lang w:val="es-ES"/>
        </w:rPr>
        <w:t>)</w:t>
      </w:r>
      <w:r w:rsidR="008617E2">
        <w:rPr>
          <w:rStyle w:val="FootnoteReference"/>
          <w:rFonts w:ascii="Book Antiqua" w:hAnsi="Book Antiqua"/>
          <w:b/>
          <w:szCs w:val="24"/>
          <w:lang w:val="es-ES"/>
        </w:rPr>
        <w:footnoteReference w:id="2"/>
      </w:r>
      <w:r w:rsidR="008617E2">
        <w:rPr>
          <w:rFonts w:ascii="Book Antiqua" w:hAnsi="Book Antiqua"/>
          <w:b/>
          <w:szCs w:val="24"/>
          <w:lang w:val="es-ES"/>
        </w:rPr>
        <w:t xml:space="preserve">, </w:t>
      </w:r>
      <w:r w:rsidR="00257C58">
        <w:rPr>
          <w:rFonts w:ascii="Book Antiqua" w:hAnsi="Book Antiqua"/>
          <w:b/>
          <w:szCs w:val="24"/>
          <w:lang w:val="es-ES"/>
        </w:rPr>
        <w:t>al Departamento de Hacienda</w:t>
      </w:r>
      <w:r w:rsidR="008617E2">
        <w:rPr>
          <w:rFonts w:ascii="Book Antiqua" w:hAnsi="Book Antiqua"/>
          <w:b/>
          <w:szCs w:val="24"/>
          <w:lang w:val="es-ES"/>
        </w:rPr>
        <w:t xml:space="preserve"> (</w:t>
      </w:r>
      <w:r w:rsidR="00257C58">
        <w:rPr>
          <w:rFonts w:ascii="Book Antiqua" w:hAnsi="Book Antiqua"/>
          <w:b/>
          <w:szCs w:val="24"/>
          <w:lang w:val="es-ES"/>
        </w:rPr>
        <w:t>DH</w:t>
      </w:r>
      <w:r w:rsidR="008617E2">
        <w:rPr>
          <w:rFonts w:ascii="Book Antiqua" w:hAnsi="Book Antiqua"/>
          <w:b/>
          <w:szCs w:val="24"/>
          <w:lang w:val="es-ES"/>
        </w:rPr>
        <w:t>)</w:t>
      </w:r>
      <w:r w:rsidR="008617E2">
        <w:rPr>
          <w:rStyle w:val="FootnoteReference"/>
          <w:rFonts w:ascii="Book Antiqua" w:hAnsi="Book Antiqua"/>
          <w:b/>
          <w:szCs w:val="24"/>
          <w:lang w:val="es-ES"/>
        </w:rPr>
        <w:footnoteReference w:id="3"/>
      </w:r>
      <w:r w:rsidR="008617E2">
        <w:rPr>
          <w:rFonts w:ascii="Book Antiqua" w:hAnsi="Book Antiqua"/>
          <w:b/>
          <w:szCs w:val="24"/>
          <w:lang w:val="es-ES"/>
        </w:rPr>
        <w:t xml:space="preserve">, </w:t>
      </w:r>
      <w:r w:rsidR="00257C58">
        <w:rPr>
          <w:rFonts w:ascii="Book Antiqua" w:hAnsi="Book Antiqua"/>
          <w:b/>
          <w:szCs w:val="24"/>
          <w:lang w:val="es-ES"/>
        </w:rPr>
        <w:t xml:space="preserve">y a la </w:t>
      </w:r>
      <w:r w:rsidR="00257C58" w:rsidRPr="00257C58">
        <w:rPr>
          <w:rFonts w:ascii="Book Antiqua" w:hAnsi="Book Antiqua"/>
          <w:b/>
          <w:szCs w:val="24"/>
          <w:lang w:val="es-PR"/>
        </w:rPr>
        <w:t>Autoridad de Asesoría Financiera y Agencia Fiscal de Puerto Rico</w:t>
      </w:r>
      <w:r w:rsidR="008617E2">
        <w:rPr>
          <w:rFonts w:ascii="Book Antiqua" w:hAnsi="Book Antiqua"/>
          <w:b/>
          <w:szCs w:val="24"/>
          <w:lang w:val="es-ES"/>
        </w:rPr>
        <w:t xml:space="preserve"> (</w:t>
      </w:r>
      <w:r w:rsidR="00257C58">
        <w:rPr>
          <w:rFonts w:ascii="Book Antiqua" w:hAnsi="Book Antiqua"/>
          <w:b/>
          <w:szCs w:val="24"/>
          <w:lang w:val="es-ES"/>
        </w:rPr>
        <w:t>AAFAF)</w:t>
      </w:r>
      <w:r w:rsidR="00257C58">
        <w:rPr>
          <w:rStyle w:val="FootnoteReference"/>
          <w:rFonts w:ascii="Book Antiqua" w:hAnsi="Book Antiqua"/>
          <w:b/>
          <w:szCs w:val="24"/>
          <w:lang w:val="es-ES"/>
        </w:rPr>
        <w:footnoteReference w:id="4"/>
      </w:r>
      <w:r w:rsidR="00257C58">
        <w:rPr>
          <w:rFonts w:ascii="Book Antiqua" w:hAnsi="Book Antiqua"/>
          <w:b/>
          <w:szCs w:val="24"/>
          <w:lang w:val="es-ES"/>
        </w:rPr>
        <w:t>.</w:t>
      </w:r>
    </w:p>
    <w:p w14:paraId="7DBFB65B" w14:textId="77777777" w:rsidR="008617E2" w:rsidRPr="00ED3F35" w:rsidRDefault="008617E2" w:rsidP="004A659C">
      <w:pPr>
        <w:ind w:firstLine="720"/>
        <w:jc w:val="both"/>
        <w:rPr>
          <w:rFonts w:ascii="Book Antiqua" w:hAnsi="Book Antiqua"/>
          <w:b/>
          <w:szCs w:val="24"/>
          <w:lang w:val="es-ES"/>
        </w:rPr>
      </w:pPr>
    </w:p>
    <w:p w14:paraId="6085AC93" w14:textId="77777777" w:rsidR="00964006" w:rsidRDefault="00964006" w:rsidP="00ED3F35">
      <w:pPr>
        <w:rPr>
          <w:rFonts w:ascii="Book Antiqua" w:hAnsi="Book Antiqua"/>
          <w:b/>
          <w:szCs w:val="24"/>
          <w:u w:val="single"/>
          <w:lang w:val="es-ES"/>
        </w:rPr>
      </w:pPr>
    </w:p>
    <w:p w14:paraId="26626D7F" w14:textId="313FD7FF" w:rsidR="004A659C" w:rsidRDefault="00F0414D" w:rsidP="0062738E">
      <w:pPr>
        <w:jc w:val="center"/>
        <w:rPr>
          <w:rFonts w:ascii="Book Antiqua" w:hAnsi="Book Antiqua"/>
          <w:b/>
          <w:szCs w:val="24"/>
          <w:u w:val="single"/>
          <w:lang w:val="es-ES"/>
        </w:rPr>
      </w:pPr>
      <w:r w:rsidRPr="00F0414D">
        <w:rPr>
          <w:rFonts w:ascii="Book Antiqua" w:hAnsi="Book Antiqua"/>
          <w:b/>
          <w:szCs w:val="24"/>
          <w:u w:val="single"/>
          <w:lang w:val="es-ES"/>
        </w:rPr>
        <w:t>Oficina de Administración y Transformación de los Recursos Humanos</w:t>
      </w:r>
      <w:r>
        <w:rPr>
          <w:rFonts w:ascii="Book Antiqua" w:hAnsi="Book Antiqua"/>
          <w:b/>
          <w:szCs w:val="24"/>
          <w:u w:val="single"/>
          <w:lang w:val="es-ES"/>
        </w:rPr>
        <w:t xml:space="preserve"> (OATRH)</w:t>
      </w:r>
    </w:p>
    <w:p w14:paraId="37600A1A" w14:textId="598B4F1C" w:rsidR="008F281B" w:rsidRPr="009C3FBC" w:rsidRDefault="00883C0D" w:rsidP="00883C0D">
      <w:pPr>
        <w:ind w:firstLine="720"/>
        <w:jc w:val="center"/>
        <w:rPr>
          <w:rFonts w:ascii="Book Antiqua" w:hAnsi="Book Antiqua"/>
          <w:bCs/>
          <w:szCs w:val="24"/>
          <w:lang w:val="es-ES"/>
        </w:rPr>
      </w:pPr>
      <w:r w:rsidRPr="009C3FBC">
        <w:rPr>
          <w:rFonts w:ascii="Book Antiqua" w:hAnsi="Book Antiqua"/>
          <w:bCs/>
          <w:szCs w:val="24"/>
          <w:lang w:val="es-ES"/>
        </w:rPr>
        <w:t>(</w:t>
      </w:r>
      <w:r w:rsidR="0062738E">
        <w:rPr>
          <w:rFonts w:ascii="Book Antiqua" w:hAnsi="Book Antiqua"/>
          <w:bCs/>
          <w:szCs w:val="24"/>
          <w:lang w:val="es-ES"/>
        </w:rPr>
        <w:t>2</w:t>
      </w:r>
      <w:r w:rsidR="00F0414D">
        <w:rPr>
          <w:rFonts w:ascii="Book Antiqua" w:hAnsi="Book Antiqua"/>
          <w:bCs/>
          <w:szCs w:val="24"/>
          <w:lang w:val="es-ES"/>
        </w:rPr>
        <w:t xml:space="preserve">6 </w:t>
      </w:r>
      <w:r w:rsidR="004A659C">
        <w:rPr>
          <w:rFonts w:ascii="Book Antiqua" w:hAnsi="Book Antiqua"/>
          <w:bCs/>
          <w:szCs w:val="24"/>
          <w:lang w:val="es-ES"/>
        </w:rPr>
        <w:t xml:space="preserve">de </w:t>
      </w:r>
      <w:r w:rsidR="00F0414D">
        <w:rPr>
          <w:rFonts w:ascii="Book Antiqua" w:hAnsi="Book Antiqua"/>
          <w:bCs/>
          <w:szCs w:val="24"/>
          <w:lang w:val="es-ES"/>
        </w:rPr>
        <w:t>enero</w:t>
      </w:r>
      <w:r w:rsidR="00D63234" w:rsidRPr="009C3FBC">
        <w:rPr>
          <w:rFonts w:ascii="Book Antiqua" w:hAnsi="Book Antiqua"/>
          <w:bCs/>
          <w:szCs w:val="24"/>
          <w:lang w:val="es-ES"/>
        </w:rPr>
        <w:t xml:space="preserve"> de 202</w:t>
      </w:r>
      <w:r w:rsidR="004A659C">
        <w:rPr>
          <w:rFonts w:ascii="Book Antiqua" w:hAnsi="Book Antiqua"/>
          <w:bCs/>
          <w:szCs w:val="24"/>
          <w:lang w:val="es-ES"/>
        </w:rPr>
        <w:t>6</w:t>
      </w:r>
      <w:r w:rsidRPr="009C3FBC">
        <w:rPr>
          <w:rFonts w:ascii="Book Antiqua" w:hAnsi="Book Antiqua"/>
          <w:bCs/>
          <w:szCs w:val="24"/>
          <w:lang w:val="es-ES"/>
        </w:rPr>
        <w:t>)</w:t>
      </w:r>
    </w:p>
    <w:p w14:paraId="741C8AD6" w14:textId="77777777" w:rsidR="00883C0D" w:rsidRPr="009C3FBC" w:rsidRDefault="00883C0D" w:rsidP="004A659C">
      <w:pPr>
        <w:jc w:val="both"/>
        <w:rPr>
          <w:rFonts w:ascii="Book Antiqua" w:hAnsi="Book Antiqua"/>
          <w:b/>
          <w:szCs w:val="24"/>
          <w:lang w:val="es-ES"/>
        </w:rPr>
      </w:pPr>
    </w:p>
    <w:p w14:paraId="3B1CA485" w14:textId="0AEE97A5" w:rsidR="00F0414D" w:rsidRPr="00F0414D" w:rsidRDefault="00F0414D" w:rsidP="00F0414D">
      <w:pPr>
        <w:ind w:firstLine="720"/>
        <w:jc w:val="both"/>
        <w:rPr>
          <w:rFonts w:ascii="Book Antiqua" w:hAnsi="Book Antiqua"/>
          <w:bCs/>
          <w:szCs w:val="24"/>
          <w:lang w:val="es-ES"/>
        </w:rPr>
      </w:pPr>
      <w:r w:rsidRPr="00F0414D">
        <w:rPr>
          <w:rFonts w:ascii="Book Antiqua" w:hAnsi="Book Antiqua"/>
          <w:bCs/>
          <w:szCs w:val="24"/>
          <w:lang w:val="es-ES"/>
        </w:rPr>
        <w:t>La OATRH reconoce el interés legítimo y los méritos sociales que persigue la medida al intentar mitigar la escasez de sangre en la isla. No obstante, la oficina advierte que el aumento de horas con paga representa un impacto económico directo para el erario, ya que implica el desembolso de fondos públicos por tiempo no laborado que excede los beneficios actualmente permitidos bajo la Ley 26-2017. Al tratarse de una modificación que impacta los controles del Plan Fiscal Certificado, la OATRH sostiene que la viabilidad del proyecto no puede evaluarse únicamente desde la perspectiva de recursos humanos, sino que requiere un análisis financiero riguroso.</w:t>
      </w:r>
    </w:p>
    <w:p w14:paraId="4F9BD90E" w14:textId="77777777" w:rsidR="00F0414D" w:rsidRDefault="00F0414D" w:rsidP="00F0414D">
      <w:pPr>
        <w:ind w:firstLine="720"/>
        <w:jc w:val="both"/>
        <w:rPr>
          <w:rFonts w:ascii="Book Antiqua" w:hAnsi="Book Antiqua"/>
          <w:bCs/>
          <w:szCs w:val="24"/>
          <w:lang w:val="es-ES"/>
        </w:rPr>
      </w:pPr>
    </w:p>
    <w:p w14:paraId="356CBACB" w14:textId="09900B83" w:rsidR="00F0414D" w:rsidRDefault="00F0414D" w:rsidP="006F2572">
      <w:pPr>
        <w:ind w:firstLine="720"/>
        <w:jc w:val="both"/>
        <w:rPr>
          <w:rFonts w:ascii="Book Antiqua" w:hAnsi="Book Antiqua"/>
          <w:bCs/>
          <w:szCs w:val="24"/>
          <w:lang w:val="es-ES"/>
        </w:rPr>
      </w:pPr>
      <w:r w:rsidRPr="00F0414D">
        <w:rPr>
          <w:rFonts w:ascii="Book Antiqua" w:hAnsi="Book Antiqua"/>
          <w:bCs/>
          <w:szCs w:val="24"/>
          <w:lang w:val="es-ES"/>
        </w:rPr>
        <w:t>Por tales razones, la posición de la OATRH es de deferencia a las determinaciones que emitan la AAFAF y</w:t>
      </w:r>
      <w:r>
        <w:rPr>
          <w:rFonts w:ascii="Book Antiqua" w:hAnsi="Book Antiqua"/>
          <w:bCs/>
          <w:szCs w:val="24"/>
          <w:lang w:val="es-ES"/>
        </w:rPr>
        <w:t xml:space="preserve"> </w:t>
      </w:r>
      <w:r w:rsidRPr="00F0414D">
        <w:rPr>
          <w:rFonts w:ascii="Book Antiqua" w:hAnsi="Book Antiqua"/>
          <w:bCs/>
          <w:szCs w:val="24"/>
          <w:lang w:val="es-ES"/>
        </w:rPr>
        <w:t>OGP. La oficina concluye que es vital que estas entidades financieras certifiquen el impacto fiscal de la medida antes de su aprobación definitiva, asegurando que el loable fin de fomentar la donación de sangre sea compatible con las obligaciones de responsabilidad fiscal y estabilidad presupuestaria del Gobierno de Puerto Rico</w:t>
      </w:r>
    </w:p>
    <w:p w14:paraId="79A7D45A" w14:textId="72E77EE4" w:rsidR="001A6BF9" w:rsidRDefault="00257C58" w:rsidP="001A6BF9">
      <w:pPr>
        <w:ind w:firstLine="720"/>
        <w:jc w:val="center"/>
        <w:rPr>
          <w:rFonts w:ascii="Book Antiqua" w:hAnsi="Book Antiqua"/>
          <w:bCs/>
          <w:szCs w:val="24"/>
          <w:lang w:val="es-ES"/>
        </w:rPr>
      </w:pPr>
      <w:r>
        <w:rPr>
          <w:rFonts w:ascii="Book Antiqua" w:hAnsi="Book Antiqua"/>
          <w:b/>
          <w:szCs w:val="24"/>
          <w:u w:val="single"/>
          <w:lang w:val="es-ES"/>
        </w:rPr>
        <w:t>Oficina de Gerencia y Presupuesto</w:t>
      </w:r>
    </w:p>
    <w:p w14:paraId="1B14CC44" w14:textId="276105BB" w:rsidR="001A6BF9" w:rsidRDefault="001A6BF9" w:rsidP="001A6BF9">
      <w:pPr>
        <w:ind w:firstLine="720"/>
        <w:jc w:val="center"/>
        <w:rPr>
          <w:rFonts w:ascii="Book Antiqua" w:hAnsi="Book Antiqua"/>
          <w:bCs/>
          <w:szCs w:val="24"/>
          <w:lang w:val="es-ES"/>
        </w:rPr>
      </w:pPr>
      <w:r>
        <w:rPr>
          <w:rFonts w:ascii="Book Antiqua" w:hAnsi="Book Antiqua"/>
          <w:bCs/>
          <w:szCs w:val="24"/>
          <w:lang w:val="es-ES"/>
        </w:rPr>
        <w:t>(</w:t>
      </w:r>
      <w:r w:rsidR="00257C58">
        <w:rPr>
          <w:rFonts w:ascii="Book Antiqua" w:hAnsi="Book Antiqua"/>
          <w:bCs/>
          <w:szCs w:val="24"/>
          <w:lang w:val="es-ES"/>
        </w:rPr>
        <w:t>7 de abril</w:t>
      </w:r>
      <w:r>
        <w:rPr>
          <w:rFonts w:ascii="Book Antiqua" w:hAnsi="Book Antiqua"/>
          <w:bCs/>
          <w:szCs w:val="24"/>
          <w:lang w:val="es-ES"/>
        </w:rPr>
        <w:t xml:space="preserve"> de 2026)</w:t>
      </w:r>
    </w:p>
    <w:p w14:paraId="0B5048F3" w14:textId="77777777" w:rsidR="00ED3F35" w:rsidRDefault="00ED3F35" w:rsidP="00ED3F35">
      <w:pPr>
        <w:jc w:val="both"/>
        <w:rPr>
          <w:rFonts w:ascii="Book Antiqua" w:hAnsi="Book Antiqua"/>
          <w:bCs/>
          <w:szCs w:val="24"/>
          <w:lang w:val="es-ES"/>
        </w:rPr>
      </w:pPr>
    </w:p>
    <w:p w14:paraId="20E7E297" w14:textId="7EF28A73" w:rsidR="00257C58" w:rsidRDefault="00257C58" w:rsidP="00257C58">
      <w:pPr>
        <w:ind w:firstLine="720"/>
        <w:jc w:val="both"/>
        <w:rPr>
          <w:rFonts w:ascii="Book Antiqua" w:hAnsi="Book Antiqua"/>
          <w:bCs/>
          <w:szCs w:val="24"/>
          <w:lang w:val="es-ES"/>
        </w:rPr>
      </w:pPr>
      <w:r>
        <w:rPr>
          <w:rFonts w:ascii="Book Antiqua" w:hAnsi="Book Antiqua"/>
          <w:bCs/>
          <w:szCs w:val="24"/>
          <w:lang w:val="es-ES"/>
        </w:rPr>
        <w:t>En el memorial presentado por la OGP, se manifiesta que e</w:t>
      </w:r>
      <w:r w:rsidRPr="00257C58">
        <w:rPr>
          <w:rFonts w:ascii="Book Antiqua" w:hAnsi="Book Antiqua"/>
          <w:bCs/>
          <w:szCs w:val="24"/>
          <w:lang w:val="es-ES"/>
        </w:rPr>
        <w:t xml:space="preserve">l </w:t>
      </w:r>
      <w:r>
        <w:rPr>
          <w:rFonts w:ascii="Book Antiqua" w:hAnsi="Book Antiqua"/>
          <w:bCs/>
          <w:szCs w:val="24"/>
          <w:lang w:val="es-ES"/>
        </w:rPr>
        <w:t>P. de la C.</w:t>
      </w:r>
      <w:r w:rsidRPr="00257C58">
        <w:rPr>
          <w:rFonts w:ascii="Book Antiqua" w:hAnsi="Book Antiqua"/>
          <w:bCs/>
          <w:szCs w:val="24"/>
          <w:lang w:val="es-ES"/>
        </w:rPr>
        <w:t xml:space="preserve"> 844 tiene como objetivo principal fortalecer las reservas de sangre en Puerto Rico e incentivar la inscripción en el registro de médula ósea mediante la modificación de los beneficios marginales de los empleados públicos. La medida propone enmendar la Ley 154-2000, la Ley 26-2017 y la Ley 8-2017 para aumentar la licencia con paga de cuatro (4) a ocho (8) horas anuales. Esta iniciativa surge ante la necesidad crítica de aproximadamente 146,000 unidades de sangre al año en la isla, una cifra que actualmente no se alcanza debido a una disminución en los donantes regulares durante la última década.</w:t>
      </w:r>
    </w:p>
    <w:p w14:paraId="5766288B" w14:textId="77777777" w:rsidR="00257C58" w:rsidRPr="00257C58" w:rsidRDefault="00257C58" w:rsidP="00257C58">
      <w:pPr>
        <w:ind w:firstLine="720"/>
        <w:jc w:val="both"/>
        <w:rPr>
          <w:rFonts w:ascii="Book Antiqua" w:hAnsi="Book Antiqua"/>
          <w:bCs/>
          <w:szCs w:val="24"/>
          <w:lang w:val="es-ES"/>
        </w:rPr>
      </w:pPr>
    </w:p>
    <w:p w14:paraId="7AEC81A9" w14:textId="77777777" w:rsidR="00257C58" w:rsidRDefault="00257C58" w:rsidP="00257C58">
      <w:pPr>
        <w:ind w:firstLine="720"/>
        <w:jc w:val="both"/>
        <w:rPr>
          <w:rFonts w:ascii="Book Antiqua" w:hAnsi="Book Antiqua"/>
          <w:bCs/>
          <w:szCs w:val="24"/>
          <w:lang w:val="es-ES"/>
        </w:rPr>
      </w:pPr>
      <w:r w:rsidRPr="00257C58">
        <w:rPr>
          <w:rFonts w:ascii="Book Antiqua" w:hAnsi="Book Antiqua"/>
          <w:bCs/>
          <w:szCs w:val="24"/>
          <w:lang w:val="es-ES"/>
        </w:rPr>
        <w:t xml:space="preserve">Desde una perspectiva operacional, la medida no crea un programa nuevo, sino que optimiza el uso del tiempo laboral bajo parámetros verificables. Para salvaguardar la continuidad de los servicios esenciales del Gobierno, el proyecto establece controles estrictos: el disfrute de la licencia no podrá exceder las cuatro horas por día, prohibiendo </w:t>
      </w:r>
      <w:r w:rsidRPr="00257C58">
        <w:rPr>
          <w:rFonts w:ascii="Book Antiqua" w:hAnsi="Book Antiqua"/>
          <w:bCs/>
          <w:szCs w:val="24"/>
          <w:lang w:val="es-ES"/>
        </w:rPr>
        <w:lastRenderedPageBreak/>
        <w:t>el uso del bloque de ocho horas de forma ininterrumpida. Además, se impone un intervalo mínimo de 90 días entre donaciones de sangre y se especifica que la licencia por inscripción en el registro de médula ósea será un beneficio de una sola vez por empleado, requiriendo siempre evidencia documental obligatoria.</w:t>
      </w:r>
    </w:p>
    <w:p w14:paraId="591830B7" w14:textId="77777777" w:rsidR="00257C58" w:rsidRPr="00257C58" w:rsidRDefault="00257C58" w:rsidP="00257C58">
      <w:pPr>
        <w:ind w:firstLine="720"/>
        <w:jc w:val="both"/>
        <w:rPr>
          <w:rFonts w:ascii="Book Antiqua" w:hAnsi="Book Antiqua"/>
          <w:bCs/>
          <w:szCs w:val="24"/>
          <w:lang w:val="es-ES"/>
        </w:rPr>
      </w:pPr>
    </w:p>
    <w:p w14:paraId="26AAC156" w14:textId="2C49DC08" w:rsidR="00ED3F35" w:rsidRDefault="00257C58" w:rsidP="00257C58">
      <w:pPr>
        <w:ind w:firstLine="720"/>
        <w:jc w:val="both"/>
        <w:rPr>
          <w:rFonts w:ascii="Book Antiqua" w:hAnsi="Book Antiqua"/>
          <w:bCs/>
          <w:szCs w:val="24"/>
          <w:lang w:val="es-ES"/>
        </w:rPr>
      </w:pPr>
      <w:r w:rsidRPr="00257C58">
        <w:rPr>
          <w:rFonts w:ascii="Book Antiqua" w:hAnsi="Book Antiqua"/>
          <w:bCs/>
          <w:szCs w:val="24"/>
          <w:lang w:val="es-ES"/>
        </w:rPr>
        <w:t xml:space="preserve">En el ámbito presupuestario, la </w:t>
      </w:r>
      <w:r>
        <w:rPr>
          <w:rFonts w:ascii="Book Antiqua" w:hAnsi="Book Antiqua"/>
          <w:bCs/>
          <w:szCs w:val="24"/>
          <w:lang w:val="es-ES"/>
        </w:rPr>
        <w:t>OGP</w:t>
      </w:r>
      <w:r w:rsidRPr="00257C58">
        <w:rPr>
          <w:rFonts w:ascii="Book Antiqua" w:hAnsi="Book Antiqua"/>
          <w:bCs/>
          <w:szCs w:val="24"/>
          <w:lang w:val="es-ES"/>
        </w:rPr>
        <w:t xml:space="preserve"> enfatiza que cualquier expansión de beneficios con paga conlleva un impacto económico potencial que debe ser cuantificado. La oficina advierte sobre los costos indirectos que podrían surgir, como la necesidad de sustitución de personal o el pago de horas extras en áreas operacionales críticas. Por ello, se subraya la importancia de identificar fuentes de financiamiento recurrentes que aseguren la estabilidad fiscal y el cumplimiento con las directrices de la Junta de Supervisión y Administración Financiera (JSAF), sugiriendo incluso la posibilidad de una implementación escalonada.</w:t>
      </w:r>
    </w:p>
    <w:p w14:paraId="24AD7305" w14:textId="77777777" w:rsidR="00257C58" w:rsidRDefault="00257C58" w:rsidP="00257C58">
      <w:pPr>
        <w:ind w:firstLine="720"/>
        <w:jc w:val="both"/>
        <w:rPr>
          <w:rFonts w:ascii="Book Antiqua" w:hAnsi="Book Antiqua"/>
          <w:bCs/>
          <w:szCs w:val="24"/>
          <w:lang w:val="es-ES"/>
        </w:rPr>
      </w:pPr>
    </w:p>
    <w:p w14:paraId="317B69B6" w14:textId="77777777" w:rsidR="00823679" w:rsidRDefault="00257C58" w:rsidP="006F2572">
      <w:pPr>
        <w:ind w:firstLine="720"/>
        <w:jc w:val="both"/>
        <w:rPr>
          <w:rFonts w:ascii="Book Antiqua" w:hAnsi="Book Antiqua"/>
          <w:bCs/>
          <w:szCs w:val="24"/>
          <w:lang w:val="es-ES"/>
        </w:rPr>
      </w:pPr>
      <w:r w:rsidRPr="00257C58">
        <w:rPr>
          <w:rFonts w:ascii="Book Antiqua" w:hAnsi="Book Antiqua"/>
          <w:bCs/>
          <w:szCs w:val="24"/>
          <w:lang w:val="es-ES"/>
        </w:rPr>
        <w:t xml:space="preserve">La </w:t>
      </w:r>
      <w:r>
        <w:rPr>
          <w:rFonts w:ascii="Book Antiqua" w:hAnsi="Book Antiqua"/>
          <w:bCs/>
          <w:szCs w:val="24"/>
          <w:lang w:val="es-ES"/>
        </w:rPr>
        <w:t xml:space="preserve">OGP </w:t>
      </w:r>
      <w:r w:rsidRPr="00257C58">
        <w:rPr>
          <w:rFonts w:ascii="Book Antiqua" w:hAnsi="Book Antiqua"/>
          <w:bCs/>
          <w:szCs w:val="24"/>
          <w:lang w:val="es-ES"/>
        </w:rPr>
        <w:t>no presenta objeción en cuanto a la intención de política pública de la medida, reconociendo que el valor de salvar vidas mediante la donación de sangre excede el costo de permitir que un servidor público utilice tiempo de su jornada laboral para este fin. No obstante, la OGP condiciona su respaldo a que la aprobación final esté fundamentada en evidencia empírica. Se recomienda que, antes de convertir la medida en ley, la OATRH provea un informe estadístico detallado sobre el uso actual de esta licencia para determinar si el aumento de horas es realmente el mecanismo más efectivo para incrementar las donaciones.</w:t>
      </w:r>
      <w:r w:rsidR="006F2572">
        <w:rPr>
          <w:rFonts w:ascii="Book Antiqua" w:hAnsi="Book Antiqua"/>
          <w:bCs/>
          <w:szCs w:val="24"/>
          <w:lang w:val="es-ES"/>
        </w:rPr>
        <w:t xml:space="preserve"> </w:t>
      </w:r>
    </w:p>
    <w:p w14:paraId="3B9DF31B" w14:textId="77777777" w:rsidR="00823679" w:rsidRDefault="00823679" w:rsidP="006F2572">
      <w:pPr>
        <w:ind w:firstLine="720"/>
        <w:jc w:val="both"/>
        <w:rPr>
          <w:rFonts w:ascii="Book Antiqua" w:hAnsi="Book Antiqua"/>
          <w:bCs/>
          <w:szCs w:val="24"/>
          <w:lang w:val="es-ES"/>
        </w:rPr>
      </w:pPr>
    </w:p>
    <w:p w14:paraId="15A47B1A" w14:textId="66934A80" w:rsidR="00257C58" w:rsidRPr="003C2D21" w:rsidRDefault="00257C58" w:rsidP="006F2572">
      <w:pPr>
        <w:ind w:firstLine="720"/>
        <w:jc w:val="both"/>
        <w:rPr>
          <w:rFonts w:ascii="Book Antiqua" w:hAnsi="Book Antiqua"/>
          <w:bCs/>
          <w:szCs w:val="24"/>
          <w:lang w:val="es-ES"/>
        </w:rPr>
      </w:pPr>
      <w:r w:rsidRPr="00257C58">
        <w:rPr>
          <w:rFonts w:ascii="Book Antiqua" w:hAnsi="Book Antiqua"/>
          <w:bCs/>
          <w:szCs w:val="24"/>
          <w:lang w:val="es-ES"/>
        </w:rPr>
        <w:t>Finalmente, la OGP sugiere que la Comisión consulte a otras entidades clave como el Departamento de Salud, ASEM y la propia JSAF para validar la viabilidad técnica y fiscal de la propuesta. En síntesis, la oficina avala la medida siempre que su implementación se realice bajo una guía uniforme de aplicación centralizada, se establezcan planes de continuidad de servicio en unidades críticas y se asegure que el cambio normativo sea fiscalmente responsable y sostenible a largo plazo.</w:t>
      </w:r>
    </w:p>
    <w:p w14:paraId="0509C2BC" w14:textId="77777777" w:rsidR="008B429C" w:rsidRDefault="008B429C" w:rsidP="00257C58">
      <w:pPr>
        <w:rPr>
          <w:rFonts w:ascii="Book Antiqua" w:hAnsi="Book Antiqua"/>
          <w:b/>
          <w:szCs w:val="24"/>
          <w:lang w:val="es-ES"/>
        </w:rPr>
      </w:pPr>
    </w:p>
    <w:p w14:paraId="702A073B" w14:textId="77777777" w:rsidR="008B429C" w:rsidRDefault="008B429C" w:rsidP="00ED30AA">
      <w:pPr>
        <w:jc w:val="center"/>
        <w:rPr>
          <w:rFonts w:ascii="Book Antiqua" w:hAnsi="Book Antiqua"/>
          <w:b/>
          <w:szCs w:val="24"/>
          <w:lang w:val="es-ES"/>
        </w:rPr>
      </w:pPr>
    </w:p>
    <w:p w14:paraId="33019F60" w14:textId="05001B75"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IMPACTO FISCAL</w:t>
      </w:r>
    </w:p>
    <w:p w14:paraId="39F84350" w14:textId="77777777" w:rsidR="00C41234" w:rsidRPr="009C3FBC" w:rsidRDefault="00C41234" w:rsidP="00ED30AA">
      <w:pPr>
        <w:jc w:val="both"/>
        <w:rPr>
          <w:rFonts w:ascii="Book Antiqua" w:hAnsi="Book Antiqua"/>
          <w:szCs w:val="24"/>
          <w:lang w:val="es-ES"/>
        </w:rPr>
      </w:pPr>
    </w:p>
    <w:p w14:paraId="7EFE81C7" w14:textId="77777777" w:rsidR="00823679" w:rsidRDefault="00823679" w:rsidP="00931EA0">
      <w:pPr>
        <w:ind w:firstLine="720"/>
        <w:jc w:val="both"/>
        <w:rPr>
          <w:rFonts w:ascii="Book Antiqua" w:hAnsi="Book Antiqua"/>
          <w:szCs w:val="24"/>
          <w:lang w:val="es-ES"/>
        </w:rPr>
      </w:pPr>
      <w:r w:rsidRPr="00823679">
        <w:rPr>
          <w:rFonts w:ascii="Book Antiqua" w:hAnsi="Book Antiqua"/>
          <w:szCs w:val="24"/>
          <w:lang w:val="es-ES"/>
        </w:rPr>
        <w:t xml:space="preserve">El análisis de impacto fiscal y presupuestario del </w:t>
      </w:r>
      <w:r>
        <w:rPr>
          <w:rFonts w:ascii="Book Antiqua" w:hAnsi="Book Antiqua"/>
          <w:szCs w:val="24"/>
          <w:lang w:val="es-ES"/>
        </w:rPr>
        <w:t>P. de la C.</w:t>
      </w:r>
      <w:r w:rsidRPr="00823679">
        <w:rPr>
          <w:rFonts w:ascii="Book Antiqua" w:hAnsi="Book Antiqua"/>
          <w:szCs w:val="24"/>
          <w:lang w:val="es-ES"/>
        </w:rPr>
        <w:t xml:space="preserve"> 844 demuestra que la medida es financieramente viable y sostenible para el Gobierno de Puerto Rico, determinando que su impacto directo sobre el Fondo General es plenamente neutral al no requerir asignaciones presupuestarias adicionales ni la creación de nuevos programas gubernamentales</w:t>
      </w:r>
      <w:r>
        <w:rPr>
          <w:rFonts w:ascii="Book Antiqua" w:hAnsi="Book Antiqua"/>
          <w:szCs w:val="24"/>
          <w:lang w:val="es-ES"/>
        </w:rPr>
        <w:t xml:space="preserve">. </w:t>
      </w:r>
      <w:r w:rsidRPr="00823679">
        <w:rPr>
          <w:rFonts w:ascii="Book Antiqua" w:hAnsi="Book Antiqua"/>
          <w:szCs w:val="24"/>
          <w:lang w:val="es-ES"/>
        </w:rPr>
        <w:t xml:space="preserve">Si bien el aumento de la licencia de cuatro a ocho horas anuales para la donación de sangre y médula ósea conlleva un costo económico marginal por concepto de tiempo pagado y no laborado, esta Comisión concluye que dicho costo es mínimo y queda ampliamente superado por el valor social y de salud pública de estabilizar las </w:t>
      </w:r>
      <w:r w:rsidRPr="00823679">
        <w:rPr>
          <w:rFonts w:ascii="Book Antiqua" w:hAnsi="Book Antiqua"/>
          <w:szCs w:val="24"/>
          <w:lang w:val="es-ES"/>
        </w:rPr>
        <w:lastRenderedPageBreak/>
        <w:t>reservas de sangre en la isla, lo que a su vez previene crisis mayores en nuestro sistema médico hospitalario</w:t>
      </w:r>
      <w:r>
        <w:rPr>
          <w:rFonts w:ascii="Book Antiqua" w:hAnsi="Book Antiqua"/>
          <w:szCs w:val="24"/>
          <w:lang w:val="es-ES"/>
        </w:rPr>
        <w:t xml:space="preserve">. </w:t>
      </w:r>
    </w:p>
    <w:p w14:paraId="2D0A6268" w14:textId="77777777" w:rsidR="00823679" w:rsidRDefault="00823679" w:rsidP="00931EA0">
      <w:pPr>
        <w:ind w:firstLine="720"/>
        <w:jc w:val="both"/>
        <w:rPr>
          <w:rFonts w:ascii="Book Antiqua" w:hAnsi="Book Antiqua"/>
          <w:szCs w:val="24"/>
          <w:lang w:val="es-ES"/>
        </w:rPr>
      </w:pPr>
    </w:p>
    <w:p w14:paraId="0CF6FF35" w14:textId="77777777" w:rsidR="00823679" w:rsidRDefault="00823679" w:rsidP="00931EA0">
      <w:pPr>
        <w:ind w:firstLine="720"/>
        <w:jc w:val="both"/>
        <w:rPr>
          <w:rFonts w:ascii="Book Antiqua" w:hAnsi="Book Antiqua"/>
          <w:szCs w:val="24"/>
          <w:lang w:val="es-ES"/>
        </w:rPr>
      </w:pPr>
      <w:r w:rsidRPr="00823679">
        <w:rPr>
          <w:rFonts w:ascii="Book Antiqua" w:hAnsi="Book Antiqua"/>
          <w:szCs w:val="24"/>
          <w:lang w:val="es-ES"/>
        </w:rPr>
        <w:t xml:space="preserve">Asimismo, los riesgos potenciales de costos indirectos por concepto de horas extras o sustitución de personal en áreas esenciales de los componentes estatales y municipales quedan eficazmente mitigados gracias a los estrictos controles operacionales integrados en el propio texto de la medida. </w:t>
      </w:r>
      <w:proofErr w:type="gramStart"/>
      <w:r w:rsidRPr="00823679">
        <w:rPr>
          <w:rFonts w:ascii="Book Antiqua" w:hAnsi="Book Antiqua"/>
          <w:szCs w:val="24"/>
          <w:lang w:val="es-ES"/>
        </w:rPr>
        <w:t>Est</w:t>
      </w:r>
      <w:r>
        <w:rPr>
          <w:rFonts w:ascii="Book Antiqua" w:hAnsi="Book Antiqua"/>
          <w:szCs w:val="24"/>
          <w:lang w:val="es-ES"/>
        </w:rPr>
        <w:t>o</w:t>
      </w:r>
      <w:r w:rsidRPr="00823679">
        <w:rPr>
          <w:rFonts w:ascii="Book Antiqua" w:hAnsi="Book Antiqua"/>
          <w:szCs w:val="24"/>
          <w:lang w:val="es-ES"/>
        </w:rPr>
        <w:t>s salvaguardas</w:t>
      </w:r>
      <w:proofErr w:type="gramEnd"/>
      <w:r w:rsidRPr="00823679">
        <w:rPr>
          <w:rFonts w:ascii="Book Antiqua" w:hAnsi="Book Antiqua"/>
          <w:szCs w:val="24"/>
          <w:lang w:val="es-ES"/>
        </w:rPr>
        <w:t xml:space="preserve"> garantizan la continuidad de los servicios públicos y el cumplimiento con las directrices de la Junta de Supervisión y Administración Financiera (JSAF) al prohibir el uso del bloque de ocho horas de forma ininterrumpida, limitar el disfrute a un máximo de cuatro horas por día, imponer un intervalo mínimo de 90 días entre donaciones y requerir evidencia documental obligatoria para la acreditación del tiempo</w:t>
      </w:r>
      <w:r>
        <w:rPr>
          <w:rFonts w:ascii="Book Antiqua" w:hAnsi="Book Antiqua"/>
          <w:szCs w:val="24"/>
          <w:lang w:val="es-ES"/>
        </w:rPr>
        <w:t>.</w:t>
      </w:r>
    </w:p>
    <w:p w14:paraId="4C9349B1" w14:textId="77777777" w:rsidR="00823679" w:rsidRDefault="00823679" w:rsidP="00931EA0">
      <w:pPr>
        <w:ind w:firstLine="720"/>
        <w:jc w:val="both"/>
        <w:rPr>
          <w:rFonts w:ascii="Book Antiqua" w:hAnsi="Book Antiqua"/>
          <w:szCs w:val="24"/>
          <w:lang w:val="es-ES"/>
        </w:rPr>
      </w:pPr>
    </w:p>
    <w:p w14:paraId="1E37E506" w14:textId="7E36B26E" w:rsidR="00ED3F35" w:rsidRDefault="00823679" w:rsidP="00931EA0">
      <w:pPr>
        <w:ind w:firstLine="720"/>
        <w:jc w:val="both"/>
        <w:rPr>
          <w:rFonts w:ascii="Book Antiqua" w:hAnsi="Book Antiqua"/>
          <w:szCs w:val="24"/>
          <w:lang w:val="es-ES"/>
        </w:rPr>
      </w:pPr>
      <w:r w:rsidRPr="00823679">
        <w:rPr>
          <w:rFonts w:ascii="Book Antiqua" w:hAnsi="Book Antiqua"/>
          <w:szCs w:val="24"/>
          <w:lang w:val="es-ES"/>
        </w:rPr>
        <w:t xml:space="preserve"> Por todo lo anterior, y condicionado a que la OGP, la AAFAF y la OATRH establezcan una guía uniforme de aplicación centralizada y certifiquen formalmente los parámetros de calibración presupuestaria final, esta Comisión determina que el proyecto es fiscalmente responsable, compatible con el Plan Fiscal Certificado y beneficioso para el pueblo de Puerto Rico</w:t>
      </w:r>
      <w:r>
        <w:rPr>
          <w:rFonts w:ascii="Book Antiqua" w:hAnsi="Book Antiqua"/>
          <w:szCs w:val="24"/>
          <w:lang w:val="es-ES"/>
        </w:rPr>
        <w:t>.</w:t>
      </w:r>
    </w:p>
    <w:p w14:paraId="301D1E65" w14:textId="77777777" w:rsidR="00823679" w:rsidRPr="009C3FBC" w:rsidRDefault="00823679" w:rsidP="00931EA0">
      <w:pPr>
        <w:ind w:firstLine="720"/>
        <w:jc w:val="both"/>
        <w:rPr>
          <w:rFonts w:ascii="Book Antiqua" w:hAnsi="Book Antiqua"/>
          <w:b/>
          <w:bCs/>
          <w:szCs w:val="24"/>
          <w:lang w:val="es-ES"/>
        </w:rPr>
      </w:pPr>
    </w:p>
    <w:p w14:paraId="0E543BFD" w14:textId="72587626" w:rsidR="00E4167A" w:rsidRPr="009C3FBC" w:rsidRDefault="00ED30AA" w:rsidP="007F4D2B">
      <w:pPr>
        <w:jc w:val="center"/>
        <w:rPr>
          <w:rFonts w:ascii="Book Antiqua" w:hAnsi="Book Antiqua"/>
          <w:b/>
          <w:bCs/>
          <w:szCs w:val="24"/>
          <w:lang w:val="es-ES"/>
        </w:rPr>
      </w:pPr>
      <w:r w:rsidRPr="009C3FBC">
        <w:rPr>
          <w:rFonts w:ascii="Book Antiqua" w:hAnsi="Book Antiqua"/>
          <w:b/>
          <w:bCs/>
          <w:szCs w:val="24"/>
          <w:lang w:val="es-ES"/>
        </w:rPr>
        <w:t>CONCLUSIÓN</w:t>
      </w:r>
    </w:p>
    <w:p w14:paraId="77D69D18" w14:textId="77777777" w:rsidR="00E4167A" w:rsidRPr="009C3FBC" w:rsidRDefault="00E4167A" w:rsidP="00ED30AA">
      <w:pPr>
        <w:jc w:val="both"/>
        <w:rPr>
          <w:rFonts w:ascii="Book Antiqua" w:hAnsi="Book Antiqua"/>
          <w:b/>
          <w:bCs/>
          <w:szCs w:val="24"/>
          <w:lang w:val="es-ES"/>
        </w:rPr>
      </w:pPr>
    </w:p>
    <w:p w14:paraId="2F252245" w14:textId="1FB231D5" w:rsidR="00F0414D" w:rsidRDefault="00F0414D" w:rsidP="00F0414D">
      <w:pPr>
        <w:ind w:firstLine="720"/>
        <w:jc w:val="both"/>
        <w:rPr>
          <w:rFonts w:ascii="Book Antiqua" w:hAnsi="Book Antiqua"/>
          <w:szCs w:val="24"/>
          <w:lang w:val="es-PR"/>
        </w:rPr>
      </w:pPr>
      <w:r>
        <w:rPr>
          <w:rFonts w:ascii="Book Antiqua" w:hAnsi="Book Antiqua"/>
          <w:szCs w:val="24"/>
          <w:lang w:val="es-PR"/>
        </w:rPr>
        <w:t>Luego de un</w:t>
      </w:r>
      <w:r w:rsidRPr="00F0414D">
        <w:rPr>
          <w:rFonts w:ascii="Book Antiqua" w:hAnsi="Book Antiqua"/>
          <w:szCs w:val="24"/>
          <w:lang w:val="es-PR"/>
        </w:rPr>
        <w:t xml:space="preserve"> análisis exhaustivo de los memoriales explicativos recibidos, esta Comisión concluye que el P. de la C. 844 representa una iniciativa de alto valor social y una respuesta necesaria a la crisis de suministros de sangre que afecta al sistema de salud de Puerto Rico. Las agencias consultadas, particularmente la OGP y la</w:t>
      </w:r>
      <w:r>
        <w:rPr>
          <w:rFonts w:ascii="Book Antiqua" w:hAnsi="Book Antiqua"/>
          <w:szCs w:val="24"/>
          <w:lang w:val="es-PR"/>
        </w:rPr>
        <w:t xml:space="preserve"> OATRH</w:t>
      </w:r>
      <w:r w:rsidRPr="00F0414D">
        <w:rPr>
          <w:rFonts w:ascii="Book Antiqua" w:hAnsi="Book Antiqua"/>
          <w:szCs w:val="24"/>
          <w:lang w:val="es-PR"/>
        </w:rPr>
        <w:t>, coinciden en que el propósito de la medida es loable y fundamental para garantizar la seguridad de los pacientes que dependen de transfusiones y trasplantes de médula ósea. Aunque ambas oficinas subrayaron la importancia de velar por la estabilidad fiscal y la uniformidad de los beneficios bajo la Ley 26-2017, ninguna presentó una objeción insalvable que impida el avance de esta legislación.</w:t>
      </w:r>
    </w:p>
    <w:p w14:paraId="1EFA0809" w14:textId="77777777" w:rsidR="00F0414D" w:rsidRPr="00F0414D" w:rsidRDefault="00F0414D" w:rsidP="00F0414D">
      <w:pPr>
        <w:ind w:firstLine="720"/>
        <w:jc w:val="both"/>
        <w:rPr>
          <w:rFonts w:ascii="Book Antiqua" w:hAnsi="Book Antiqua"/>
          <w:szCs w:val="24"/>
          <w:lang w:val="es-PR"/>
        </w:rPr>
      </w:pPr>
    </w:p>
    <w:p w14:paraId="25DFBB90" w14:textId="55216A67" w:rsidR="001A6BF9" w:rsidRDefault="00F0414D" w:rsidP="006F2572">
      <w:pPr>
        <w:ind w:firstLine="720"/>
        <w:jc w:val="both"/>
        <w:rPr>
          <w:rFonts w:ascii="Book Antiqua" w:hAnsi="Book Antiqua"/>
          <w:szCs w:val="24"/>
          <w:lang w:val="es-PR"/>
        </w:rPr>
      </w:pPr>
      <w:r w:rsidRPr="00F0414D">
        <w:rPr>
          <w:rFonts w:ascii="Book Antiqua" w:hAnsi="Book Antiqua"/>
          <w:szCs w:val="24"/>
          <w:lang w:val="es-PR"/>
        </w:rPr>
        <w:t xml:space="preserve">Por el contrario, el análisis de la OGP confirmó que los controles operacionales incluidos en el proyecto —como el fraccionamiento de horas y los intervalos de 90 días entre donaciones— son mecanismos adecuados para mitigar cualquier impacto en la prestación de servicios gubernamentales. Si bien la OATRH y la OGP sugirieron dar deferencia a la AAFAF para una evaluación presupuestaria final, es imperativo señalar que, a pesar de las solicitudes realizadas por esta Comisión, </w:t>
      </w:r>
      <w:r>
        <w:rPr>
          <w:rFonts w:ascii="Book Antiqua" w:hAnsi="Book Antiqua"/>
          <w:szCs w:val="24"/>
          <w:lang w:val="es-PR"/>
        </w:rPr>
        <w:t xml:space="preserve">al momento de presentar este informe, </w:t>
      </w:r>
      <w:r w:rsidRPr="00F0414D">
        <w:rPr>
          <w:rFonts w:ascii="Book Antiqua" w:hAnsi="Book Antiqua"/>
          <w:szCs w:val="24"/>
          <w:lang w:val="es-PR"/>
        </w:rPr>
        <w:t xml:space="preserve">la AAFAF no </w:t>
      </w:r>
      <w:r w:rsidR="0008578B">
        <w:rPr>
          <w:rFonts w:ascii="Book Antiqua" w:hAnsi="Book Antiqua"/>
          <w:szCs w:val="24"/>
          <w:lang w:val="es-PR"/>
        </w:rPr>
        <w:t xml:space="preserve">había presentado sus </w:t>
      </w:r>
      <w:r w:rsidRPr="00F0414D">
        <w:rPr>
          <w:rFonts w:ascii="Book Antiqua" w:hAnsi="Book Antiqua"/>
          <w:szCs w:val="24"/>
          <w:lang w:val="es-PR"/>
        </w:rPr>
        <w:t>comentarios sobre la medida. Ante est</w:t>
      </w:r>
      <w:r w:rsidR="0008578B">
        <w:rPr>
          <w:rFonts w:ascii="Book Antiqua" w:hAnsi="Book Antiqua"/>
          <w:szCs w:val="24"/>
          <w:lang w:val="es-PR"/>
        </w:rPr>
        <w:t>o</w:t>
      </w:r>
      <w:r w:rsidRPr="00F0414D">
        <w:rPr>
          <w:rFonts w:ascii="Book Antiqua" w:hAnsi="Book Antiqua"/>
          <w:szCs w:val="24"/>
          <w:lang w:val="es-PR"/>
        </w:rPr>
        <w:t>, esta Comisión entiende que no se han identificado obstáculos financieros de tal magnitud que invaliden el beneficio social y humano de la pieza legislativa.</w:t>
      </w:r>
      <w:r w:rsidR="006F2572">
        <w:rPr>
          <w:rFonts w:ascii="Book Antiqua" w:hAnsi="Book Antiqua"/>
          <w:szCs w:val="24"/>
          <w:lang w:val="es-PR"/>
        </w:rPr>
        <w:t xml:space="preserve"> </w:t>
      </w:r>
      <w:r w:rsidRPr="00F0414D">
        <w:rPr>
          <w:rFonts w:ascii="Book Antiqua" w:hAnsi="Book Antiqua"/>
          <w:szCs w:val="24"/>
          <w:lang w:val="es-PR"/>
        </w:rPr>
        <w:t xml:space="preserve">En virtud de lo anterior, esta Comisión determina que los beneficios para la salud pública y el potencial de salvar vidas superan los retos administrativos planteados. Al armonizar la necesidad de sangre </w:t>
      </w:r>
      <w:r w:rsidRPr="00F0414D">
        <w:rPr>
          <w:rFonts w:ascii="Book Antiqua" w:hAnsi="Book Antiqua"/>
          <w:szCs w:val="24"/>
          <w:lang w:val="es-PR"/>
        </w:rPr>
        <w:lastRenderedPageBreak/>
        <w:t>en nuestras instituciones hospitalarias con un ajuste razonable en la jornada de los servidores públicos, el Gobierno de Puerto Rico da un paso firme hacia la solidaridad ciudadana y la responsabilidad social.</w:t>
      </w:r>
    </w:p>
    <w:p w14:paraId="772BFE76" w14:textId="77777777" w:rsidR="00F0414D" w:rsidRDefault="00F0414D" w:rsidP="00F0414D">
      <w:pPr>
        <w:ind w:firstLine="720"/>
        <w:jc w:val="both"/>
        <w:rPr>
          <w:rFonts w:ascii="Book Antiqua" w:hAnsi="Book Antiqua"/>
          <w:b/>
          <w:szCs w:val="24"/>
          <w:lang w:val="es-ES"/>
        </w:rPr>
      </w:pPr>
    </w:p>
    <w:p w14:paraId="45308EBE" w14:textId="3D495D1C" w:rsidR="00931EA0" w:rsidRPr="003052D8" w:rsidRDefault="00931EA0" w:rsidP="00931EA0">
      <w:pPr>
        <w:ind w:firstLine="720"/>
        <w:jc w:val="both"/>
        <w:rPr>
          <w:rFonts w:ascii="Book Antiqua" w:hAnsi="Book Antiqua"/>
          <w:szCs w:val="24"/>
          <w:lang w:val="es-ES"/>
        </w:rPr>
      </w:pPr>
      <w:r w:rsidRPr="003052D8">
        <w:rPr>
          <w:rFonts w:ascii="Book Antiqua" w:hAnsi="Book Antiqua"/>
          <w:b/>
          <w:szCs w:val="24"/>
          <w:lang w:val="es-ES"/>
        </w:rPr>
        <w:t xml:space="preserve">POR TODO LO ANTES EXPUESTO, </w:t>
      </w:r>
      <w:r w:rsidRPr="003052D8">
        <w:rPr>
          <w:rFonts w:ascii="Book Antiqua" w:hAnsi="Book Antiqua"/>
          <w:szCs w:val="24"/>
          <w:lang w:val="es-ES"/>
        </w:rPr>
        <w:t>la Comisión</w:t>
      </w:r>
      <w:r w:rsidRPr="003052D8">
        <w:rPr>
          <w:rFonts w:ascii="Book Antiqua" w:hAnsi="Book Antiqua"/>
          <w:spacing w:val="-3"/>
          <w:szCs w:val="24"/>
          <w:lang w:val="es-ES"/>
        </w:rPr>
        <w:t xml:space="preserve"> </w:t>
      </w:r>
      <w:r>
        <w:rPr>
          <w:rFonts w:ascii="Book Antiqua" w:hAnsi="Book Antiqua"/>
          <w:spacing w:val="-3"/>
          <w:szCs w:val="24"/>
          <w:lang w:val="es-ES"/>
        </w:rPr>
        <w:t>del Trabajo y Asuntos Laborales</w:t>
      </w:r>
      <w:r w:rsidRPr="003052D8">
        <w:rPr>
          <w:rFonts w:ascii="Book Antiqua" w:hAnsi="Book Antiqua"/>
          <w:spacing w:val="-3"/>
          <w:szCs w:val="24"/>
          <w:lang w:val="es-ES"/>
        </w:rPr>
        <w:t xml:space="preserve"> de</w:t>
      </w:r>
      <w:r>
        <w:rPr>
          <w:rFonts w:ascii="Book Antiqua" w:hAnsi="Book Antiqua"/>
          <w:spacing w:val="-3"/>
          <w:szCs w:val="24"/>
          <w:lang w:val="es-ES"/>
        </w:rPr>
        <w:t xml:space="preserve"> la Cámara de</w:t>
      </w:r>
      <w:r w:rsidRPr="003052D8">
        <w:rPr>
          <w:rFonts w:ascii="Book Antiqua" w:hAnsi="Book Antiqua"/>
          <w:spacing w:val="-3"/>
          <w:szCs w:val="24"/>
          <w:lang w:val="es-ES"/>
        </w:rPr>
        <w:t xml:space="preserve"> Representantes </w:t>
      </w:r>
      <w:r w:rsidRPr="003052D8">
        <w:rPr>
          <w:rFonts w:ascii="Book Antiqua" w:hAnsi="Book Antiqua"/>
          <w:szCs w:val="24"/>
          <w:lang w:val="es-ES"/>
        </w:rPr>
        <w:t xml:space="preserve">de Puerto Rico, previo estudio y consideración, presenta ante este Cuerpo el Informe </w:t>
      </w:r>
      <w:r w:rsidR="0008578B">
        <w:rPr>
          <w:rFonts w:ascii="Book Antiqua" w:hAnsi="Book Antiqua"/>
          <w:szCs w:val="24"/>
          <w:lang w:val="es-ES"/>
        </w:rPr>
        <w:t xml:space="preserve">Positivo </w:t>
      </w:r>
      <w:r w:rsidRPr="003052D8">
        <w:rPr>
          <w:rFonts w:ascii="Book Antiqua" w:hAnsi="Book Antiqua"/>
          <w:szCs w:val="24"/>
          <w:lang w:val="es-ES"/>
        </w:rPr>
        <w:t xml:space="preserve">sobre el </w:t>
      </w:r>
      <w:r w:rsidRPr="003052D8">
        <w:rPr>
          <w:rFonts w:ascii="Book Antiqua" w:hAnsi="Book Antiqua"/>
          <w:b/>
          <w:szCs w:val="24"/>
          <w:lang w:val="es-ES"/>
        </w:rPr>
        <w:t xml:space="preserve">Proyecto de la Cámara </w:t>
      </w:r>
      <w:r w:rsidR="0008578B">
        <w:rPr>
          <w:rFonts w:ascii="Book Antiqua" w:hAnsi="Book Antiqua"/>
          <w:b/>
          <w:szCs w:val="24"/>
          <w:lang w:val="es-ES"/>
        </w:rPr>
        <w:t>844</w:t>
      </w:r>
      <w:r w:rsidRPr="003052D8">
        <w:rPr>
          <w:rFonts w:ascii="Book Antiqua" w:hAnsi="Book Antiqua"/>
          <w:szCs w:val="24"/>
          <w:lang w:val="es-ES"/>
        </w:rPr>
        <w:t>, recomendando que el proyecto sea aprobado</w:t>
      </w:r>
      <w:r w:rsidR="00EE0CD8">
        <w:rPr>
          <w:rFonts w:ascii="Book Antiqua" w:hAnsi="Book Antiqua"/>
          <w:szCs w:val="24"/>
          <w:lang w:val="es-ES"/>
        </w:rPr>
        <w:t xml:space="preserve"> </w:t>
      </w:r>
      <w:r w:rsidR="00EE0CD8" w:rsidRPr="00EE0CD8">
        <w:rPr>
          <w:rFonts w:ascii="Book Antiqua" w:hAnsi="Book Antiqua"/>
          <w:b/>
          <w:bCs/>
          <w:szCs w:val="24"/>
          <w:lang w:val="es-ES"/>
        </w:rPr>
        <w:t>SIN ENMIENDAS</w:t>
      </w:r>
      <w:r w:rsidR="00EE0CD8">
        <w:rPr>
          <w:rFonts w:ascii="Book Antiqua" w:hAnsi="Book Antiqua"/>
          <w:b/>
          <w:bCs/>
          <w:szCs w:val="24"/>
          <w:lang w:val="es-ES"/>
        </w:rPr>
        <w:t>.</w:t>
      </w:r>
      <w:r w:rsidRPr="003052D8">
        <w:rPr>
          <w:rFonts w:ascii="Book Antiqua" w:hAnsi="Book Antiqua"/>
          <w:szCs w:val="24"/>
          <w:lang w:val="es-ES"/>
        </w:rPr>
        <w:t xml:space="preserve"> </w:t>
      </w:r>
    </w:p>
    <w:p w14:paraId="629E6DC5" w14:textId="77777777" w:rsidR="00ED30AA" w:rsidRPr="009C3FBC" w:rsidRDefault="00ED30AA" w:rsidP="00ED30AA">
      <w:pPr>
        <w:jc w:val="both"/>
        <w:rPr>
          <w:rFonts w:ascii="Book Antiqua" w:hAnsi="Book Antiqua"/>
          <w:szCs w:val="24"/>
          <w:lang w:val="es-ES"/>
        </w:rPr>
      </w:pPr>
    </w:p>
    <w:p w14:paraId="23D5D2C6" w14:textId="79BB048A" w:rsidR="00277C23" w:rsidRPr="009C3FBC" w:rsidRDefault="00ED30AA" w:rsidP="00ED30AA">
      <w:pPr>
        <w:jc w:val="both"/>
        <w:rPr>
          <w:rFonts w:ascii="Book Antiqua" w:hAnsi="Book Antiqua"/>
          <w:szCs w:val="24"/>
          <w:lang w:val="es-ES"/>
        </w:rPr>
      </w:pPr>
      <w:r w:rsidRPr="009C3FBC">
        <w:rPr>
          <w:rFonts w:ascii="Book Antiqua" w:hAnsi="Book Antiqua"/>
          <w:szCs w:val="24"/>
          <w:lang w:val="es-ES"/>
        </w:rPr>
        <w:t>Respetuosamente sometido,</w:t>
      </w:r>
    </w:p>
    <w:p w14:paraId="42ED4F67" w14:textId="77777777" w:rsidR="006F2572" w:rsidRDefault="006F2572" w:rsidP="00ED30AA">
      <w:pPr>
        <w:jc w:val="both"/>
        <w:rPr>
          <w:rFonts w:ascii="Book Antiqua" w:hAnsi="Book Antiqua"/>
          <w:b/>
          <w:bCs/>
          <w:i/>
          <w:iCs/>
          <w:szCs w:val="24"/>
          <w:lang w:val="es-ES"/>
        </w:rPr>
      </w:pPr>
    </w:p>
    <w:p w14:paraId="4B3B7E91" w14:textId="77777777" w:rsidR="006F2572" w:rsidRDefault="006F2572" w:rsidP="00ED30AA">
      <w:pPr>
        <w:jc w:val="both"/>
        <w:rPr>
          <w:rFonts w:ascii="Book Antiqua" w:hAnsi="Book Antiqua"/>
          <w:b/>
          <w:bCs/>
          <w:i/>
          <w:iCs/>
          <w:szCs w:val="24"/>
          <w:lang w:val="es-ES"/>
        </w:rPr>
      </w:pPr>
    </w:p>
    <w:p w14:paraId="4B762190" w14:textId="546BEBA2" w:rsidR="00ED30AA" w:rsidRPr="009C3FBC" w:rsidRDefault="00ED30AA" w:rsidP="00ED30AA">
      <w:pPr>
        <w:jc w:val="both"/>
        <w:rPr>
          <w:rFonts w:ascii="Book Antiqua" w:hAnsi="Book Antiqua"/>
          <w:b/>
          <w:bCs/>
          <w:i/>
          <w:iCs/>
          <w:szCs w:val="24"/>
          <w:lang w:val="es-ES"/>
        </w:rPr>
      </w:pPr>
      <w:r w:rsidRPr="009C3FBC">
        <w:rPr>
          <w:rFonts w:ascii="Book Antiqua" w:hAnsi="Book Antiqua"/>
          <w:b/>
          <w:bCs/>
          <w:i/>
          <w:iCs/>
          <w:szCs w:val="24"/>
          <w:lang w:val="es-ES"/>
        </w:rPr>
        <w:t xml:space="preserve">Hon. </w:t>
      </w:r>
      <w:r w:rsidR="00CB7C9D">
        <w:rPr>
          <w:rFonts w:ascii="Book Antiqua" w:hAnsi="Book Antiqua"/>
          <w:b/>
          <w:bCs/>
          <w:i/>
          <w:iCs/>
          <w:szCs w:val="24"/>
          <w:lang w:val="es-ES"/>
        </w:rPr>
        <w:t>Roberto J. López Román</w:t>
      </w:r>
      <w:r w:rsidRPr="009C3FBC">
        <w:rPr>
          <w:rFonts w:ascii="Book Antiqua" w:hAnsi="Book Antiqua"/>
          <w:b/>
          <w:bCs/>
          <w:i/>
          <w:iCs/>
          <w:szCs w:val="24"/>
          <w:lang w:val="es-ES"/>
        </w:rPr>
        <w:tab/>
        <w:t xml:space="preserve"> </w:t>
      </w:r>
    </w:p>
    <w:p w14:paraId="0DF26DC7"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Presidente</w:t>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p>
    <w:p w14:paraId="7CC2C6FC" w14:textId="3F6F0709" w:rsidR="003B01A3" w:rsidRPr="009C3FBC" w:rsidRDefault="00ED30AA" w:rsidP="004B7C0B">
      <w:pPr>
        <w:jc w:val="both"/>
        <w:rPr>
          <w:rFonts w:ascii="Book Antiqua" w:hAnsi="Book Antiqua"/>
          <w:szCs w:val="24"/>
          <w:lang w:val="es-ES"/>
        </w:rPr>
      </w:pPr>
      <w:r w:rsidRPr="009C3FBC">
        <w:rPr>
          <w:rFonts w:ascii="Book Antiqua" w:hAnsi="Book Antiqua"/>
          <w:szCs w:val="24"/>
          <w:lang w:val="es-ES"/>
        </w:rPr>
        <w:t>Comisión de</w:t>
      </w:r>
      <w:r w:rsidR="00CB7C9D">
        <w:rPr>
          <w:rFonts w:ascii="Book Antiqua" w:hAnsi="Book Antiqua"/>
          <w:szCs w:val="24"/>
          <w:lang w:val="es-ES"/>
        </w:rPr>
        <w:t>l Trabajo y Asuntos Laborales</w:t>
      </w:r>
    </w:p>
    <w:sectPr w:rsidR="003B01A3" w:rsidRPr="009C3FBC"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93D0C" w14:textId="77777777" w:rsidR="00D84787" w:rsidRDefault="00D84787">
      <w:r>
        <w:separator/>
      </w:r>
    </w:p>
  </w:endnote>
  <w:endnote w:type="continuationSeparator" w:id="0">
    <w:p w14:paraId="48D33E77" w14:textId="77777777" w:rsidR="00D84787" w:rsidRDefault="00D84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063A6" w14:textId="77777777" w:rsidR="00D84787" w:rsidRDefault="00D84787">
      <w:r>
        <w:separator/>
      </w:r>
    </w:p>
  </w:footnote>
  <w:footnote w:type="continuationSeparator" w:id="0">
    <w:p w14:paraId="71BB67C8" w14:textId="77777777" w:rsidR="00D84787" w:rsidRDefault="00D84787">
      <w:r>
        <w:continuationSeparator/>
      </w:r>
    </w:p>
  </w:footnote>
  <w:footnote w:id="1">
    <w:p w14:paraId="3DE5D045" w14:textId="76FC0CAF" w:rsidR="008617E2" w:rsidRPr="008617E2" w:rsidRDefault="008617E2">
      <w:pPr>
        <w:pStyle w:val="FootnoteText"/>
        <w:rPr>
          <w:lang w:val="es-PR"/>
        </w:rPr>
      </w:pPr>
      <w:r>
        <w:rPr>
          <w:rStyle w:val="FootnoteReference"/>
        </w:rPr>
        <w:footnoteRef/>
      </w:r>
      <w:r w:rsidRPr="008617E2">
        <w:rPr>
          <w:lang w:val="es-PR"/>
        </w:rPr>
        <w:t xml:space="preserve"> El </w:t>
      </w:r>
      <w:r w:rsidR="00257C58">
        <w:rPr>
          <w:lang w:val="es-PR"/>
        </w:rPr>
        <w:t>2</w:t>
      </w:r>
      <w:r w:rsidRPr="008617E2">
        <w:rPr>
          <w:lang w:val="es-PR"/>
        </w:rPr>
        <w:t xml:space="preserve">6 de </w:t>
      </w:r>
      <w:r w:rsidR="00257C58">
        <w:rPr>
          <w:lang w:val="es-PR"/>
        </w:rPr>
        <w:t>enero</w:t>
      </w:r>
      <w:r w:rsidRPr="008617E2">
        <w:rPr>
          <w:lang w:val="es-PR"/>
        </w:rPr>
        <w:t xml:space="preserve"> de 2026 s</w:t>
      </w:r>
      <w:r>
        <w:rPr>
          <w:lang w:val="es-PR"/>
        </w:rPr>
        <w:t>e recibió el memorial de</w:t>
      </w:r>
      <w:r w:rsidR="00257C58">
        <w:rPr>
          <w:lang w:val="es-PR"/>
        </w:rPr>
        <w:t xml:space="preserve"> OATRH</w:t>
      </w:r>
      <w:r>
        <w:rPr>
          <w:lang w:val="es-PR"/>
        </w:rPr>
        <w:t xml:space="preserve">. </w:t>
      </w:r>
    </w:p>
  </w:footnote>
  <w:footnote w:id="2">
    <w:p w14:paraId="2EE1452C" w14:textId="0A0646CB" w:rsidR="008617E2" w:rsidRPr="008617E2" w:rsidRDefault="008617E2">
      <w:pPr>
        <w:pStyle w:val="FootnoteText"/>
        <w:rPr>
          <w:lang w:val="es-PR"/>
        </w:rPr>
      </w:pPr>
      <w:r>
        <w:rPr>
          <w:rStyle w:val="FootnoteReference"/>
        </w:rPr>
        <w:footnoteRef/>
      </w:r>
      <w:r w:rsidRPr="008617E2">
        <w:rPr>
          <w:lang w:val="es-PR"/>
        </w:rPr>
        <w:t xml:space="preserve"> </w:t>
      </w:r>
      <w:r w:rsidR="0062738E">
        <w:rPr>
          <w:lang w:val="es-PR"/>
        </w:rPr>
        <w:t xml:space="preserve">El </w:t>
      </w:r>
      <w:r w:rsidR="00257C58">
        <w:rPr>
          <w:lang w:val="es-PR"/>
        </w:rPr>
        <w:t>7</w:t>
      </w:r>
      <w:r w:rsidR="0062738E">
        <w:rPr>
          <w:lang w:val="es-PR"/>
        </w:rPr>
        <w:t xml:space="preserve"> de </w:t>
      </w:r>
      <w:r w:rsidR="00257C58">
        <w:rPr>
          <w:lang w:val="es-PR"/>
        </w:rPr>
        <w:t>abril</w:t>
      </w:r>
      <w:r w:rsidR="0062738E">
        <w:rPr>
          <w:lang w:val="es-PR"/>
        </w:rPr>
        <w:t xml:space="preserve"> de 2026 </w:t>
      </w:r>
      <w:r w:rsidR="00257C58">
        <w:rPr>
          <w:lang w:val="es-PR"/>
        </w:rPr>
        <w:t>se recibió el memorial de OGP.</w:t>
      </w:r>
      <w:r w:rsidR="0062738E">
        <w:rPr>
          <w:lang w:val="es-PR"/>
        </w:rPr>
        <w:t xml:space="preserve"> </w:t>
      </w:r>
    </w:p>
  </w:footnote>
  <w:footnote w:id="3">
    <w:p w14:paraId="60C09BD9" w14:textId="0258E999" w:rsidR="00257C58" w:rsidRPr="008617E2" w:rsidRDefault="008617E2">
      <w:pPr>
        <w:pStyle w:val="FootnoteText"/>
        <w:rPr>
          <w:lang w:val="es-PR"/>
        </w:rPr>
      </w:pPr>
      <w:r>
        <w:rPr>
          <w:rStyle w:val="FootnoteReference"/>
        </w:rPr>
        <w:footnoteRef/>
      </w:r>
      <w:r w:rsidRPr="008617E2">
        <w:rPr>
          <w:lang w:val="es-PR"/>
        </w:rPr>
        <w:t xml:space="preserve"> </w:t>
      </w:r>
      <w:r w:rsidR="0062738E" w:rsidRPr="0062738E">
        <w:rPr>
          <w:lang w:val="es-PR"/>
        </w:rPr>
        <w:t xml:space="preserve">El </w:t>
      </w:r>
      <w:r w:rsidR="00257C58">
        <w:rPr>
          <w:lang w:val="es-PR"/>
        </w:rPr>
        <w:t>7</w:t>
      </w:r>
      <w:r w:rsidR="0062738E" w:rsidRPr="0062738E">
        <w:rPr>
          <w:lang w:val="es-PR"/>
        </w:rPr>
        <w:t xml:space="preserve"> de </w:t>
      </w:r>
      <w:r w:rsidR="00257C58">
        <w:rPr>
          <w:lang w:val="es-PR"/>
        </w:rPr>
        <w:t>enero</w:t>
      </w:r>
      <w:r w:rsidR="0062738E" w:rsidRPr="0062738E">
        <w:rPr>
          <w:lang w:val="es-PR"/>
        </w:rPr>
        <w:t xml:space="preserve"> de 2026 se solicitó memorial a</w:t>
      </w:r>
      <w:r w:rsidR="00257C58">
        <w:rPr>
          <w:lang w:val="es-PR"/>
        </w:rPr>
        <w:t>l DH</w:t>
      </w:r>
      <w:r w:rsidR="0062738E" w:rsidRPr="0062738E">
        <w:rPr>
          <w:lang w:val="es-PR"/>
        </w:rPr>
        <w:t>, al momento de presentar este informe no estaba disponible</w:t>
      </w:r>
      <w:r w:rsidR="00257C58">
        <w:rPr>
          <w:lang w:val="es-PR"/>
        </w:rPr>
        <w:t>.</w:t>
      </w:r>
    </w:p>
  </w:footnote>
  <w:footnote w:id="4">
    <w:p w14:paraId="45DAD46C" w14:textId="085D4DA2" w:rsidR="00257C58" w:rsidRPr="00257C58" w:rsidRDefault="00257C58">
      <w:pPr>
        <w:pStyle w:val="FootnoteText"/>
        <w:rPr>
          <w:lang w:val="es-PR"/>
        </w:rPr>
      </w:pPr>
      <w:r>
        <w:rPr>
          <w:rStyle w:val="FootnoteReference"/>
        </w:rPr>
        <w:footnoteRef/>
      </w:r>
      <w:r w:rsidRPr="00257C58">
        <w:rPr>
          <w:lang w:val="es-PR"/>
        </w:rPr>
        <w:t xml:space="preserve"> El 26 de enero de 2026 se s</w:t>
      </w:r>
      <w:r>
        <w:rPr>
          <w:lang w:val="es-PR"/>
        </w:rPr>
        <w:t xml:space="preserve">olicitó memorial a la AAFAF, al momento de presentar este informe no estaba disponible.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43BE16E2"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sidR="007D44E4">
      <w:rPr>
        <w:rFonts w:ascii="Book Antiqua" w:hAnsi="Book Antiqua"/>
        <w:b/>
        <w:sz w:val="20"/>
        <w:lang w:val="es-PR"/>
      </w:rPr>
      <w:t>l Trabajo y Asunto Laborales</w:t>
    </w:r>
  </w:p>
  <w:p w14:paraId="1F97640D" w14:textId="095B9934"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sidR="00257C58">
      <w:rPr>
        <w:rFonts w:ascii="Book Antiqua" w:hAnsi="Book Antiqua"/>
        <w:b/>
        <w:sz w:val="20"/>
        <w:lang w:val="es-PR"/>
      </w:rPr>
      <w:t>Positivo</w:t>
    </w:r>
  </w:p>
  <w:p w14:paraId="418D21AC" w14:textId="54684852"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257C58">
      <w:rPr>
        <w:rFonts w:ascii="Book Antiqua" w:hAnsi="Book Antiqua"/>
        <w:b/>
        <w:sz w:val="20"/>
        <w:lang w:val="es-PR"/>
      </w:rPr>
      <w:t>844</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D04F91"/>
    <w:multiLevelType w:val="hybridMultilevel"/>
    <w:tmpl w:val="48BCE550"/>
    <w:lvl w:ilvl="0" w:tplc="174AF5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C85DF9"/>
    <w:multiLevelType w:val="hybridMultilevel"/>
    <w:tmpl w:val="D9B0BE20"/>
    <w:lvl w:ilvl="0" w:tplc="763C3F1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6"/>
  </w:num>
  <w:num w:numId="2" w16cid:durableId="996879017">
    <w:abstractNumId w:val="17"/>
  </w:num>
  <w:num w:numId="3" w16cid:durableId="1363820785">
    <w:abstractNumId w:val="10"/>
  </w:num>
  <w:num w:numId="4" w16cid:durableId="303313110">
    <w:abstractNumId w:val="2"/>
  </w:num>
  <w:num w:numId="5" w16cid:durableId="874389364">
    <w:abstractNumId w:val="22"/>
  </w:num>
  <w:num w:numId="6" w16cid:durableId="1358460559">
    <w:abstractNumId w:val="6"/>
  </w:num>
  <w:num w:numId="7" w16cid:durableId="198127431">
    <w:abstractNumId w:val="12"/>
  </w:num>
  <w:num w:numId="8" w16cid:durableId="1751612478">
    <w:abstractNumId w:val="20"/>
  </w:num>
  <w:num w:numId="9" w16cid:durableId="392125813">
    <w:abstractNumId w:val="3"/>
  </w:num>
  <w:num w:numId="10" w16cid:durableId="688794570">
    <w:abstractNumId w:val="21"/>
  </w:num>
  <w:num w:numId="11" w16cid:durableId="591013037">
    <w:abstractNumId w:val="1"/>
  </w:num>
  <w:num w:numId="12" w16cid:durableId="40909517">
    <w:abstractNumId w:val="19"/>
  </w:num>
  <w:num w:numId="13" w16cid:durableId="138772109">
    <w:abstractNumId w:val="13"/>
  </w:num>
  <w:num w:numId="14" w16cid:durableId="2006399549">
    <w:abstractNumId w:val="23"/>
  </w:num>
  <w:num w:numId="15" w16cid:durableId="1322201008">
    <w:abstractNumId w:val="5"/>
  </w:num>
  <w:num w:numId="16" w16cid:durableId="499083648">
    <w:abstractNumId w:val="4"/>
  </w:num>
  <w:num w:numId="17" w16cid:durableId="838958967">
    <w:abstractNumId w:val="15"/>
  </w:num>
  <w:num w:numId="18" w16cid:durableId="210961959">
    <w:abstractNumId w:val="7"/>
  </w:num>
  <w:num w:numId="19" w16cid:durableId="2050110963">
    <w:abstractNumId w:val="18"/>
  </w:num>
  <w:num w:numId="20" w16cid:durableId="1232740073">
    <w:abstractNumId w:val="0"/>
  </w:num>
  <w:num w:numId="21" w16cid:durableId="993484377">
    <w:abstractNumId w:val="9"/>
  </w:num>
  <w:num w:numId="22" w16cid:durableId="440684007">
    <w:abstractNumId w:val="11"/>
  </w:num>
  <w:num w:numId="23" w16cid:durableId="274485611">
    <w:abstractNumId w:val="14"/>
  </w:num>
  <w:num w:numId="24" w16cid:durableId="19072543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127EC"/>
    <w:rsid w:val="00022A9E"/>
    <w:rsid w:val="00027A0E"/>
    <w:rsid w:val="0003731B"/>
    <w:rsid w:val="00040FE4"/>
    <w:rsid w:val="00050C79"/>
    <w:rsid w:val="00060FF8"/>
    <w:rsid w:val="00063100"/>
    <w:rsid w:val="00065570"/>
    <w:rsid w:val="00066E3A"/>
    <w:rsid w:val="000746D5"/>
    <w:rsid w:val="00077A90"/>
    <w:rsid w:val="00082612"/>
    <w:rsid w:val="0008578B"/>
    <w:rsid w:val="000867B6"/>
    <w:rsid w:val="00090545"/>
    <w:rsid w:val="000A4FAB"/>
    <w:rsid w:val="000A671F"/>
    <w:rsid w:val="000B28A3"/>
    <w:rsid w:val="000C1C3D"/>
    <w:rsid w:val="000C4470"/>
    <w:rsid w:val="000C4965"/>
    <w:rsid w:val="000D59B8"/>
    <w:rsid w:val="000E7F54"/>
    <w:rsid w:val="000F19A3"/>
    <w:rsid w:val="001036CE"/>
    <w:rsid w:val="00104C64"/>
    <w:rsid w:val="0010744E"/>
    <w:rsid w:val="0011496A"/>
    <w:rsid w:val="001223AA"/>
    <w:rsid w:val="001236A1"/>
    <w:rsid w:val="00140A28"/>
    <w:rsid w:val="00141E9A"/>
    <w:rsid w:val="00147BF2"/>
    <w:rsid w:val="00150C55"/>
    <w:rsid w:val="00157D83"/>
    <w:rsid w:val="00185E95"/>
    <w:rsid w:val="00190D17"/>
    <w:rsid w:val="001919F6"/>
    <w:rsid w:val="0019674E"/>
    <w:rsid w:val="001977A4"/>
    <w:rsid w:val="001A4C2B"/>
    <w:rsid w:val="001A6BF9"/>
    <w:rsid w:val="001B0938"/>
    <w:rsid w:val="001B0FF8"/>
    <w:rsid w:val="001C0C85"/>
    <w:rsid w:val="001C12C0"/>
    <w:rsid w:val="001D03DB"/>
    <w:rsid w:val="001D7A7B"/>
    <w:rsid w:val="001E0043"/>
    <w:rsid w:val="001E2EE8"/>
    <w:rsid w:val="001E56A7"/>
    <w:rsid w:val="001F6DD7"/>
    <w:rsid w:val="00201000"/>
    <w:rsid w:val="002057D6"/>
    <w:rsid w:val="002221AA"/>
    <w:rsid w:val="00233258"/>
    <w:rsid w:val="002375CB"/>
    <w:rsid w:val="00251EAD"/>
    <w:rsid w:val="002548B8"/>
    <w:rsid w:val="00257C58"/>
    <w:rsid w:val="002618D7"/>
    <w:rsid w:val="0027727B"/>
    <w:rsid w:val="00277C23"/>
    <w:rsid w:val="0028282F"/>
    <w:rsid w:val="00290180"/>
    <w:rsid w:val="00290737"/>
    <w:rsid w:val="002949EC"/>
    <w:rsid w:val="0029568E"/>
    <w:rsid w:val="0029599C"/>
    <w:rsid w:val="002A0C2B"/>
    <w:rsid w:val="002A6D67"/>
    <w:rsid w:val="002B4DBD"/>
    <w:rsid w:val="002D006E"/>
    <w:rsid w:val="002D0DC0"/>
    <w:rsid w:val="002D1053"/>
    <w:rsid w:val="002D12F9"/>
    <w:rsid w:val="002D7B0E"/>
    <w:rsid w:val="002F1E64"/>
    <w:rsid w:val="002F4C29"/>
    <w:rsid w:val="003007B4"/>
    <w:rsid w:val="0030733A"/>
    <w:rsid w:val="00325C6C"/>
    <w:rsid w:val="0033091C"/>
    <w:rsid w:val="00330C1C"/>
    <w:rsid w:val="0033517D"/>
    <w:rsid w:val="00337195"/>
    <w:rsid w:val="0033762A"/>
    <w:rsid w:val="00342195"/>
    <w:rsid w:val="0034592F"/>
    <w:rsid w:val="00346032"/>
    <w:rsid w:val="00346595"/>
    <w:rsid w:val="003648B8"/>
    <w:rsid w:val="00366580"/>
    <w:rsid w:val="00376315"/>
    <w:rsid w:val="00376DFB"/>
    <w:rsid w:val="00380AE8"/>
    <w:rsid w:val="00392175"/>
    <w:rsid w:val="00393121"/>
    <w:rsid w:val="003A4410"/>
    <w:rsid w:val="003B01A3"/>
    <w:rsid w:val="003B16BF"/>
    <w:rsid w:val="003C1E4B"/>
    <w:rsid w:val="003C2D21"/>
    <w:rsid w:val="003D01D6"/>
    <w:rsid w:val="003D0913"/>
    <w:rsid w:val="003D7D0C"/>
    <w:rsid w:val="003E1D69"/>
    <w:rsid w:val="003E23DC"/>
    <w:rsid w:val="003E2953"/>
    <w:rsid w:val="003E3A56"/>
    <w:rsid w:val="003E7F33"/>
    <w:rsid w:val="003F1A6D"/>
    <w:rsid w:val="003F27C7"/>
    <w:rsid w:val="003F727F"/>
    <w:rsid w:val="00402CA2"/>
    <w:rsid w:val="0040308A"/>
    <w:rsid w:val="00405BAC"/>
    <w:rsid w:val="00414C4D"/>
    <w:rsid w:val="00417AF3"/>
    <w:rsid w:val="004224E5"/>
    <w:rsid w:val="00426536"/>
    <w:rsid w:val="00431C14"/>
    <w:rsid w:val="0043433B"/>
    <w:rsid w:val="00441885"/>
    <w:rsid w:val="00441FB6"/>
    <w:rsid w:val="004424B4"/>
    <w:rsid w:val="00442993"/>
    <w:rsid w:val="0044665B"/>
    <w:rsid w:val="00465534"/>
    <w:rsid w:val="004770CF"/>
    <w:rsid w:val="00477B35"/>
    <w:rsid w:val="00485200"/>
    <w:rsid w:val="0048779C"/>
    <w:rsid w:val="00491727"/>
    <w:rsid w:val="00491C0F"/>
    <w:rsid w:val="004941AC"/>
    <w:rsid w:val="004A659C"/>
    <w:rsid w:val="004B2368"/>
    <w:rsid w:val="004B7C0B"/>
    <w:rsid w:val="004D1649"/>
    <w:rsid w:val="004D513B"/>
    <w:rsid w:val="004E00C4"/>
    <w:rsid w:val="004E5AFE"/>
    <w:rsid w:val="004F629E"/>
    <w:rsid w:val="00500CC7"/>
    <w:rsid w:val="005027AD"/>
    <w:rsid w:val="00502E18"/>
    <w:rsid w:val="00503F3C"/>
    <w:rsid w:val="00504E9B"/>
    <w:rsid w:val="00506D0F"/>
    <w:rsid w:val="00516A65"/>
    <w:rsid w:val="0052399A"/>
    <w:rsid w:val="005414EF"/>
    <w:rsid w:val="00551362"/>
    <w:rsid w:val="005532A3"/>
    <w:rsid w:val="00555018"/>
    <w:rsid w:val="00561187"/>
    <w:rsid w:val="00562EFE"/>
    <w:rsid w:val="00565E86"/>
    <w:rsid w:val="005718E8"/>
    <w:rsid w:val="00572735"/>
    <w:rsid w:val="00577E77"/>
    <w:rsid w:val="00581921"/>
    <w:rsid w:val="00581ECC"/>
    <w:rsid w:val="00597E80"/>
    <w:rsid w:val="005A749E"/>
    <w:rsid w:val="005B1F1A"/>
    <w:rsid w:val="005B6660"/>
    <w:rsid w:val="005D3D5C"/>
    <w:rsid w:val="005E0522"/>
    <w:rsid w:val="005E2D25"/>
    <w:rsid w:val="005F3BF6"/>
    <w:rsid w:val="005F67C5"/>
    <w:rsid w:val="00603D56"/>
    <w:rsid w:val="006045E0"/>
    <w:rsid w:val="00604E08"/>
    <w:rsid w:val="00610112"/>
    <w:rsid w:val="00615919"/>
    <w:rsid w:val="00616270"/>
    <w:rsid w:val="0062738E"/>
    <w:rsid w:val="00627FF4"/>
    <w:rsid w:val="00634C00"/>
    <w:rsid w:val="0064060E"/>
    <w:rsid w:val="00640F83"/>
    <w:rsid w:val="006456CC"/>
    <w:rsid w:val="00646C64"/>
    <w:rsid w:val="0065169F"/>
    <w:rsid w:val="00657A3B"/>
    <w:rsid w:val="00660503"/>
    <w:rsid w:val="00660DEA"/>
    <w:rsid w:val="00670B29"/>
    <w:rsid w:val="00671884"/>
    <w:rsid w:val="00683D71"/>
    <w:rsid w:val="00686237"/>
    <w:rsid w:val="00690E19"/>
    <w:rsid w:val="0069371B"/>
    <w:rsid w:val="0069716C"/>
    <w:rsid w:val="006A098B"/>
    <w:rsid w:val="006A1550"/>
    <w:rsid w:val="006A3010"/>
    <w:rsid w:val="006A3B82"/>
    <w:rsid w:val="006C3E0A"/>
    <w:rsid w:val="006C3E43"/>
    <w:rsid w:val="006D74EC"/>
    <w:rsid w:val="006D7EDB"/>
    <w:rsid w:val="006E14B4"/>
    <w:rsid w:val="006E4D94"/>
    <w:rsid w:val="006F173C"/>
    <w:rsid w:val="006F2572"/>
    <w:rsid w:val="006F5C9D"/>
    <w:rsid w:val="006F6F45"/>
    <w:rsid w:val="00703972"/>
    <w:rsid w:val="00707CB9"/>
    <w:rsid w:val="00711370"/>
    <w:rsid w:val="00725EBC"/>
    <w:rsid w:val="00726A1E"/>
    <w:rsid w:val="00730DB1"/>
    <w:rsid w:val="00731286"/>
    <w:rsid w:val="00740F1E"/>
    <w:rsid w:val="0074531D"/>
    <w:rsid w:val="007453CD"/>
    <w:rsid w:val="0074550E"/>
    <w:rsid w:val="007476D4"/>
    <w:rsid w:val="00750189"/>
    <w:rsid w:val="00752D3C"/>
    <w:rsid w:val="00753A00"/>
    <w:rsid w:val="00755CBC"/>
    <w:rsid w:val="007677D7"/>
    <w:rsid w:val="007721AD"/>
    <w:rsid w:val="00785266"/>
    <w:rsid w:val="00792EBB"/>
    <w:rsid w:val="00795520"/>
    <w:rsid w:val="0079639C"/>
    <w:rsid w:val="007A0B8D"/>
    <w:rsid w:val="007A6499"/>
    <w:rsid w:val="007A6992"/>
    <w:rsid w:val="007A6F4D"/>
    <w:rsid w:val="007B0550"/>
    <w:rsid w:val="007C5DD4"/>
    <w:rsid w:val="007D2039"/>
    <w:rsid w:val="007D44E4"/>
    <w:rsid w:val="007F0F99"/>
    <w:rsid w:val="007F3057"/>
    <w:rsid w:val="007F4155"/>
    <w:rsid w:val="007F46F0"/>
    <w:rsid w:val="007F4D2B"/>
    <w:rsid w:val="0080177C"/>
    <w:rsid w:val="008059B1"/>
    <w:rsid w:val="0080637C"/>
    <w:rsid w:val="00815062"/>
    <w:rsid w:val="00823679"/>
    <w:rsid w:val="00824F94"/>
    <w:rsid w:val="0082542F"/>
    <w:rsid w:val="008371ED"/>
    <w:rsid w:val="00847610"/>
    <w:rsid w:val="008517CF"/>
    <w:rsid w:val="00852716"/>
    <w:rsid w:val="008536D1"/>
    <w:rsid w:val="008617E2"/>
    <w:rsid w:val="0086325E"/>
    <w:rsid w:val="008663F2"/>
    <w:rsid w:val="00867577"/>
    <w:rsid w:val="00872C3D"/>
    <w:rsid w:val="008731C3"/>
    <w:rsid w:val="00873481"/>
    <w:rsid w:val="00875D0B"/>
    <w:rsid w:val="0087699D"/>
    <w:rsid w:val="00877813"/>
    <w:rsid w:val="0088333D"/>
    <w:rsid w:val="00883C0D"/>
    <w:rsid w:val="00884074"/>
    <w:rsid w:val="00892942"/>
    <w:rsid w:val="00893989"/>
    <w:rsid w:val="008A2A15"/>
    <w:rsid w:val="008A37EC"/>
    <w:rsid w:val="008B01AC"/>
    <w:rsid w:val="008B429C"/>
    <w:rsid w:val="008B79A1"/>
    <w:rsid w:val="008D0A5E"/>
    <w:rsid w:val="008D1BAF"/>
    <w:rsid w:val="008D1DB5"/>
    <w:rsid w:val="008D4ABA"/>
    <w:rsid w:val="008E11CC"/>
    <w:rsid w:val="008E29CD"/>
    <w:rsid w:val="008E6C73"/>
    <w:rsid w:val="008F281B"/>
    <w:rsid w:val="008F3069"/>
    <w:rsid w:val="008F3DDD"/>
    <w:rsid w:val="008F4E1D"/>
    <w:rsid w:val="008F71D8"/>
    <w:rsid w:val="00907B34"/>
    <w:rsid w:val="0091120E"/>
    <w:rsid w:val="00920D9C"/>
    <w:rsid w:val="00925C0B"/>
    <w:rsid w:val="00926C56"/>
    <w:rsid w:val="00931EA0"/>
    <w:rsid w:val="00964006"/>
    <w:rsid w:val="009647F8"/>
    <w:rsid w:val="00973CE5"/>
    <w:rsid w:val="00974382"/>
    <w:rsid w:val="00986798"/>
    <w:rsid w:val="00986EE7"/>
    <w:rsid w:val="00987D90"/>
    <w:rsid w:val="00991228"/>
    <w:rsid w:val="00993159"/>
    <w:rsid w:val="00993A4A"/>
    <w:rsid w:val="009966A7"/>
    <w:rsid w:val="009A08BB"/>
    <w:rsid w:val="009A40BF"/>
    <w:rsid w:val="009B3FB4"/>
    <w:rsid w:val="009C0408"/>
    <w:rsid w:val="009C132F"/>
    <w:rsid w:val="009C304E"/>
    <w:rsid w:val="009C3FBC"/>
    <w:rsid w:val="009C7AD6"/>
    <w:rsid w:val="009C7CFB"/>
    <w:rsid w:val="009C7FC6"/>
    <w:rsid w:val="009D6FD8"/>
    <w:rsid w:val="009E14F4"/>
    <w:rsid w:val="009E3D79"/>
    <w:rsid w:val="009F1EE7"/>
    <w:rsid w:val="009F3AEE"/>
    <w:rsid w:val="009F6796"/>
    <w:rsid w:val="00A00844"/>
    <w:rsid w:val="00A23DD3"/>
    <w:rsid w:val="00A27969"/>
    <w:rsid w:val="00A27F80"/>
    <w:rsid w:val="00A30C0A"/>
    <w:rsid w:val="00A31456"/>
    <w:rsid w:val="00A426A2"/>
    <w:rsid w:val="00A43947"/>
    <w:rsid w:val="00A47CF0"/>
    <w:rsid w:val="00A66CF3"/>
    <w:rsid w:val="00A77674"/>
    <w:rsid w:val="00A82809"/>
    <w:rsid w:val="00A86164"/>
    <w:rsid w:val="00A96E04"/>
    <w:rsid w:val="00AA5521"/>
    <w:rsid w:val="00AA6704"/>
    <w:rsid w:val="00AA7044"/>
    <w:rsid w:val="00AA752E"/>
    <w:rsid w:val="00AB3915"/>
    <w:rsid w:val="00AB5DB4"/>
    <w:rsid w:val="00AB6058"/>
    <w:rsid w:val="00AD009F"/>
    <w:rsid w:val="00AD2D77"/>
    <w:rsid w:val="00AE2FE8"/>
    <w:rsid w:val="00AE50F2"/>
    <w:rsid w:val="00AF2B6E"/>
    <w:rsid w:val="00B0028A"/>
    <w:rsid w:val="00B15FE6"/>
    <w:rsid w:val="00B1720E"/>
    <w:rsid w:val="00B23C1F"/>
    <w:rsid w:val="00B2443A"/>
    <w:rsid w:val="00B24750"/>
    <w:rsid w:val="00B30D95"/>
    <w:rsid w:val="00B31342"/>
    <w:rsid w:val="00B44A73"/>
    <w:rsid w:val="00B45C79"/>
    <w:rsid w:val="00B51BF0"/>
    <w:rsid w:val="00B55416"/>
    <w:rsid w:val="00B7319D"/>
    <w:rsid w:val="00B80F89"/>
    <w:rsid w:val="00B82A58"/>
    <w:rsid w:val="00B841C6"/>
    <w:rsid w:val="00BA5706"/>
    <w:rsid w:val="00BA6610"/>
    <w:rsid w:val="00BD078C"/>
    <w:rsid w:val="00BD6D44"/>
    <w:rsid w:val="00BF160B"/>
    <w:rsid w:val="00BF25CF"/>
    <w:rsid w:val="00C0637B"/>
    <w:rsid w:val="00C11220"/>
    <w:rsid w:val="00C14A21"/>
    <w:rsid w:val="00C1596C"/>
    <w:rsid w:val="00C20C6A"/>
    <w:rsid w:val="00C22967"/>
    <w:rsid w:val="00C2390A"/>
    <w:rsid w:val="00C25C7B"/>
    <w:rsid w:val="00C2602B"/>
    <w:rsid w:val="00C32414"/>
    <w:rsid w:val="00C41234"/>
    <w:rsid w:val="00C55D90"/>
    <w:rsid w:val="00C80616"/>
    <w:rsid w:val="00C81F4D"/>
    <w:rsid w:val="00C875C4"/>
    <w:rsid w:val="00C917EB"/>
    <w:rsid w:val="00C91D3A"/>
    <w:rsid w:val="00CA4006"/>
    <w:rsid w:val="00CA779D"/>
    <w:rsid w:val="00CB2F95"/>
    <w:rsid w:val="00CB4105"/>
    <w:rsid w:val="00CB4CB9"/>
    <w:rsid w:val="00CB7175"/>
    <w:rsid w:val="00CB7C9D"/>
    <w:rsid w:val="00CC088C"/>
    <w:rsid w:val="00CC145C"/>
    <w:rsid w:val="00CC17D5"/>
    <w:rsid w:val="00CC37EC"/>
    <w:rsid w:val="00CD0F3E"/>
    <w:rsid w:val="00CD795E"/>
    <w:rsid w:val="00CE14E0"/>
    <w:rsid w:val="00CE154C"/>
    <w:rsid w:val="00CE20CC"/>
    <w:rsid w:val="00CE6503"/>
    <w:rsid w:val="00CF05E6"/>
    <w:rsid w:val="00CF25AC"/>
    <w:rsid w:val="00CF2D32"/>
    <w:rsid w:val="00D0144B"/>
    <w:rsid w:val="00D11130"/>
    <w:rsid w:val="00D11503"/>
    <w:rsid w:val="00D12FA5"/>
    <w:rsid w:val="00D14654"/>
    <w:rsid w:val="00D17736"/>
    <w:rsid w:val="00D2409B"/>
    <w:rsid w:val="00D2448F"/>
    <w:rsid w:val="00D3090A"/>
    <w:rsid w:val="00D431D0"/>
    <w:rsid w:val="00D4768B"/>
    <w:rsid w:val="00D522C4"/>
    <w:rsid w:val="00D60B52"/>
    <w:rsid w:val="00D60DF7"/>
    <w:rsid w:val="00D63234"/>
    <w:rsid w:val="00D63DFA"/>
    <w:rsid w:val="00D64371"/>
    <w:rsid w:val="00D661D1"/>
    <w:rsid w:val="00D744FB"/>
    <w:rsid w:val="00D843CB"/>
    <w:rsid w:val="00D84787"/>
    <w:rsid w:val="00D97A55"/>
    <w:rsid w:val="00DA78FC"/>
    <w:rsid w:val="00DB60D3"/>
    <w:rsid w:val="00DB7B0A"/>
    <w:rsid w:val="00DC070F"/>
    <w:rsid w:val="00DC0B09"/>
    <w:rsid w:val="00DC5471"/>
    <w:rsid w:val="00DD0559"/>
    <w:rsid w:val="00DD4394"/>
    <w:rsid w:val="00DD7780"/>
    <w:rsid w:val="00DE29FB"/>
    <w:rsid w:val="00DE3EC3"/>
    <w:rsid w:val="00DE549B"/>
    <w:rsid w:val="00DE64B2"/>
    <w:rsid w:val="00DF2B2D"/>
    <w:rsid w:val="00DF4433"/>
    <w:rsid w:val="00DF51E5"/>
    <w:rsid w:val="00DF623B"/>
    <w:rsid w:val="00E00281"/>
    <w:rsid w:val="00E011F4"/>
    <w:rsid w:val="00E0639A"/>
    <w:rsid w:val="00E20080"/>
    <w:rsid w:val="00E25B40"/>
    <w:rsid w:val="00E26CDC"/>
    <w:rsid w:val="00E37C60"/>
    <w:rsid w:val="00E4167A"/>
    <w:rsid w:val="00E442B2"/>
    <w:rsid w:val="00E47932"/>
    <w:rsid w:val="00E51678"/>
    <w:rsid w:val="00E66D0E"/>
    <w:rsid w:val="00E72ADB"/>
    <w:rsid w:val="00E8453D"/>
    <w:rsid w:val="00E84D1F"/>
    <w:rsid w:val="00E85143"/>
    <w:rsid w:val="00E875B5"/>
    <w:rsid w:val="00E919F3"/>
    <w:rsid w:val="00E94489"/>
    <w:rsid w:val="00EA0336"/>
    <w:rsid w:val="00EA3F62"/>
    <w:rsid w:val="00EA42E1"/>
    <w:rsid w:val="00EA48E7"/>
    <w:rsid w:val="00EB26D6"/>
    <w:rsid w:val="00EC4AC9"/>
    <w:rsid w:val="00EC6B00"/>
    <w:rsid w:val="00ED30AA"/>
    <w:rsid w:val="00ED38AE"/>
    <w:rsid w:val="00ED3F35"/>
    <w:rsid w:val="00EE09B7"/>
    <w:rsid w:val="00EE0CD8"/>
    <w:rsid w:val="00EE2267"/>
    <w:rsid w:val="00EE55F8"/>
    <w:rsid w:val="00EE669C"/>
    <w:rsid w:val="00EE7946"/>
    <w:rsid w:val="00EF11D6"/>
    <w:rsid w:val="00EF4598"/>
    <w:rsid w:val="00EF4941"/>
    <w:rsid w:val="00F0414D"/>
    <w:rsid w:val="00F054D6"/>
    <w:rsid w:val="00F235EC"/>
    <w:rsid w:val="00F367B5"/>
    <w:rsid w:val="00F4364D"/>
    <w:rsid w:val="00F463B1"/>
    <w:rsid w:val="00F466F9"/>
    <w:rsid w:val="00F54DF0"/>
    <w:rsid w:val="00F6086C"/>
    <w:rsid w:val="00F71400"/>
    <w:rsid w:val="00F76EB1"/>
    <w:rsid w:val="00F8350F"/>
    <w:rsid w:val="00F83D10"/>
    <w:rsid w:val="00F85731"/>
    <w:rsid w:val="00F937D1"/>
    <w:rsid w:val="00FB5B25"/>
    <w:rsid w:val="00FC6F2F"/>
    <w:rsid w:val="00FD13FD"/>
    <w:rsid w:val="00FD1A3E"/>
    <w:rsid w:val="00FE4BE8"/>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2.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3.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4.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6.xml><?xml version="1.0" encoding="utf-8"?>
<ds:datastoreItem xmlns:ds="http://schemas.openxmlformats.org/officeDocument/2006/customXml" ds:itemID="{0922093A-62E4-406B-8101-44A83490B1C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1522</Words>
  <Characters>8677</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2026-02-03T19:31:00Z</cp:lastPrinted>
  <dcterms:created xsi:type="dcterms:W3CDTF">2026-06-18T17:28:00Z</dcterms:created>
  <dcterms:modified xsi:type="dcterms:W3CDTF">2026-06-18T17:28:00Z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