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AD537" w14:textId="77777777" w:rsidR="00587191" w:rsidRDefault="00587191" w:rsidP="00587191">
      <w:pPr>
        <w:spacing w:after="0" w:line="240" w:lineRule="auto"/>
        <w:rPr>
          <w:rFonts w:ascii="Book Antiqua" w:eastAsia="Times New Roman" w:hAnsi="Book Antiqua"/>
          <w:b/>
          <w:bCs/>
          <w:color w:val="0D0D0D"/>
          <w:sz w:val="24"/>
          <w:szCs w:val="24"/>
          <w:lang w:val="es-ES_tradnl"/>
        </w:rPr>
      </w:pPr>
      <w:r w:rsidRPr="00587191">
        <w:rPr>
          <w:rFonts w:ascii="Book Antiqua" w:eastAsia="Times New Roman" w:hAnsi="Book Antiqua"/>
          <w:b/>
          <w:bCs/>
          <w:sz w:val="24"/>
          <w:szCs w:val="24"/>
          <w:lang w:val="es-PR"/>
        </w:rPr>
        <w:t>(</w:t>
      </w:r>
      <w:r w:rsidR="005F5320" w:rsidRPr="00587191">
        <w:rPr>
          <w:rFonts w:ascii="Book Antiqua" w:eastAsia="Times New Roman" w:hAnsi="Book Antiqua"/>
          <w:b/>
          <w:bCs/>
          <w:color w:val="0D0D0D"/>
          <w:sz w:val="24"/>
          <w:szCs w:val="24"/>
          <w:lang w:val="es-ES_tradnl"/>
        </w:rPr>
        <w:t>P</w:t>
      </w:r>
      <w:r w:rsidR="00C22BBE" w:rsidRPr="00587191">
        <w:rPr>
          <w:rFonts w:ascii="Book Antiqua" w:eastAsia="Times New Roman" w:hAnsi="Book Antiqua"/>
          <w:b/>
          <w:bCs/>
          <w:color w:val="0D0D0D"/>
          <w:sz w:val="24"/>
          <w:szCs w:val="24"/>
          <w:lang w:val="es-ES_tradnl"/>
        </w:rPr>
        <w:t xml:space="preserve">. de la C. </w:t>
      </w:r>
      <w:r w:rsidR="00B66413" w:rsidRPr="00587191">
        <w:rPr>
          <w:rFonts w:ascii="Book Antiqua" w:eastAsia="Times New Roman" w:hAnsi="Book Antiqua"/>
          <w:b/>
          <w:bCs/>
          <w:color w:val="0D0D0D"/>
          <w:sz w:val="24"/>
          <w:szCs w:val="24"/>
          <w:lang w:val="es-ES_tradnl"/>
        </w:rPr>
        <w:t>845</w:t>
      </w:r>
      <w:r w:rsidRPr="00587191">
        <w:rPr>
          <w:rFonts w:ascii="Book Antiqua" w:eastAsia="Times New Roman" w:hAnsi="Book Antiqua"/>
          <w:b/>
          <w:bCs/>
          <w:color w:val="0D0D0D"/>
          <w:sz w:val="24"/>
          <w:szCs w:val="24"/>
          <w:lang w:val="es-ES_tradnl"/>
        </w:rPr>
        <w:t>)</w:t>
      </w:r>
    </w:p>
    <w:p w14:paraId="447FE60B" w14:textId="77777777" w:rsidR="00587191" w:rsidRDefault="00587191" w:rsidP="00587191">
      <w:pPr>
        <w:spacing w:after="0" w:line="240" w:lineRule="auto"/>
        <w:rPr>
          <w:rFonts w:ascii="Book Antiqua" w:eastAsia="Times New Roman" w:hAnsi="Book Antiqua"/>
          <w:b/>
          <w:bCs/>
          <w:color w:val="0D0D0D"/>
          <w:sz w:val="24"/>
          <w:szCs w:val="24"/>
          <w:lang w:val="es-ES_tradnl"/>
        </w:rPr>
      </w:pPr>
    </w:p>
    <w:p w14:paraId="377E0DD5" w14:textId="28C263EB" w:rsidR="00C22BBE" w:rsidRPr="00587191" w:rsidRDefault="009C0285" w:rsidP="00587191">
      <w:pPr>
        <w:spacing w:after="0" w:line="240" w:lineRule="auto"/>
        <w:jc w:val="center"/>
        <w:rPr>
          <w:rFonts w:ascii="Book Antiqua" w:eastAsia="Times New Roman" w:hAnsi="Book Antiqua"/>
          <w:b/>
          <w:bCs/>
          <w:color w:val="0D0D0D"/>
          <w:sz w:val="24"/>
          <w:szCs w:val="24"/>
          <w:lang w:val="es-ES_tradnl"/>
        </w:rPr>
      </w:pPr>
      <w:r w:rsidRPr="002E6BA3">
        <w:rPr>
          <w:rFonts w:ascii="Book Antiqua" w:eastAsia="Times New Roman" w:hAnsi="Book Antiqua"/>
          <w:b/>
          <w:color w:val="0D0D0D"/>
          <w:sz w:val="28"/>
          <w:szCs w:val="28"/>
          <w:lang w:val="es-ES_tradnl"/>
        </w:rPr>
        <w:t>LEY</w:t>
      </w:r>
    </w:p>
    <w:p w14:paraId="79E58675" w14:textId="77777777" w:rsidR="00C22BBE" w:rsidRDefault="00C22BBE" w:rsidP="002E6BA3">
      <w:pPr>
        <w:spacing w:after="0" w:line="240" w:lineRule="auto"/>
        <w:jc w:val="center"/>
        <w:rPr>
          <w:rFonts w:ascii="Book Antiqua" w:eastAsia="Times New Roman" w:hAnsi="Book Antiqua"/>
          <w:b/>
          <w:color w:val="0D0D0D"/>
          <w:sz w:val="24"/>
          <w:szCs w:val="24"/>
          <w:lang w:val="es-ES_tradnl"/>
        </w:rPr>
      </w:pPr>
    </w:p>
    <w:p w14:paraId="3DB34CB9" w14:textId="77777777" w:rsidR="00033EA4" w:rsidRPr="002E6BA3" w:rsidRDefault="00033EA4" w:rsidP="002E6BA3">
      <w:pPr>
        <w:spacing w:after="0" w:line="240" w:lineRule="auto"/>
        <w:jc w:val="center"/>
        <w:rPr>
          <w:rFonts w:ascii="Book Antiqua" w:eastAsia="Times New Roman" w:hAnsi="Book Antiqua"/>
          <w:b/>
          <w:color w:val="0D0D0D"/>
          <w:sz w:val="24"/>
          <w:szCs w:val="24"/>
          <w:lang w:val="es-ES_tradnl"/>
        </w:rPr>
      </w:pPr>
    </w:p>
    <w:p w14:paraId="75642DC9" w14:textId="3CCC90D0" w:rsidR="00C22BBE" w:rsidRPr="002E6BA3" w:rsidRDefault="00C22BBE" w:rsidP="002E6BA3">
      <w:pPr>
        <w:widowControl w:val="0"/>
        <w:overflowPunct w:val="0"/>
        <w:autoSpaceDE w:val="0"/>
        <w:autoSpaceDN w:val="0"/>
        <w:adjustRightInd w:val="0"/>
        <w:spacing w:after="0" w:line="240" w:lineRule="auto"/>
        <w:ind w:left="720" w:hanging="720"/>
        <w:jc w:val="both"/>
        <w:rPr>
          <w:rFonts w:ascii="Book Antiqua" w:eastAsia="Times New Roman" w:hAnsi="Book Antiqua" w:cs="AngsanaUPC"/>
          <w:color w:val="0D0D0D"/>
          <w:sz w:val="24"/>
          <w:szCs w:val="24"/>
          <w:lang w:val="es-ES_tradnl"/>
        </w:rPr>
      </w:pPr>
      <w:bookmarkStart w:id="0" w:name="_Hlk119394139"/>
      <w:bookmarkStart w:id="1" w:name="_Hlk118986562"/>
      <w:r w:rsidRPr="002E6BA3">
        <w:rPr>
          <w:rFonts w:ascii="Book Antiqua" w:eastAsia="Times New Roman" w:hAnsi="Book Antiqua" w:cs="AngsanaUPC"/>
          <w:color w:val="0D0D0D"/>
          <w:sz w:val="24"/>
          <w:szCs w:val="24"/>
          <w:lang w:val="es-ES_tradnl"/>
        </w:rPr>
        <w:t>Para</w:t>
      </w:r>
      <w:bookmarkStart w:id="2" w:name="_Hlk117676752"/>
      <w:r w:rsidR="00025EB1" w:rsidRPr="002E6BA3">
        <w:rPr>
          <w:rFonts w:ascii="Book Antiqua" w:eastAsia="Times New Roman" w:hAnsi="Book Antiqua" w:cs="AngsanaUPC"/>
          <w:color w:val="0D0D0D"/>
          <w:sz w:val="24"/>
          <w:szCs w:val="24"/>
          <w:lang w:val="es-ES_tradnl"/>
        </w:rPr>
        <w:t xml:space="preserve"> </w:t>
      </w:r>
      <w:r w:rsidR="00025EB1" w:rsidRPr="002E6BA3">
        <w:rPr>
          <w:rFonts w:ascii="Book Antiqua" w:eastAsia="MS Mincho" w:hAnsi="Book Antiqua"/>
          <w:sz w:val="24"/>
          <w:szCs w:val="24"/>
          <w:lang w:val="es-PR"/>
        </w:rPr>
        <w:t>declara</w:t>
      </w:r>
      <w:r w:rsidR="00B05136" w:rsidRPr="002E6BA3">
        <w:rPr>
          <w:rFonts w:ascii="Book Antiqua" w:eastAsia="MS Mincho" w:hAnsi="Book Antiqua"/>
          <w:sz w:val="24"/>
          <w:szCs w:val="24"/>
          <w:lang w:val="es-PR"/>
        </w:rPr>
        <w:t>r</w:t>
      </w:r>
      <w:r w:rsidR="00025EB1" w:rsidRPr="002E6BA3">
        <w:rPr>
          <w:rFonts w:ascii="Book Antiqua" w:eastAsia="MS Mincho" w:hAnsi="Book Antiqua"/>
          <w:sz w:val="24"/>
          <w:szCs w:val="24"/>
          <w:lang w:val="es-PR"/>
        </w:rPr>
        <w:t xml:space="preserve"> el mes de junio de cada año como el “Mes para Promover la Donación de Sangre</w:t>
      </w:r>
      <w:r w:rsidR="00264213" w:rsidRPr="002E6BA3">
        <w:rPr>
          <w:rFonts w:ascii="Book Antiqua" w:eastAsia="MS Mincho" w:hAnsi="Book Antiqua"/>
          <w:sz w:val="24"/>
          <w:szCs w:val="24"/>
          <w:lang w:val="es-PR"/>
        </w:rPr>
        <w:t xml:space="preserve"> en Puerto Rico</w:t>
      </w:r>
      <w:r w:rsidR="00025EB1" w:rsidRPr="002E6BA3">
        <w:rPr>
          <w:rFonts w:ascii="Book Antiqua" w:eastAsia="MS Mincho" w:hAnsi="Book Antiqua"/>
          <w:sz w:val="24"/>
          <w:szCs w:val="24"/>
          <w:lang w:val="es-PR"/>
        </w:rPr>
        <w:t>”</w:t>
      </w:r>
      <w:r w:rsidR="00455145" w:rsidRPr="002E6BA3">
        <w:rPr>
          <w:rFonts w:ascii="Book Antiqua" w:eastAsia="Times New Roman" w:hAnsi="Book Antiqua" w:cs="AngsanaUPC"/>
          <w:color w:val="0D0D0D"/>
          <w:sz w:val="24"/>
          <w:szCs w:val="24"/>
          <w:lang w:val="es-ES_tradnl"/>
        </w:rPr>
        <w:t>;</w:t>
      </w:r>
      <w:r w:rsidRPr="002E6BA3">
        <w:rPr>
          <w:rFonts w:ascii="Book Antiqua" w:eastAsia="Times New Roman" w:hAnsi="Book Antiqua" w:cs="AngsanaUPC"/>
          <w:color w:val="0D0D0D"/>
          <w:sz w:val="24"/>
          <w:szCs w:val="24"/>
          <w:lang w:val="es-ES_tradnl"/>
        </w:rPr>
        <w:t xml:space="preserve"> y para otros fines relacionados.</w:t>
      </w:r>
    </w:p>
    <w:bookmarkEnd w:id="0"/>
    <w:bookmarkEnd w:id="1"/>
    <w:bookmarkEnd w:id="2"/>
    <w:p w14:paraId="1F3D7ED1" w14:textId="77777777" w:rsidR="00C22BBE" w:rsidRPr="002E6BA3" w:rsidRDefault="00C22BBE" w:rsidP="002E6BA3">
      <w:pPr>
        <w:spacing w:after="0" w:line="240" w:lineRule="auto"/>
        <w:rPr>
          <w:rFonts w:ascii="Book Antiqua" w:eastAsia="Times New Roman" w:hAnsi="Book Antiqua"/>
          <w:color w:val="0D0D0D"/>
          <w:sz w:val="24"/>
          <w:szCs w:val="24"/>
          <w:lang w:val="es-ES_tradnl"/>
        </w:rPr>
      </w:pPr>
    </w:p>
    <w:p w14:paraId="1536E913" w14:textId="77777777" w:rsidR="00C22BBE" w:rsidRPr="002E6BA3" w:rsidRDefault="00C22BBE" w:rsidP="002E6BA3">
      <w:pPr>
        <w:spacing w:after="0" w:line="240" w:lineRule="auto"/>
        <w:jc w:val="center"/>
        <w:rPr>
          <w:rFonts w:ascii="Book Antiqua" w:eastAsia="Times New Roman" w:hAnsi="Book Antiqua"/>
          <w:color w:val="0D0D0D"/>
          <w:sz w:val="24"/>
          <w:szCs w:val="24"/>
          <w:lang w:val="es-ES_tradnl"/>
        </w:rPr>
      </w:pPr>
      <w:r w:rsidRPr="002E6BA3">
        <w:rPr>
          <w:rFonts w:ascii="Book Antiqua" w:eastAsia="Times New Roman" w:hAnsi="Book Antiqua"/>
          <w:color w:val="0D0D0D"/>
          <w:sz w:val="24"/>
          <w:szCs w:val="24"/>
          <w:lang w:val="es-ES_tradnl"/>
        </w:rPr>
        <w:t>EXPOSICIÓN DE MOTIVOS</w:t>
      </w:r>
    </w:p>
    <w:p w14:paraId="76984CE0" w14:textId="77777777" w:rsidR="00C22BBE" w:rsidRPr="002E6BA3" w:rsidRDefault="00C22BBE" w:rsidP="002E6BA3">
      <w:pPr>
        <w:spacing w:after="0" w:line="240" w:lineRule="auto"/>
        <w:jc w:val="center"/>
        <w:rPr>
          <w:rFonts w:ascii="Book Antiqua" w:eastAsia="Times New Roman" w:hAnsi="Book Antiqua"/>
          <w:color w:val="0D0D0D"/>
          <w:sz w:val="24"/>
          <w:szCs w:val="24"/>
          <w:lang w:val="es-ES_tradnl"/>
        </w:rPr>
      </w:pPr>
    </w:p>
    <w:p w14:paraId="2B2AB6D3" w14:textId="7D1466F6" w:rsidR="000F6FE4" w:rsidRPr="002E6BA3" w:rsidRDefault="000F6FE4" w:rsidP="002E6BA3">
      <w:pPr>
        <w:spacing w:after="0" w:line="240" w:lineRule="auto"/>
        <w:ind w:firstLine="72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 xml:space="preserve">Millones de pacientes en todo el mundo dependen de las transfusiones de sangre cada año.  </w:t>
      </w:r>
      <w:r w:rsidR="00201498" w:rsidRPr="002E6BA3">
        <w:rPr>
          <w:rFonts w:ascii="Book Antiqua" w:eastAsia="Times New Roman" w:hAnsi="Book Antiqua" w:cs="AngsanaUPC"/>
          <w:color w:val="0D0D0D"/>
          <w:sz w:val="24"/>
          <w:szCs w:val="24"/>
          <w:lang w:val="es-ES"/>
        </w:rPr>
        <w:t>En</w:t>
      </w:r>
      <w:r w:rsidRPr="002E6BA3">
        <w:rPr>
          <w:rFonts w:ascii="Book Antiqua" w:eastAsia="Times New Roman" w:hAnsi="Book Antiqua" w:cs="AngsanaUPC"/>
          <w:color w:val="0D0D0D"/>
          <w:sz w:val="24"/>
          <w:szCs w:val="24"/>
          <w:lang w:val="es-ES"/>
        </w:rPr>
        <w:t xml:space="preserve"> Puerto Rico</w:t>
      </w:r>
      <w:r w:rsidR="00201498" w:rsidRPr="002E6BA3">
        <w:rPr>
          <w:rFonts w:ascii="Book Antiqua" w:eastAsia="Times New Roman" w:hAnsi="Book Antiqua" w:cs="AngsanaUPC"/>
          <w:color w:val="0D0D0D"/>
          <w:sz w:val="24"/>
          <w:szCs w:val="24"/>
          <w:lang w:val="es-ES"/>
        </w:rPr>
        <w:t>, anualmente,</w:t>
      </w:r>
      <w:r w:rsidRPr="002E6BA3">
        <w:rPr>
          <w:rFonts w:ascii="Book Antiqua" w:eastAsia="Times New Roman" w:hAnsi="Book Antiqua" w:cs="AngsanaUPC"/>
          <w:color w:val="0D0D0D"/>
          <w:sz w:val="24"/>
          <w:szCs w:val="24"/>
          <w:lang w:val="es-ES"/>
        </w:rPr>
        <w:t xml:space="preserve"> se necesitan aproximadamente 146,000 unidades de sangre, y una sola transfusión puede requerir hasta 3 unidades de sangre. La sangre no se puede fabricar artificialmente.  La única forma de obtenerla es a través de donaciones voluntarias de personas saludables. Además, la sangre tiene una vida útil limitada y, por tanto, se necesita de forma constante. Donar sangre regularmente es una forma simple y efectiva de contribuir a salvar vidas y marcar una diferencia significativa en la comunidad.</w:t>
      </w:r>
    </w:p>
    <w:p w14:paraId="2C30EB2B" w14:textId="77777777" w:rsidR="00A73505" w:rsidRPr="002E6BA3" w:rsidRDefault="00A73505" w:rsidP="002E6BA3">
      <w:pPr>
        <w:spacing w:after="0" w:line="240" w:lineRule="auto"/>
        <w:ind w:firstLine="720"/>
        <w:jc w:val="both"/>
        <w:rPr>
          <w:rFonts w:ascii="Book Antiqua" w:eastAsia="Times New Roman" w:hAnsi="Book Antiqua" w:cs="AngsanaUPC"/>
          <w:color w:val="0D0D0D"/>
          <w:sz w:val="24"/>
          <w:szCs w:val="24"/>
          <w:lang w:val="es-ES"/>
        </w:rPr>
      </w:pPr>
    </w:p>
    <w:p w14:paraId="20B473F4" w14:textId="77777777" w:rsidR="000F6FE4" w:rsidRPr="002E6BA3" w:rsidRDefault="000F6FE4" w:rsidP="002E6BA3">
      <w:pPr>
        <w:spacing w:after="0" w:line="240" w:lineRule="auto"/>
        <w:ind w:firstLine="36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 xml:space="preserve">Sin embargo, en la última década, el número de donantes regulares ha disminuido, comprometiendo la capacidad del sistema de salud para mantener inventarios estables. Actualmente, los suministros de sangre están por debajo de los parámetros requeridos para mantener el servicio ininterrumpido y nos encontramos en una situación crítica en este renglón.  </w:t>
      </w:r>
    </w:p>
    <w:p w14:paraId="6D0FD588" w14:textId="77777777" w:rsidR="00A73505" w:rsidRPr="002E6BA3" w:rsidRDefault="00A73505" w:rsidP="002E6BA3">
      <w:pPr>
        <w:spacing w:after="0" w:line="240" w:lineRule="auto"/>
        <w:ind w:firstLine="360"/>
        <w:jc w:val="both"/>
        <w:rPr>
          <w:rFonts w:ascii="Book Antiqua" w:eastAsia="Times New Roman" w:hAnsi="Book Antiqua" w:cs="AngsanaUPC"/>
          <w:color w:val="0D0D0D"/>
          <w:sz w:val="24"/>
          <w:szCs w:val="24"/>
          <w:lang w:val="es-ES"/>
        </w:rPr>
      </w:pPr>
    </w:p>
    <w:p w14:paraId="52A4D199" w14:textId="77777777" w:rsidR="00264213" w:rsidRPr="002E6BA3" w:rsidRDefault="000F6FE4" w:rsidP="008F7747">
      <w:pPr>
        <w:spacing w:after="0" w:line="240" w:lineRule="auto"/>
        <w:ind w:firstLine="36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 xml:space="preserve">El proceso de donación de sangre es uno sencillo y seguro para el donante.  Es impresionante el comprender cómo esta actividad tan sencilla y rápida, de donar sangre o plasma puede salvar vidas, ya que una transfusión a tiempo puede hacer la diferencia entre la vida y la muerte.  </w:t>
      </w:r>
      <w:r w:rsidR="00264213" w:rsidRPr="002E6BA3">
        <w:rPr>
          <w:rFonts w:ascii="Book Antiqua" w:eastAsia="Times New Roman" w:hAnsi="Book Antiqua" w:cs="AngsanaUPC"/>
          <w:color w:val="0D0D0D"/>
          <w:sz w:val="24"/>
          <w:szCs w:val="24"/>
          <w:lang w:val="es-ES"/>
        </w:rPr>
        <w:t>Las transfusiones sanguíneas son imprescindibles para:</w:t>
      </w:r>
    </w:p>
    <w:p w14:paraId="4657FC1E" w14:textId="77777777" w:rsidR="00A73505" w:rsidRPr="002E6BA3" w:rsidRDefault="00A73505" w:rsidP="002E6BA3">
      <w:pPr>
        <w:spacing w:after="0" w:line="240" w:lineRule="auto"/>
        <w:ind w:firstLine="720"/>
        <w:jc w:val="both"/>
        <w:rPr>
          <w:rFonts w:ascii="Book Antiqua" w:eastAsia="Times New Roman" w:hAnsi="Book Antiqua" w:cs="AngsanaUPC"/>
          <w:color w:val="0D0D0D"/>
          <w:sz w:val="24"/>
          <w:szCs w:val="24"/>
          <w:lang w:val="es-ES"/>
        </w:rPr>
      </w:pPr>
    </w:p>
    <w:p w14:paraId="1809BBEB" w14:textId="77777777" w:rsidR="00264213" w:rsidRPr="002E6BA3" w:rsidRDefault="00264213" w:rsidP="002E6BA3">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mujeres que sufren hemorragias durante el embarazo y el parto,</w:t>
      </w:r>
    </w:p>
    <w:p w14:paraId="487AD7F9" w14:textId="77777777" w:rsidR="00264213" w:rsidRPr="002E6BA3" w:rsidRDefault="00264213" w:rsidP="002E6BA3">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niños que padecen anemia grave a causa de la desnutrición o el paludismo,</w:t>
      </w:r>
    </w:p>
    <w:p w14:paraId="2BBC4EBD" w14:textId="77777777" w:rsidR="00264213" w:rsidRPr="002E6BA3" w:rsidRDefault="00264213" w:rsidP="002E6BA3">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realizar procedimientos médicos y quirúrgicos complejos que mejoran las tasas de supervivencia y la calidad de vida de un gran número de pacientes,</w:t>
      </w:r>
    </w:p>
    <w:p w14:paraId="722575FC" w14:textId="77777777" w:rsidR="00264213" w:rsidRPr="002E6BA3" w:rsidRDefault="00264213" w:rsidP="002E6BA3">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personas que requieren tratamientos periódicos o continuos, como las que padecen anemia falciforme, talasemia, hemofilia o inmunodeficiencias,</w:t>
      </w:r>
    </w:p>
    <w:p w14:paraId="222C2FC5" w14:textId="77777777" w:rsidR="00264213" w:rsidRPr="002E6BA3" w:rsidRDefault="00264213" w:rsidP="002E6BA3">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situaciones de emergencia para atender a las personas heridas en desastres naturales, accidentes y conflictos armados.</w:t>
      </w:r>
    </w:p>
    <w:p w14:paraId="7057A8E5" w14:textId="77777777" w:rsidR="00A73505" w:rsidRPr="002E6BA3" w:rsidRDefault="00A73505" w:rsidP="002E6BA3">
      <w:pPr>
        <w:spacing w:after="0" w:line="240" w:lineRule="auto"/>
        <w:ind w:firstLine="360"/>
        <w:jc w:val="both"/>
        <w:rPr>
          <w:rFonts w:ascii="Book Antiqua" w:eastAsia="Times New Roman" w:hAnsi="Book Antiqua" w:cs="AngsanaUPC"/>
          <w:color w:val="0D0D0D"/>
          <w:sz w:val="24"/>
          <w:szCs w:val="24"/>
          <w:lang w:val="es-ES"/>
        </w:rPr>
      </w:pPr>
    </w:p>
    <w:p w14:paraId="5567A820" w14:textId="32719CDF" w:rsidR="00A73505" w:rsidRDefault="00264213" w:rsidP="002E6BA3">
      <w:pPr>
        <w:spacing w:after="0" w:line="240" w:lineRule="auto"/>
        <w:ind w:firstLine="36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No obstante</w:t>
      </w:r>
      <w:r w:rsidR="000F6FE4" w:rsidRPr="002E6BA3">
        <w:rPr>
          <w:rFonts w:ascii="Book Antiqua" w:eastAsia="Times New Roman" w:hAnsi="Book Antiqua" w:cs="AngsanaUPC"/>
          <w:color w:val="0D0D0D"/>
          <w:sz w:val="24"/>
          <w:szCs w:val="24"/>
          <w:lang w:val="es-ES"/>
        </w:rPr>
        <w:t xml:space="preserve">, la cantidad de donantes, hoy en día, no es suficiente para atender la necesidad.  Esta situación pone en riesgo, no solo la vida de los pacientes de enfermedades como anemias crónicas o cáncer, candidatos a trasplantes de órganos, </w:t>
      </w:r>
      <w:r w:rsidR="000F6FE4" w:rsidRPr="002E6BA3">
        <w:rPr>
          <w:rFonts w:ascii="Book Antiqua" w:eastAsia="Times New Roman" w:hAnsi="Book Antiqua" w:cs="AngsanaUPC"/>
          <w:color w:val="0D0D0D"/>
          <w:sz w:val="24"/>
          <w:szCs w:val="24"/>
          <w:lang w:val="es-ES"/>
        </w:rPr>
        <w:lastRenderedPageBreak/>
        <w:t>traumatismos, entre otros, sino que representaría también una amenaza en caso de una emergencia de gran magnitud o desastre natural.</w:t>
      </w:r>
    </w:p>
    <w:p w14:paraId="3B0F1B38" w14:textId="77777777" w:rsidR="00184E78" w:rsidRPr="002E6BA3" w:rsidRDefault="00184E78" w:rsidP="002E6BA3">
      <w:pPr>
        <w:spacing w:after="0" w:line="240" w:lineRule="auto"/>
        <w:ind w:firstLine="360"/>
        <w:jc w:val="both"/>
        <w:rPr>
          <w:rFonts w:ascii="Book Antiqua" w:eastAsia="Times New Roman" w:hAnsi="Book Antiqua" w:cs="AngsanaUPC"/>
          <w:color w:val="0D0D0D"/>
          <w:sz w:val="24"/>
          <w:szCs w:val="24"/>
          <w:lang w:val="es-ES"/>
        </w:rPr>
      </w:pPr>
    </w:p>
    <w:p w14:paraId="7FEF0C34" w14:textId="77777777" w:rsidR="000F6FE4" w:rsidRPr="002E6BA3" w:rsidRDefault="000F6FE4" w:rsidP="002E6BA3">
      <w:pPr>
        <w:spacing w:after="0" w:line="240" w:lineRule="auto"/>
        <w:ind w:firstLine="36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 xml:space="preserve">A los fines de concienciar sobre la importancia de la donación de sangre, la Organización Mundial de la Salud celebra el 14 de junio, el Día Mundial del Donante de Sangre.  La referida Organización reconoce dicha fecha como un tributo mundial a los millones de donantes de sangre voluntarios y no remunerados que dan a otros una segunda oportunidad en la vida. Es un día para dar las gracias, pero también para destacar la necesidad continua y urgente de donaciones de sangre seguras y regulares.  </w:t>
      </w:r>
    </w:p>
    <w:p w14:paraId="6CDB0D2F" w14:textId="77777777" w:rsidR="00A73505" w:rsidRPr="002E6BA3" w:rsidRDefault="00A73505" w:rsidP="002E6BA3">
      <w:pPr>
        <w:spacing w:after="0" w:line="240" w:lineRule="auto"/>
        <w:ind w:firstLine="360"/>
        <w:jc w:val="both"/>
        <w:rPr>
          <w:rFonts w:ascii="Book Antiqua" w:eastAsia="Times New Roman" w:hAnsi="Book Antiqua" w:cs="AngsanaUPC"/>
          <w:color w:val="0D0D0D"/>
          <w:sz w:val="24"/>
          <w:szCs w:val="24"/>
          <w:lang w:val="es-ES"/>
        </w:rPr>
      </w:pPr>
    </w:p>
    <w:p w14:paraId="10B42E97" w14:textId="5977E326" w:rsidR="000F6FE4" w:rsidRPr="002E6BA3" w:rsidRDefault="00713E60" w:rsidP="002E6BA3">
      <w:pPr>
        <w:spacing w:after="0" w:line="240" w:lineRule="auto"/>
        <w:ind w:firstLine="36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Por otra parte, e</w:t>
      </w:r>
      <w:r w:rsidR="000F6FE4" w:rsidRPr="002E6BA3">
        <w:rPr>
          <w:rFonts w:ascii="Book Antiqua" w:eastAsia="Times New Roman" w:hAnsi="Book Antiqua" w:cs="AngsanaUPC"/>
          <w:color w:val="0D0D0D"/>
          <w:sz w:val="24"/>
          <w:szCs w:val="24"/>
          <w:lang w:val="es-ES"/>
        </w:rPr>
        <w:t xml:space="preserve">n Puerto Rico, mediante la Ley 224-1998, se declara el último viernes del mes de junio de cada año como “El Día del Joven Donante de Sangre”.  Esta Ley tiene el propósito de promover entre los jóvenes de dieciocho (18) a veintinueve (29) años la donación de sangre.  </w:t>
      </w:r>
    </w:p>
    <w:p w14:paraId="49818433" w14:textId="77777777" w:rsidR="00A73505" w:rsidRPr="002E6BA3" w:rsidRDefault="00A73505" w:rsidP="002E6BA3">
      <w:pPr>
        <w:spacing w:after="0" w:line="240" w:lineRule="auto"/>
        <w:ind w:firstLine="360"/>
        <w:jc w:val="both"/>
        <w:rPr>
          <w:rFonts w:ascii="Book Antiqua" w:eastAsia="Times New Roman" w:hAnsi="Book Antiqua" w:cs="AngsanaUPC"/>
          <w:color w:val="0D0D0D"/>
          <w:sz w:val="24"/>
          <w:szCs w:val="24"/>
          <w:lang w:val="es-ES"/>
        </w:rPr>
      </w:pPr>
    </w:p>
    <w:p w14:paraId="6B6C0888" w14:textId="29966444" w:rsidR="000F6FE4" w:rsidRPr="002E6BA3" w:rsidRDefault="000F6FE4" w:rsidP="002E6BA3">
      <w:pPr>
        <w:spacing w:after="0" w:line="240" w:lineRule="auto"/>
        <w:ind w:firstLine="36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Esta Asamblea Legislativa reconoce la urgencia en sensibilizar y concienciar a los ciudadanos sobre la necesidad crítica de donaciones de sangre y plasma y el impacto que tienen en la vida de los pacientes.  Corresponde animar a los donantes nuevos y existentes a donar sangre regularmente, ayudando a garantizar un suministro de sangre estable y suficiente.  De igual manera, compete movilizar el apoyo de las agencias, municipios, corporaciones públicas e instrumentalidades del Gobierno, así como las empresas privadas y las organizaciones sin fines de lucro, para el desarrollo de programas e iniciativas que promuevan la donación de sangre.</w:t>
      </w:r>
    </w:p>
    <w:p w14:paraId="537D7E26" w14:textId="77777777" w:rsidR="00A73505" w:rsidRPr="002E6BA3" w:rsidRDefault="00A73505" w:rsidP="002E6BA3">
      <w:pPr>
        <w:spacing w:after="0" w:line="240" w:lineRule="auto"/>
        <w:ind w:firstLine="360"/>
        <w:jc w:val="both"/>
        <w:rPr>
          <w:rFonts w:ascii="Book Antiqua" w:eastAsia="Times New Roman" w:hAnsi="Book Antiqua" w:cs="AngsanaUPC"/>
          <w:color w:val="0D0D0D"/>
          <w:sz w:val="24"/>
          <w:szCs w:val="24"/>
          <w:lang w:val="es-ES"/>
        </w:rPr>
      </w:pPr>
    </w:p>
    <w:p w14:paraId="51E79913" w14:textId="6EACE5BF" w:rsidR="00660962" w:rsidRPr="002E6BA3" w:rsidRDefault="000F6FE4" w:rsidP="002E6BA3">
      <w:pPr>
        <w:spacing w:after="0" w:line="240" w:lineRule="auto"/>
        <w:ind w:firstLine="36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 xml:space="preserve">A tales fines, se declara el mes de junio como el “Mes para promover la Donación de Sangre”.  Durante dicho mes, </w:t>
      </w:r>
      <w:r w:rsidR="00145DE7" w:rsidRPr="002E6BA3">
        <w:rPr>
          <w:rFonts w:ascii="Book Antiqua" w:eastAsia="Times New Roman" w:hAnsi="Book Antiqua" w:cs="AngsanaUPC"/>
          <w:color w:val="0D0D0D"/>
          <w:sz w:val="24"/>
          <w:szCs w:val="24"/>
          <w:lang w:val="es-ES"/>
        </w:rPr>
        <w:t xml:space="preserve">además de </w:t>
      </w:r>
      <w:r w:rsidR="00BA0DEC" w:rsidRPr="002E6BA3">
        <w:rPr>
          <w:rFonts w:ascii="Book Antiqua" w:eastAsia="Times New Roman" w:hAnsi="Book Antiqua" w:cs="AngsanaUPC"/>
          <w:color w:val="0D0D0D"/>
          <w:sz w:val="24"/>
          <w:szCs w:val="24"/>
          <w:lang w:val="es-ES"/>
        </w:rPr>
        <w:t xml:space="preserve">reconocer a los donantes voluntarios o los jóvenes donantes, corresponde </w:t>
      </w:r>
      <w:r w:rsidR="003E72E9" w:rsidRPr="002E6BA3">
        <w:rPr>
          <w:rFonts w:ascii="Book Antiqua" w:eastAsia="Times New Roman" w:hAnsi="Book Antiqua" w:cs="AngsanaUPC"/>
          <w:color w:val="0D0D0D"/>
          <w:sz w:val="24"/>
          <w:szCs w:val="24"/>
          <w:lang w:val="es-ES"/>
        </w:rPr>
        <w:t xml:space="preserve">promover entre todos los ciudadanos </w:t>
      </w:r>
      <w:r w:rsidR="00A400C7" w:rsidRPr="002E6BA3">
        <w:rPr>
          <w:rFonts w:ascii="Book Antiqua" w:eastAsia="Times New Roman" w:hAnsi="Book Antiqua" w:cs="AngsanaUPC"/>
          <w:color w:val="0D0D0D"/>
          <w:sz w:val="24"/>
          <w:szCs w:val="24"/>
          <w:lang w:val="es-ES"/>
        </w:rPr>
        <w:t>la importancia de aumentar los abastos de sangre</w:t>
      </w:r>
      <w:r w:rsidR="00437E4E" w:rsidRPr="002E6BA3">
        <w:rPr>
          <w:rFonts w:ascii="Book Antiqua" w:eastAsia="Times New Roman" w:hAnsi="Book Antiqua" w:cs="AngsanaUPC"/>
          <w:color w:val="0D0D0D"/>
          <w:sz w:val="24"/>
          <w:szCs w:val="24"/>
          <w:lang w:val="es-ES"/>
        </w:rPr>
        <w:t>.  E</w:t>
      </w:r>
      <w:r w:rsidRPr="002E6BA3">
        <w:rPr>
          <w:rFonts w:ascii="Book Antiqua" w:eastAsia="Times New Roman" w:hAnsi="Book Antiqua" w:cs="AngsanaUPC"/>
          <w:color w:val="0D0D0D"/>
          <w:sz w:val="24"/>
          <w:szCs w:val="24"/>
          <w:lang w:val="es-ES"/>
        </w:rPr>
        <w:t xml:space="preserve">l Gobierno exhortará a todas las entidades públicas y privadas, así como a la ciudadanía en general, a promover la donación de sangre como una forma simple y </w:t>
      </w:r>
      <w:r w:rsidR="00437E4E" w:rsidRPr="002E6BA3">
        <w:rPr>
          <w:rFonts w:ascii="Book Antiqua" w:eastAsia="Times New Roman" w:hAnsi="Book Antiqua" w:cs="AngsanaUPC"/>
          <w:color w:val="0D0D0D"/>
          <w:sz w:val="24"/>
          <w:szCs w:val="24"/>
          <w:lang w:val="es-ES"/>
        </w:rPr>
        <w:t xml:space="preserve">muy </w:t>
      </w:r>
      <w:r w:rsidRPr="002E6BA3">
        <w:rPr>
          <w:rFonts w:ascii="Book Antiqua" w:eastAsia="Times New Roman" w:hAnsi="Book Antiqua" w:cs="AngsanaUPC"/>
          <w:color w:val="0D0D0D"/>
          <w:sz w:val="24"/>
          <w:szCs w:val="24"/>
          <w:lang w:val="es-ES"/>
        </w:rPr>
        <w:t xml:space="preserve">efectiva de contribuir a salvar vidas.  </w:t>
      </w:r>
    </w:p>
    <w:p w14:paraId="1BF9410F" w14:textId="77777777" w:rsidR="008F7747" w:rsidRPr="002E6BA3" w:rsidRDefault="008F7747" w:rsidP="00A73505">
      <w:pPr>
        <w:spacing w:after="0" w:line="240" w:lineRule="auto"/>
        <w:jc w:val="both"/>
        <w:rPr>
          <w:rFonts w:ascii="Book Antiqua" w:eastAsia="Times New Roman" w:hAnsi="Book Antiqua"/>
          <w:i/>
          <w:iCs/>
          <w:sz w:val="24"/>
          <w:szCs w:val="24"/>
          <w:lang w:val="es-ES_tradnl"/>
        </w:rPr>
      </w:pPr>
    </w:p>
    <w:p w14:paraId="5C7BABF5" w14:textId="3C05F4F7" w:rsidR="00E8321B" w:rsidRPr="002E6BA3" w:rsidRDefault="00BF6FE7" w:rsidP="00587191">
      <w:pPr>
        <w:spacing w:after="0" w:line="240" w:lineRule="auto"/>
        <w:jc w:val="both"/>
        <w:rPr>
          <w:rFonts w:ascii="Book Antiqua" w:eastAsia="Times New Roman" w:hAnsi="Book Antiqua"/>
          <w:i/>
          <w:iCs/>
          <w:sz w:val="24"/>
          <w:szCs w:val="24"/>
          <w:lang w:val="es-ES_tradnl"/>
        </w:rPr>
      </w:pPr>
      <w:r w:rsidRPr="002E6BA3">
        <w:rPr>
          <w:rFonts w:ascii="Book Antiqua" w:eastAsia="Times New Roman" w:hAnsi="Book Antiqua"/>
          <w:i/>
          <w:iCs/>
          <w:sz w:val="24"/>
          <w:szCs w:val="24"/>
          <w:lang w:val="es-PR"/>
        </w:rPr>
        <w:t>DECRÉTASE POR LA ASAMBLEA LEGISLATIVA DE PUERTO RICO:</w:t>
      </w:r>
    </w:p>
    <w:p w14:paraId="77778D2A" w14:textId="77777777" w:rsidR="003E7820" w:rsidRDefault="003E7820" w:rsidP="00587191">
      <w:pPr>
        <w:spacing w:after="0" w:line="240" w:lineRule="auto"/>
        <w:jc w:val="both"/>
        <w:rPr>
          <w:rFonts w:ascii="Book Antiqua" w:eastAsia="Times New Roman" w:hAnsi="Book Antiqua"/>
          <w:sz w:val="24"/>
          <w:szCs w:val="24"/>
          <w:highlight w:val="yellow"/>
          <w:lang w:val="es-ES_tradnl"/>
        </w:rPr>
      </w:pPr>
    </w:p>
    <w:p w14:paraId="5108F28E" w14:textId="77777777" w:rsidR="00587191" w:rsidRPr="002E6BA3" w:rsidRDefault="00587191" w:rsidP="00587191">
      <w:pPr>
        <w:spacing w:after="0" w:line="240" w:lineRule="auto"/>
        <w:jc w:val="both"/>
        <w:rPr>
          <w:rFonts w:ascii="Book Antiqua" w:eastAsia="Times New Roman" w:hAnsi="Book Antiqua"/>
          <w:sz w:val="24"/>
          <w:szCs w:val="24"/>
          <w:highlight w:val="yellow"/>
          <w:lang w:val="es-ES_tradnl"/>
        </w:rPr>
        <w:sectPr w:rsidR="00587191" w:rsidRPr="002E6BA3" w:rsidSect="00587191">
          <w:headerReference w:type="even" r:id="rId10"/>
          <w:headerReference w:type="default" r:id="rId11"/>
          <w:headerReference w:type="first" r:id="rId12"/>
          <w:pgSz w:w="12240" w:h="15840" w:code="1"/>
          <w:pgMar w:top="1440" w:right="1440" w:bottom="1440" w:left="1440" w:header="720" w:footer="720" w:gutter="0"/>
          <w:cols w:space="720"/>
          <w:titlePg/>
          <w:docGrid w:linePitch="360"/>
        </w:sectPr>
      </w:pPr>
    </w:p>
    <w:p w14:paraId="46D0D964" w14:textId="2E67960F" w:rsidR="004B65E9" w:rsidRDefault="00C22BBE" w:rsidP="00587191">
      <w:pPr>
        <w:widowControl w:val="0"/>
        <w:spacing w:after="0" w:line="240" w:lineRule="auto"/>
        <w:ind w:firstLine="720"/>
        <w:jc w:val="both"/>
        <w:rPr>
          <w:rFonts w:ascii="Book Antiqua" w:eastAsia="MS Mincho" w:hAnsi="Book Antiqua"/>
          <w:sz w:val="24"/>
          <w:szCs w:val="24"/>
          <w:lang w:val="es-ES"/>
        </w:rPr>
      </w:pPr>
      <w:r w:rsidRPr="002E6BA3">
        <w:rPr>
          <w:rFonts w:ascii="Book Antiqua" w:eastAsia="MS Mincho" w:hAnsi="Book Antiqua"/>
          <w:sz w:val="24"/>
          <w:szCs w:val="24"/>
          <w:lang w:val="es-ES"/>
        </w:rPr>
        <w:t>Sección 1.-</w:t>
      </w:r>
      <w:r w:rsidR="008037C0" w:rsidRPr="002E6BA3">
        <w:rPr>
          <w:rFonts w:ascii="Book Antiqua" w:hAnsi="Book Antiqua"/>
          <w:lang w:val="es-ES"/>
        </w:rPr>
        <w:t xml:space="preserve"> </w:t>
      </w:r>
      <w:r w:rsidR="004C23A0" w:rsidRPr="002E6BA3">
        <w:rPr>
          <w:rFonts w:ascii="Book Antiqua" w:eastAsia="MS Mincho" w:hAnsi="Book Antiqua"/>
          <w:sz w:val="24"/>
          <w:szCs w:val="24"/>
          <w:lang w:val="es-ES"/>
        </w:rPr>
        <w:t>S</w:t>
      </w:r>
      <w:r w:rsidR="008037C0" w:rsidRPr="002E6BA3">
        <w:rPr>
          <w:rFonts w:ascii="Book Antiqua" w:eastAsia="MS Mincho" w:hAnsi="Book Antiqua"/>
          <w:sz w:val="24"/>
          <w:szCs w:val="24"/>
          <w:lang w:val="es-ES"/>
        </w:rPr>
        <w:t xml:space="preserve">e declara el mes de junio </w:t>
      </w:r>
      <w:r w:rsidR="00547D53" w:rsidRPr="002E6BA3">
        <w:rPr>
          <w:rFonts w:ascii="Book Antiqua" w:eastAsia="MS Mincho" w:hAnsi="Book Antiqua"/>
          <w:sz w:val="24"/>
          <w:szCs w:val="24"/>
          <w:lang w:val="es-ES"/>
        </w:rPr>
        <w:t xml:space="preserve">de cada año </w:t>
      </w:r>
      <w:r w:rsidR="008037C0" w:rsidRPr="002E6BA3">
        <w:rPr>
          <w:rFonts w:ascii="Book Antiqua" w:eastAsia="MS Mincho" w:hAnsi="Book Antiqua"/>
          <w:sz w:val="24"/>
          <w:szCs w:val="24"/>
          <w:lang w:val="es-ES"/>
        </w:rPr>
        <w:t xml:space="preserve">como el “Mes para </w:t>
      </w:r>
      <w:r w:rsidR="00547D53" w:rsidRPr="002E6BA3">
        <w:rPr>
          <w:rFonts w:ascii="Book Antiqua" w:eastAsia="MS Mincho" w:hAnsi="Book Antiqua"/>
          <w:sz w:val="24"/>
          <w:szCs w:val="24"/>
          <w:lang w:val="es-ES"/>
        </w:rPr>
        <w:t>P</w:t>
      </w:r>
      <w:r w:rsidR="008037C0" w:rsidRPr="002E6BA3">
        <w:rPr>
          <w:rFonts w:ascii="Book Antiqua" w:eastAsia="MS Mincho" w:hAnsi="Book Antiqua"/>
          <w:sz w:val="24"/>
          <w:szCs w:val="24"/>
          <w:lang w:val="es-ES"/>
        </w:rPr>
        <w:t>romover la Donación de Sangre</w:t>
      </w:r>
      <w:r w:rsidR="00264213" w:rsidRPr="002E6BA3">
        <w:rPr>
          <w:rFonts w:ascii="Book Antiqua" w:eastAsia="MS Mincho" w:hAnsi="Book Antiqua"/>
          <w:sz w:val="24"/>
          <w:szCs w:val="24"/>
          <w:lang w:val="es-ES"/>
        </w:rPr>
        <w:t xml:space="preserve"> en Puerto Rico</w:t>
      </w:r>
      <w:r w:rsidR="008037C0" w:rsidRPr="002E6BA3">
        <w:rPr>
          <w:rFonts w:ascii="Book Antiqua" w:eastAsia="MS Mincho" w:hAnsi="Book Antiqua"/>
          <w:sz w:val="24"/>
          <w:szCs w:val="24"/>
          <w:lang w:val="es-ES"/>
        </w:rPr>
        <w:t>”</w:t>
      </w:r>
      <w:r w:rsidR="00F00A44" w:rsidRPr="002E6BA3">
        <w:rPr>
          <w:rFonts w:ascii="Book Antiqua" w:eastAsia="MS Mincho" w:hAnsi="Book Antiqua"/>
          <w:sz w:val="24"/>
          <w:szCs w:val="24"/>
          <w:lang w:val="es-ES"/>
        </w:rPr>
        <w:t xml:space="preserve">.  </w:t>
      </w:r>
    </w:p>
    <w:p w14:paraId="7D8E5CCF" w14:textId="77777777" w:rsidR="00587191" w:rsidRPr="002E6BA3" w:rsidRDefault="00587191" w:rsidP="00587191">
      <w:pPr>
        <w:widowControl w:val="0"/>
        <w:spacing w:after="0" w:line="240" w:lineRule="auto"/>
        <w:ind w:firstLine="720"/>
        <w:jc w:val="both"/>
        <w:rPr>
          <w:rFonts w:ascii="Book Antiqua" w:eastAsia="MS Mincho" w:hAnsi="Book Antiqua"/>
          <w:sz w:val="24"/>
          <w:szCs w:val="24"/>
          <w:lang w:val="es-ES"/>
        </w:rPr>
      </w:pPr>
    </w:p>
    <w:p w14:paraId="33B3D07A" w14:textId="3224AE22" w:rsidR="003E39E3" w:rsidRDefault="00C22BBE" w:rsidP="00587191">
      <w:pPr>
        <w:widowControl w:val="0"/>
        <w:spacing w:after="0" w:line="240" w:lineRule="auto"/>
        <w:ind w:firstLine="720"/>
        <w:jc w:val="both"/>
        <w:rPr>
          <w:rFonts w:ascii="Book Antiqua" w:eastAsia="MS Mincho" w:hAnsi="Book Antiqua"/>
          <w:sz w:val="24"/>
          <w:szCs w:val="24"/>
          <w:lang w:val="es-ES_tradnl"/>
        </w:rPr>
      </w:pPr>
      <w:r w:rsidRPr="002E6BA3">
        <w:rPr>
          <w:rFonts w:ascii="Book Antiqua" w:eastAsia="MS Mincho" w:hAnsi="Book Antiqua"/>
          <w:sz w:val="24"/>
          <w:szCs w:val="24"/>
          <w:lang w:val="es-PR"/>
        </w:rPr>
        <w:t>Sección 2.-</w:t>
      </w:r>
      <w:r w:rsidR="002B6E4D" w:rsidRPr="002E6BA3">
        <w:rPr>
          <w:rFonts w:ascii="Book Antiqua" w:hAnsi="Book Antiqua"/>
          <w:lang w:val="es-PR"/>
        </w:rPr>
        <w:t xml:space="preserve"> </w:t>
      </w:r>
      <w:r w:rsidR="00347472">
        <w:rPr>
          <w:rFonts w:ascii="Book Antiqua" w:eastAsia="MS Mincho" w:hAnsi="Book Antiqua"/>
          <w:sz w:val="24"/>
          <w:szCs w:val="24"/>
          <w:lang w:val="es-ES_tradnl"/>
        </w:rPr>
        <w:t xml:space="preserve">El </w:t>
      </w:r>
      <w:r w:rsidR="00576E3B" w:rsidRPr="002E6BA3">
        <w:rPr>
          <w:rFonts w:ascii="Book Antiqua" w:eastAsia="MS Mincho" w:hAnsi="Book Antiqua"/>
          <w:sz w:val="24"/>
          <w:szCs w:val="24"/>
          <w:lang w:val="es-ES_tradnl"/>
        </w:rPr>
        <w:t xml:space="preserve">Gobernador de Puerto Rico emitirá una proclama a esos efectos y exhortará a todas las entidades públicas y privadas, así como a la ciudadanía en general, a </w:t>
      </w:r>
      <w:r w:rsidR="004C23A0" w:rsidRPr="002E6BA3">
        <w:rPr>
          <w:rFonts w:ascii="Book Antiqua" w:eastAsia="MS Mincho" w:hAnsi="Book Antiqua"/>
          <w:sz w:val="24"/>
          <w:szCs w:val="24"/>
          <w:lang w:val="es-ES_tradnl"/>
        </w:rPr>
        <w:t xml:space="preserve">promover </w:t>
      </w:r>
      <w:r w:rsidR="003E39E3" w:rsidRPr="002E6BA3">
        <w:rPr>
          <w:rFonts w:ascii="Book Antiqua" w:eastAsia="MS Mincho" w:hAnsi="Book Antiqua"/>
          <w:sz w:val="24"/>
          <w:szCs w:val="24"/>
          <w:lang w:val="es-ES_tradnl"/>
        </w:rPr>
        <w:t>la donación de sangre en Puerto Rico, con el propósito de salvar vidas.</w:t>
      </w:r>
    </w:p>
    <w:p w14:paraId="54177EEC" w14:textId="77777777" w:rsidR="00587191" w:rsidRPr="002E6BA3" w:rsidRDefault="00587191" w:rsidP="00587191">
      <w:pPr>
        <w:widowControl w:val="0"/>
        <w:spacing w:after="0" w:line="240" w:lineRule="auto"/>
        <w:ind w:firstLine="720"/>
        <w:jc w:val="both"/>
        <w:rPr>
          <w:rFonts w:ascii="Book Antiqua" w:eastAsia="MS Mincho" w:hAnsi="Book Antiqua"/>
          <w:sz w:val="24"/>
          <w:szCs w:val="24"/>
          <w:lang w:val="es-ES_tradnl"/>
        </w:rPr>
      </w:pPr>
    </w:p>
    <w:p w14:paraId="3AAA06C9" w14:textId="3A3C32B2" w:rsidR="00C22BBE" w:rsidRDefault="00A8449E" w:rsidP="00587191">
      <w:pPr>
        <w:widowControl w:val="0"/>
        <w:spacing w:after="0" w:line="240" w:lineRule="auto"/>
        <w:ind w:firstLine="720"/>
        <w:jc w:val="both"/>
        <w:rPr>
          <w:rFonts w:ascii="Book Antiqua" w:eastAsia="MS Mincho" w:hAnsi="Book Antiqua"/>
          <w:sz w:val="24"/>
          <w:szCs w:val="24"/>
          <w:lang w:val="es-PR"/>
        </w:rPr>
      </w:pPr>
      <w:r w:rsidRPr="002E6BA3">
        <w:rPr>
          <w:rFonts w:ascii="Book Antiqua" w:eastAsia="MS Mincho" w:hAnsi="Book Antiqua"/>
          <w:sz w:val="24"/>
          <w:szCs w:val="24"/>
          <w:lang w:val="es-ES_tradnl"/>
        </w:rPr>
        <w:t>Sección</w:t>
      </w:r>
      <w:r w:rsidR="00E14FD6" w:rsidRPr="002E6BA3">
        <w:rPr>
          <w:rFonts w:ascii="Book Antiqua" w:eastAsia="MS Mincho" w:hAnsi="Book Antiqua"/>
          <w:sz w:val="24"/>
          <w:szCs w:val="24"/>
          <w:lang w:val="es-ES_tradnl"/>
        </w:rPr>
        <w:t xml:space="preserve"> 3.-</w:t>
      </w:r>
      <w:r w:rsidR="00576E3B" w:rsidRPr="002E6BA3">
        <w:rPr>
          <w:rFonts w:ascii="Book Antiqua" w:eastAsia="MS Mincho" w:hAnsi="Book Antiqua"/>
          <w:sz w:val="24"/>
          <w:szCs w:val="24"/>
          <w:lang w:val="es-ES_tradnl"/>
        </w:rPr>
        <w:t xml:space="preserve"> </w:t>
      </w:r>
      <w:r w:rsidR="00347472">
        <w:rPr>
          <w:rFonts w:ascii="Book Antiqua" w:eastAsia="MS Mincho" w:hAnsi="Book Antiqua"/>
          <w:sz w:val="24"/>
          <w:szCs w:val="24"/>
          <w:lang w:val="es-ES_tradnl"/>
        </w:rPr>
        <w:t>El</w:t>
      </w:r>
      <w:r w:rsidR="004221F3" w:rsidRPr="002E6BA3">
        <w:rPr>
          <w:rFonts w:ascii="Book Antiqua" w:eastAsia="MS Mincho" w:hAnsi="Book Antiqua"/>
          <w:sz w:val="24"/>
          <w:szCs w:val="24"/>
          <w:lang w:val="es-ES_tradnl"/>
        </w:rPr>
        <w:t xml:space="preserve"> </w:t>
      </w:r>
      <w:proofErr w:type="gramStart"/>
      <w:r w:rsidR="004221F3" w:rsidRPr="002E6BA3">
        <w:rPr>
          <w:rFonts w:ascii="Book Antiqua" w:eastAsia="MS Mincho" w:hAnsi="Book Antiqua"/>
          <w:sz w:val="24"/>
          <w:szCs w:val="24"/>
          <w:lang w:val="es-ES_tradnl"/>
        </w:rPr>
        <w:t>Secretari</w:t>
      </w:r>
      <w:r w:rsidR="00347472">
        <w:rPr>
          <w:rFonts w:ascii="Book Antiqua" w:eastAsia="MS Mincho" w:hAnsi="Book Antiqua"/>
          <w:sz w:val="24"/>
          <w:szCs w:val="24"/>
          <w:lang w:val="es-ES_tradnl"/>
        </w:rPr>
        <w:t>o</w:t>
      </w:r>
      <w:proofErr w:type="gramEnd"/>
      <w:r w:rsidR="004221F3" w:rsidRPr="002E6BA3">
        <w:rPr>
          <w:rFonts w:ascii="Book Antiqua" w:eastAsia="MS Mincho" w:hAnsi="Book Antiqua"/>
          <w:sz w:val="24"/>
          <w:szCs w:val="24"/>
          <w:lang w:val="es-ES_tradnl"/>
        </w:rPr>
        <w:t xml:space="preserve"> de Estado de Puerto Rico, establecerá anualmente los mecanismos necesarios para la divulgación de lo aquí establecido, </w:t>
      </w:r>
      <w:r w:rsidR="002B6E4D" w:rsidRPr="002E6BA3">
        <w:rPr>
          <w:rFonts w:ascii="Book Antiqua" w:eastAsia="MS Mincho" w:hAnsi="Book Antiqua"/>
          <w:sz w:val="24"/>
          <w:szCs w:val="24"/>
          <w:lang w:val="es-PR"/>
        </w:rPr>
        <w:t>en coordinación con el Departamento de Salud y los Bancos de Sangre de Puerto Rico.</w:t>
      </w:r>
      <w:r w:rsidR="00C22BBE" w:rsidRPr="002E6BA3">
        <w:rPr>
          <w:rFonts w:ascii="Book Antiqua" w:eastAsia="MS Mincho" w:hAnsi="Book Antiqua"/>
          <w:sz w:val="24"/>
          <w:szCs w:val="24"/>
          <w:lang w:val="es-PR"/>
        </w:rPr>
        <w:t xml:space="preserve"> </w:t>
      </w:r>
    </w:p>
    <w:p w14:paraId="046EAEEC" w14:textId="77777777" w:rsidR="008F7747" w:rsidRDefault="008F7747" w:rsidP="00587191">
      <w:pPr>
        <w:widowControl w:val="0"/>
        <w:spacing w:after="0" w:line="240" w:lineRule="auto"/>
        <w:ind w:firstLine="720"/>
        <w:jc w:val="both"/>
        <w:rPr>
          <w:rFonts w:ascii="Book Antiqua" w:eastAsia="MS Mincho" w:hAnsi="Book Antiqua"/>
          <w:sz w:val="24"/>
          <w:szCs w:val="24"/>
          <w:lang w:val="es-PR"/>
        </w:rPr>
      </w:pPr>
    </w:p>
    <w:p w14:paraId="057C543D" w14:textId="77777777" w:rsidR="00587191" w:rsidRPr="002E6BA3" w:rsidRDefault="00587191" w:rsidP="00587191">
      <w:pPr>
        <w:widowControl w:val="0"/>
        <w:spacing w:after="0" w:line="240" w:lineRule="auto"/>
        <w:ind w:firstLine="720"/>
        <w:jc w:val="both"/>
        <w:rPr>
          <w:rFonts w:ascii="Book Antiqua" w:eastAsia="MS Mincho" w:hAnsi="Book Antiqua"/>
          <w:sz w:val="24"/>
          <w:szCs w:val="24"/>
          <w:lang w:val="es-PR"/>
        </w:rPr>
      </w:pPr>
    </w:p>
    <w:p w14:paraId="714746C8" w14:textId="029786D6" w:rsidR="00D056D7" w:rsidRPr="002E6BA3" w:rsidRDefault="00C22BBE" w:rsidP="00587191">
      <w:pPr>
        <w:widowControl w:val="0"/>
        <w:spacing w:after="0" w:line="240" w:lineRule="auto"/>
        <w:ind w:firstLine="720"/>
        <w:jc w:val="both"/>
        <w:rPr>
          <w:rFonts w:ascii="Book Antiqua" w:eastAsia="MS Mincho" w:hAnsi="Book Antiqua"/>
          <w:sz w:val="24"/>
          <w:szCs w:val="24"/>
          <w:lang w:val="es-PR"/>
        </w:rPr>
      </w:pPr>
      <w:r w:rsidRPr="002E6BA3">
        <w:rPr>
          <w:rFonts w:ascii="Book Antiqua" w:eastAsia="MS Mincho" w:hAnsi="Book Antiqua"/>
          <w:sz w:val="24"/>
          <w:szCs w:val="24"/>
          <w:lang w:val="es-PR"/>
        </w:rPr>
        <w:t xml:space="preserve">Sección </w:t>
      </w:r>
      <w:r w:rsidR="00721B19">
        <w:rPr>
          <w:rFonts w:ascii="Book Antiqua" w:eastAsia="MS Mincho" w:hAnsi="Book Antiqua"/>
          <w:sz w:val="24"/>
          <w:szCs w:val="24"/>
          <w:lang w:val="es-PR"/>
        </w:rPr>
        <w:t>4</w:t>
      </w:r>
      <w:r w:rsidRPr="002E6BA3">
        <w:rPr>
          <w:rFonts w:ascii="Book Antiqua" w:eastAsia="MS Mincho" w:hAnsi="Book Antiqua"/>
          <w:sz w:val="24"/>
          <w:szCs w:val="24"/>
          <w:lang w:val="es-PR"/>
        </w:rPr>
        <w:t xml:space="preserve">.-Esta </w:t>
      </w:r>
      <w:r w:rsidR="00773ABF" w:rsidRPr="002E6BA3">
        <w:rPr>
          <w:rFonts w:ascii="Book Antiqua" w:eastAsia="MS Mincho" w:hAnsi="Book Antiqua"/>
          <w:sz w:val="24"/>
          <w:szCs w:val="24"/>
          <w:lang w:val="es-PR"/>
        </w:rPr>
        <w:t>Ley</w:t>
      </w:r>
      <w:r w:rsidR="00415F18" w:rsidRPr="002E6BA3">
        <w:rPr>
          <w:rFonts w:ascii="Book Antiqua" w:eastAsia="MS Mincho" w:hAnsi="Book Antiqua"/>
          <w:sz w:val="24"/>
          <w:szCs w:val="24"/>
          <w:lang w:val="es-PR"/>
        </w:rPr>
        <w:t xml:space="preserve"> </w:t>
      </w:r>
      <w:r w:rsidRPr="002E6BA3">
        <w:rPr>
          <w:rFonts w:ascii="Book Antiqua" w:eastAsia="MS Mincho" w:hAnsi="Book Antiqua"/>
          <w:sz w:val="24"/>
          <w:szCs w:val="24"/>
          <w:lang w:val="es-PR"/>
        </w:rPr>
        <w:t>comenzará a regir inmediatamente después de su aprobación.</w:t>
      </w:r>
    </w:p>
    <w:sectPr w:rsidR="00D056D7" w:rsidRPr="002E6BA3" w:rsidSect="00587191">
      <w:headerReference w:type="even" r:id="rId13"/>
      <w:headerReference w:type="default" r:id="rId14"/>
      <w:footnotePr>
        <w:numRestart w:val="eachPage"/>
      </w:footnotePr>
      <w:endnotePr>
        <w:numFmt w:val="decimal"/>
      </w:endnotePr>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CAB36" w14:textId="77777777" w:rsidR="00200A3A" w:rsidRDefault="00200A3A">
      <w:pPr>
        <w:spacing w:after="0" w:line="240" w:lineRule="auto"/>
      </w:pPr>
      <w:r>
        <w:separator/>
      </w:r>
    </w:p>
  </w:endnote>
  <w:endnote w:type="continuationSeparator" w:id="0">
    <w:p w14:paraId="5E379E1B" w14:textId="77777777" w:rsidR="00200A3A" w:rsidRDefault="00200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D267F" w14:textId="77777777" w:rsidR="00200A3A" w:rsidRDefault="00200A3A">
      <w:pPr>
        <w:spacing w:after="0" w:line="240" w:lineRule="auto"/>
      </w:pPr>
      <w:r>
        <w:separator/>
      </w:r>
    </w:p>
  </w:footnote>
  <w:footnote w:type="continuationSeparator" w:id="0">
    <w:p w14:paraId="04EEA47E" w14:textId="77777777" w:rsidR="00200A3A" w:rsidRDefault="00200A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1903CAFD"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4DF12BAC"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8473" w14:textId="3BFB879B" w:rsidR="00F365F8" w:rsidRPr="00F365F8" w:rsidRDefault="00F365F8" w:rsidP="00F365F8">
    <w:pPr>
      <w:pStyle w:val="Header"/>
      <w:jc w:val="center"/>
      <w:rPr>
        <w:rFonts w:ascii="Book Antiqua" w:hAnsi="Book Antiqua"/>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13DC07D2"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BBE">
      <w:rPr>
        <w:rStyle w:val="PageNumber"/>
        <w:noProof/>
      </w:rPr>
      <w:t>3</w: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AB23D5"/>
    <w:multiLevelType w:val="hybridMultilevel"/>
    <w:tmpl w:val="B5A05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D20720"/>
    <w:multiLevelType w:val="hybridMultilevel"/>
    <w:tmpl w:val="7F18311C"/>
    <w:lvl w:ilvl="0" w:tplc="E4D69924">
      <w:numFmt w:val="bullet"/>
      <w:lvlText w:val="•"/>
      <w:lvlJc w:val="left"/>
      <w:pPr>
        <w:ind w:left="1080" w:hanging="720"/>
      </w:pPr>
      <w:rPr>
        <w:rFonts w:ascii="Book Antiqua" w:eastAsia="Times New Roman" w:hAnsi="Book Antiqua" w:cs="Angsan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810AF0"/>
    <w:multiLevelType w:val="hybridMultilevel"/>
    <w:tmpl w:val="95E630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22753150">
    <w:abstractNumId w:val="2"/>
  </w:num>
  <w:num w:numId="2" w16cid:durableId="823815372">
    <w:abstractNumId w:val="0"/>
  </w:num>
  <w:num w:numId="3" w16cid:durableId="605384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175E4"/>
    <w:rsid w:val="00025EB1"/>
    <w:rsid w:val="00033EA4"/>
    <w:rsid w:val="00044E58"/>
    <w:rsid w:val="00066438"/>
    <w:rsid w:val="000803BB"/>
    <w:rsid w:val="000847BD"/>
    <w:rsid w:val="00087EDE"/>
    <w:rsid w:val="000A76BF"/>
    <w:rsid w:val="000F6FE4"/>
    <w:rsid w:val="0010413C"/>
    <w:rsid w:val="00140482"/>
    <w:rsid w:val="00140BBA"/>
    <w:rsid w:val="00144472"/>
    <w:rsid w:val="00145DE7"/>
    <w:rsid w:val="00177E35"/>
    <w:rsid w:val="00177ED7"/>
    <w:rsid w:val="00184E78"/>
    <w:rsid w:val="00191F49"/>
    <w:rsid w:val="001A73F5"/>
    <w:rsid w:val="001B790B"/>
    <w:rsid w:val="002008F9"/>
    <w:rsid w:val="00200A3A"/>
    <w:rsid w:val="00201498"/>
    <w:rsid w:val="00242A45"/>
    <w:rsid w:val="00247D30"/>
    <w:rsid w:val="00264213"/>
    <w:rsid w:val="00270EEC"/>
    <w:rsid w:val="0028176A"/>
    <w:rsid w:val="00297C84"/>
    <w:rsid w:val="002A33DC"/>
    <w:rsid w:val="002B6E4D"/>
    <w:rsid w:val="002D3AAB"/>
    <w:rsid w:val="002D44E9"/>
    <w:rsid w:val="002E3213"/>
    <w:rsid w:val="002E48C6"/>
    <w:rsid w:val="002E6BA3"/>
    <w:rsid w:val="003164CA"/>
    <w:rsid w:val="00324A2A"/>
    <w:rsid w:val="00347472"/>
    <w:rsid w:val="003612D4"/>
    <w:rsid w:val="003A0405"/>
    <w:rsid w:val="003C1366"/>
    <w:rsid w:val="003C65C8"/>
    <w:rsid w:val="003D68CC"/>
    <w:rsid w:val="003E24E9"/>
    <w:rsid w:val="003E39E3"/>
    <w:rsid w:val="003E72E9"/>
    <w:rsid w:val="003E7820"/>
    <w:rsid w:val="003F3004"/>
    <w:rsid w:val="003F7059"/>
    <w:rsid w:val="00404A06"/>
    <w:rsid w:val="00415F18"/>
    <w:rsid w:val="004221F3"/>
    <w:rsid w:val="00422BC5"/>
    <w:rsid w:val="004349A5"/>
    <w:rsid w:val="00437E4E"/>
    <w:rsid w:val="00455145"/>
    <w:rsid w:val="00487003"/>
    <w:rsid w:val="0049745A"/>
    <w:rsid w:val="00497EA0"/>
    <w:rsid w:val="004B3CD3"/>
    <w:rsid w:val="004B65E9"/>
    <w:rsid w:val="004B6D5A"/>
    <w:rsid w:val="004B74E2"/>
    <w:rsid w:val="004C23A0"/>
    <w:rsid w:val="004C7202"/>
    <w:rsid w:val="004F3663"/>
    <w:rsid w:val="004F4F17"/>
    <w:rsid w:val="005115A3"/>
    <w:rsid w:val="0052178C"/>
    <w:rsid w:val="00521E8B"/>
    <w:rsid w:val="005253C3"/>
    <w:rsid w:val="005328B0"/>
    <w:rsid w:val="005403E6"/>
    <w:rsid w:val="0054505E"/>
    <w:rsid w:val="00547D53"/>
    <w:rsid w:val="0055262D"/>
    <w:rsid w:val="00572584"/>
    <w:rsid w:val="00576E3B"/>
    <w:rsid w:val="00580ABA"/>
    <w:rsid w:val="005832A4"/>
    <w:rsid w:val="00587191"/>
    <w:rsid w:val="00592027"/>
    <w:rsid w:val="005A453E"/>
    <w:rsid w:val="005C2A07"/>
    <w:rsid w:val="005F5320"/>
    <w:rsid w:val="00612BCE"/>
    <w:rsid w:val="0061687E"/>
    <w:rsid w:val="006268BB"/>
    <w:rsid w:val="0064111D"/>
    <w:rsid w:val="00654081"/>
    <w:rsid w:val="00654548"/>
    <w:rsid w:val="00660962"/>
    <w:rsid w:val="006C05FD"/>
    <w:rsid w:val="006D6E2A"/>
    <w:rsid w:val="006D7F2B"/>
    <w:rsid w:val="006E2258"/>
    <w:rsid w:val="00713E60"/>
    <w:rsid w:val="00721B19"/>
    <w:rsid w:val="00721FBC"/>
    <w:rsid w:val="00752FAF"/>
    <w:rsid w:val="0075695E"/>
    <w:rsid w:val="00773ABF"/>
    <w:rsid w:val="00774512"/>
    <w:rsid w:val="0079702E"/>
    <w:rsid w:val="007B5E47"/>
    <w:rsid w:val="007C6FED"/>
    <w:rsid w:val="007E2DDA"/>
    <w:rsid w:val="008037C0"/>
    <w:rsid w:val="008121E1"/>
    <w:rsid w:val="008165E9"/>
    <w:rsid w:val="008375E5"/>
    <w:rsid w:val="00892287"/>
    <w:rsid w:val="008949D5"/>
    <w:rsid w:val="008A13E2"/>
    <w:rsid w:val="008A59E6"/>
    <w:rsid w:val="008B37AD"/>
    <w:rsid w:val="008D1FA0"/>
    <w:rsid w:val="008F7747"/>
    <w:rsid w:val="00907DEC"/>
    <w:rsid w:val="0092477E"/>
    <w:rsid w:val="00925F24"/>
    <w:rsid w:val="00960CE6"/>
    <w:rsid w:val="00970B5A"/>
    <w:rsid w:val="00975523"/>
    <w:rsid w:val="0097684F"/>
    <w:rsid w:val="00992E3E"/>
    <w:rsid w:val="00995861"/>
    <w:rsid w:val="009A766E"/>
    <w:rsid w:val="009C0285"/>
    <w:rsid w:val="009D768D"/>
    <w:rsid w:val="009E44EA"/>
    <w:rsid w:val="009E4C3C"/>
    <w:rsid w:val="009F012A"/>
    <w:rsid w:val="009F447A"/>
    <w:rsid w:val="009F54BF"/>
    <w:rsid w:val="00A27D28"/>
    <w:rsid w:val="00A32260"/>
    <w:rsid w:val="00A35E6C"/>
    <w:rsid w:val="00A400C7"/>
    <w:rsid w:val="00A462BA"/>
    <w:rsid w:val="00A47AFF"/>
    <w:rsid w:val="00A6433F"/>
    <w:rsid w:val="00A64923"/>
    <w:rsid w:val="00A73505"/>
    <w:rsid w:val="00A8449E"/>
    <w:rsid w:val="00AA36FD"/>
    <w:rsid w:val="00AA6D2B"/>
    <w:rsid w:val="00AB0624"/>
    <w:rsid w:val="00AC00AC"/>
    <w:rsid w:val="00AC1DBC"/>
    <w:rsid w:val="00AF7D36"/>
    <w:rsid w:val="00B04D87"/>
    <w:rsid w:val="00B05136"/>
    <w:rsid w:val="00B12306"/>
    <w:rsid w:val="00B246E2"/>
    <w:rsid w:val="00B25EEC"/>
    <w:rsid w:val="00B30458"/>
    <w:rsid w:val="00B32992"/>
    <w:rsid w:val="00B349BC"/>
    <w:rsid w:val="00B349FE"/>
    <w:rsid w:val="00B66413"/>
    <w:rsid w:val="00B96B8F"/>
    <w:rsid w:val="00BA0DEC"/>
    <w:rsid w:val="00BB0E9A"/>
    <w:rsid w:val="00BB28E4"/>
    <w:rsid w:val="00BE0CF7"/>
    <w:rsid w:val="00BE347E"/>
    <w:rsid w:val="00BF2D8C"/>
    <w:rsid w:val="00BF6FE7"/>
    <w:rsid w:val="00C06BE8"/>
    <w:rsid w:val="00C22BBE"/>
    <w:rsid w:val="00C2654C"/>
    <w:rsid w:val="00C32340"/>
    <w:rsid w:val="00C46478"/>
    <w:rsid w:val="00C6401A"/>
    <w:rsid w:val="00C67D94"/>
    <w:rsid w:val="00C912E5"/>
    <w:rsid w:val="00CD6646"/>
    <w:rsid w:val="00CE0493"/>
    <w:rsid w:val="00CF42FB"/>
    <w:rsid w:val="00CF76CE"/>
    <w:rsid w:val="00D0335C"/>
    <w:rsid w:val="00D056D7"/>
    <w:rsid w:val="00D41374"/>
    <w:rsid w:val="00D76276"/>
    <w:rsid w:val="00D83A8C"/>
    <w:rsid w:val="00D950F2"/>
    <w:rsid w:val="00DA4FF8"/>
    <w:rsid w:val="00DC0980"/>
    <w:rsid w:val="00DC4232"/>
    <w:rsid w:val="00DC4B5C"/>
    <w:rsid w:val="00DF1EE2"/>
    <w:rsid w:val="00DF3963"/>
    <w:rsid w:val="00DF471B"/>
    <w:rsid w:val="00E029BD"/>
    <w:rsid w:val="00E10CF7"/>
    <w:rsid w:val="00E14FD6"/>
    <w:rsid w:val="00E21FE6"/>
    <w:rsid w:val="00E4126E"/>
    <w:rsid w:val="00E43A92"/>
    <w:rsid w:val="00E60313"/>
    <w:rsid w:val="00E8321B"/>
    <w:rsid w:val="00E941EA"/>
    <w:rsid w:val="00E95DB4"/>
    <w:rsid w:val="00EA59A2"/>
    <w:rsid w:val="00EC61EE"/>
    <w:rsid w:val="00ED09F4"/>
    <w:rsid w:val="00EE2BA1"/>
    <w:rsid w:val="00EF2DA6"/>
    <w:rsid w:val="00EF5887"/>
    <w:rsid w:val="00F00A44"/>
    <w:rsid w:val="00F147DD"/>
    <w:rsid w:val="00F23242"/>
    <w:rsid w:val="00F25FC9"/>
    <w:rsid w:val="00F365F8"/>
    <w:rsid w:val="00F5379A"/>
    <w:rsid w:val="00F65830"/>
    <w:rsid w:val="00F749E3"/>
    <w:rsid w:val="00F92E41"/>
    <w:rsid w:val="00FA257A"/>
    <w:rsid w:val="00FA3FAF"/>
    <w:rsid w:val="00FA730D"/>
    <w:rsid w:val="00FB1335"/>
    <w:rsid w:val="00FE3F47"/>
    <w:rsid w:val="17007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F36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5F8"/>
    <w:rPr>
      <w:rFonts w:ascii="Calibri" w:eastAsia="Calibri" w:hAnsi="Calibri" w:cs="Times New Roman"/>
      <w:kern w:val="0"/>
      <w14:ligatures w14:val="none"/>
    </w:rPr>
  </w:style>
  <w:style w:type="paragraph" w:styleId="BodyText">
    <w:name w:val="Body Text"/>
    <w:basedOn w:val="Normal"/>
    <w:link w:val="BodyTextChar"/>
    <w:uiPriority w:val="99"/>
    <w:semiHidden/>
    <w:unhideWhenUsed/>
    <w:rsid w:val="00E10CF7"/>
    <w:pPr>
      <w:spacing w:after="120"/>
    </w:pPr>
  </w:style>
  <w:style w:type="character" w:customStyle="1" w:styleId="BodyTextChar">
    <w:name w:val="Body Text Char"/>
    <w:basedOn w:val="DefaultParagraphFont"/>
    <w:link w:val="BodyText"/>
    <w:uiPriority w:val="99"/>
    <w:semiHidden/>
    <w:rsid w:val="00E10CF7"/>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980592">
      <w:bodyDiv w:val="1"/>
      <w:marLeft w:val="0"/>
      <w:marRight w:val="0"/>
      <w:marTop w:val="0"/>
      <w:marBottom w:val="0"/>
      <w:divBdr>
        <w:top w:val="none" w:sz="0" w:space="0" w:color="auto"/>
        <w:left w:val="none" w:sz="0" w:space="0" w:color="auto"/>
        <w:bottom w:val="none" w:sz="0" w:space="0" w:color="auto"/>
        <w:right w:val="none" w:sz="0" w:space="0" w:color="auto"/>
      </w:divBdr>
    </w:div>
    <w:div w:id="201309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03ebc2ffddcd6250518ab00d16c8fb59">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80b3c1d65600d7d982767bfad0b80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52AD1D2F-092B-4EEE-BB3A-86FA04B85966}">
  <ds:schemaRefs>
    <ds:schemaRef ds:uri="http://schemas.microsoft.com/sharepoint/v3/contenttype/forms"/>
  </ds:schemaRefs>
</ds:datastoreItem>
</file>

<file path=customXml/itemProps2.xml><?xml version="1.0" encoding="utf-8"?>
<ds:datastoreItem xmlns:ds="http://schemas.openxmlformats.org/officeDocument/2006/customXml" ds:itemID="{3E20EE6D-A2AF-441A-AA88-CC2558195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915B40-49BB-4ED5-9BA2-554F091D4320}">
  <ds:schemaRefs>
    <ds:schemaRef ds:uri="http://schemas.microsoft.com/office/2006/metadata/properties"/>
    <ds:schemaRef ds:uri="http://schemas.microsoft.com/office/infopath/2007/PartnerControls"/>
    <ds:schemaRef ds:uri="92f57704-3039-4ebf-ac81-f8b12810bd0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788</Words>
  <Characters>4296</Characters>
  <Application>Microsoft Office Word</Application>
  <DocSecurity>0</DocSecurity>
  <Lines>89</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Kristal Rivera Sanchez</cp:lastModifiedBy>
  <cp:revision>2</cp:revision>
  <cp:lastPrinted>2026-03-23T15:43:00Z</cp:lastPrinted>
  <dcterms:created xsi:type="dcterms:W3CDTF">2026-04-06T18:39:00Z</dcterms:created>
  <dcterms:modified xsi:type="dcterms:W3CDTF">2026-04-06T18:39:00Z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y fmtid="{D5CDD505-2E9C-101B-9397-08002B2CF9AE}" pid="3" name="ContentTypeId">
    <vt:lpwstr>0x01010066EC4548D9B7A147ACBF4A48EC93BABF</vt:lpwstr>
  </property>
</Properties>
</file>