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17EE4" w14:textId="77777777" w:rsidR="00BE7B27" w:rsidRPr="00BE7B27" w:rsidRDefault="00BE7B27" w:rsidP="00BE7B27">
      <w:pPr>
        <w:spacing w:after="0" w:line="240" w:lineRule="auto"/>
        <w:jc w:val="center"/>
        <w:rPr>
          <w:rFonts w:ascii="Book Antiqua" w:eastAsia="Times New Roman" w:hAnsi="Book Antiqua"/>
          <w:b/>
          <w:bCs/>
          <w:sz w:val="24"/>
          <w:szCs w:val="24"/>
          <w:lang w:val="es-PR"/>
        </w:rPr>
      </w:pPr>
      <w:bookmarkStart w:id="0" w:name="_Hlk138253982"/>
      <w:r w:rsidRPr="00BE7B27">
        <w:rPr>
          <w:rFonts w:ascii="Book Antiqua" w:eastAsia="Times New Roman" w:hAnsi="Book Antiqua"/>
          <w:b/>
          <w:bCs/>
          <w:sz w:val="24"/>
          <w:szCs w:val="24"/>
          <w:lang w:val="es-PR"/>
        </w:rPr>
        <w:t>(TEXTO DE APROBACIÓN FINAL POR LA CÁMARA)</w:t>
      </w:r>
      <w:r w:rsidRPr="00BE7B27">
        <w:rPr>
          <w:rFonts w:ascii="Book Antiqua" w:eastAsia="Times New Roman" w:hAnsi="Book Antiqua"/>
          <w:b/>
          <w:bCs/>
          <w:sz w:val="24"/>
          <w:szCs w:val="24"/>
          <w:lang w:val="es-ES_tradnl"/>
        </w:rPr>
        <w:fldChar w:fldCharType="begin"/>
      </w:r>
      <w:r w:rsidRPr="00BE7B27">
        <w:rPr>
          <w:rFonts w:ascii="Book Antiqua" w:eastAsia="Times New Roman" w:hAnsi="Book Antiqua"/>
          <w:b/>
          <w:bCs/>
          <w:sz w:val="24"/>
          <w:szCs w:val="24"/>
          <w:lang w:val="es-PR"/>
        </w:rPr>
        <w:instrText xml:space="preserve">PRIVATE </w:instrText>
      </w:r>
      <w:r w:rsidRPr="00BE7B27">
        <w:rPr>
          <w:rFonts w:ascii="Book Antiqua" w:eastAsia="Times New Roman" w:hAnsi="Book Antiqua"/>
          <w:b/>
          <w:bCs/>
          <w:sz w:val="24"/>
          <w:szCs w:val="24"/>
          <w:lang w:val="es-ES_tradnl"/>
        </w:rPr>
        <w:fldChar w:fldCharType="end"/>
      </w:r>
    </w:p>
    <w:p w14:paraId="47EDB0BE" w14:textId="77777777" w:rsidR="00BE7B27" w:rsidRPr="00BE7B27" w:rsidRDefault="00BE7B27" w:rsidP="00BE7B27">
      <w:pPr>
        <w:spacing w:after="0" w:line="240" w:lineRule="auto"/>
        <w:jc w:val="center"/>
        <w:rPr>
          <w:rFonts w:ascii="Book Antiqua" w:eastAsia="Times New Roman" w:hAnsi="Book Antiqua"/>
          <w:b/>
          <w:bCs/>
          <w:sz w:val="24"/>
          <w:szCs w:val="24"/>
          <w:lang w:val="es-PR"/>
        </w:rPr>
      </w:pPr>
      <w:r w:rsidRPr="00BE7B27">
        <w:rPr>
          <w:rFonts w:ascii="Book Antiqua" w:eastAsia="Times New Roman" w:hAnsi="Book Antiqua"/>
          <w:b/>
          <w:bCs/>
          <w:sz w:val="24"/>
          <w:szCs w:val="24"/>
          <w:lang w:val="es-PR"/>
        </w:rPr>
        <w:t>(18 DE SEPTIEMBRE DE 2025)</w:t>
      </w:r>
    </w:p>
    <w:p w14:paraId="04A2408B" w14:textId="77777777" w:rsidR="00BE7B27" w:rsidRPr="00BE7B27" w:rsidRDefault="00BE7B27" w:rsidP="00BE7B27">
      <w:pPr>
        <w:spacing w:after="0" w:line="240" w:lineRule="auto"/>
        <w:jc w:val="center"/>
        <w:rPr>
          <w:rFonts w:ascii="Book Antiqua" w:eastAsia="Times New Roman" w:hAnsi="Book Antiqua"/>
          <w:b/>
          <w:bCs/>
          <w:sz w:val="24"/>
          <w:szCs w:val="24"/>
          <w:lang w:val="es-ES_tradnl"/>
        </w:rPr>
      </w:pPr>
      <w:r w:rsidRPr="00BE7B27">
        <w:rPr>
          <w:rFonts w:ascii="Book Antiqua" w:eastAsia="Times New Roman" w:hAnsi="Book Antiqua"/>
          <w:b/>
          <w:bCs/>
          <w:noProof/>
          <w:sz w:val="24"/>
          <w:szCs w:val="24"/>
        </w:rPr>
        <mc:AlternateContent>
          <mc:Choice Requires="wps">
            <w:drawing>
              <wp:anchor distT="0" distB="0" distL="114300" distR="114300" simplePos="0" relativeHeight="251659264" behindDoc="1" locked="0" layoutInCell="0" allowOverlap="1" wp14:anchorId="5F92CDF7" wp14:editId="1DF462C9">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150C0C"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9D2B5DC" w14:textId="104A44D0" w:rsidR="00C22BBE" w:rsidRPr="00C22BBE" w:rsidRDefault="00D41374" w:rsidP="00C22BBE">
      <w:pPr>
        <w:spacing w:after="0" w:line="240" w:lineRule="auto"/>
        <w:jc w:val="center"/>
        <w:rPr>
          <w:rFonts w:ascii="Book Antiqua" w:eastAsia="SimSun" w:hAnsi="Book Antiqua" w:cs="Arial"/>
          <w:b/>
          <w:bCs/>
          <w:sz w:val="24"/>
          <w:szCs w:val="24"/>
          <w:lang w:val="es-ES_tradnl"/>
        </w:rPr>
      </w:pPr>
      <w:r>
        <w:rPr>
          <w:rFonts w:ascii="Book Antiqua" w:eastAsia="Times New Roman" w:hAnsi="Book Antiqua"/>
          <w:sz w:val="28"/>
          <w:szCs w:val="28"/>
          <w:lang w:val="es-ES_tradnl"/>
        </w:rPr>
        <w:t>GOBIERNO</w:t>
      </w:r>
      <w:r w:rsidR="00C22BBE" w:rsidRPr="00C22BBE">
        <w:rPr>
          <w:rFonts w:ascii="Book Antiqua" w:eastAsia="Times New Roman" w:hAnsi="Book Antiqua"/>
          <w:sz w:val="28"/>
          <w:szCs w:val="28"/>
          <w:lang w:val="es-ES_tradnl"/>
        </w:rPr>
        <w:t xml:space="preserve"> DE PUERTO RICO</w:t>
      </w:r>
    </w:p>
    <w:p w14:paraId="7397735D" w14:textId="77777777" w:rsidR="00C22BBE" w:rsidRPr="00612BCE" w:rsidRDefault="00C22BBE" w:rsidP="00C22BBE">
      <w:pPr>
        <w:spacing w:after="0" w:line="240" w:lineRule="auto"/>
        <w:jc w:val="center"/>
        <w:rPr>
          <w:rFonts w:ascii="Book Antiqua" w:eastAsia="Times New Roman" w:hAnsi="Book Antiqua"/>
          <w:color w:val="0D0D0D"/>
          <w:sz w:val="24"/>
          <w:szCs w:val="24"/>
          <w:lang w:val="es-ES_tradnl"/>
        </w:rPr>
      </w:pPr>
    </w:p>
    <w:p w14:paraId="1431AAB4" w14:textId="1BD7695F" w:rsidR="00C22BBE" w:rsidRPr="00C22BBE" w:rsidRDefault="00C22BBE" w:rsidP="00C22BBE">
      <w:pPr>
        <w:spacing w:after="0" w:line="240" w:lineRule="auto"/>
        <w:rPr>
          <w:rFonts w:ascii="Book Antiqua" w:eastAsia="Times New Roman" w:hAnsi="Book Antiqua"/>
          <w:color w:val="0D0D0D"/>
          <w:sz w:val="24"/>
          <w:szCs w:val="24"/>
          <w:lang w:val="es-ES_tradnl"/>
        </w:rPr>
      </w:pPr>
      <w:r w:rsidRPr="00C22BBE">
        <w:rPr>
          <w:rFonts w:ascii="Book Antiqua" w:eastAsia="Times New Roman" w:hAnsi="Book Antiqua"/>
          <w:color w:val="0D0D0D"/>
          <w:sz w:val="24"/>
          <w:szCs w:val="24"/>
          <w:lang w:val="es-ES_tradnl"/>
        </w:rPr>
        <w:t>20</w:t>
      </w:r>
      <w:r w:rsidRPr="00DF1EE2">
        <w:rPr>
          <w:rFonts w:ascii="Book Antiqua" w:eastAsia="Times New Roman" w:hAnsi="Book Antiqua"/>
          <w:color w:val="0D0D0D"/>
          <w:sz w:val="24"/>
          <w:szCs w:val="24"/>
          <w:vertAlign w:val="superscript"/>
          <w:lang w:val="es-ES_tradnl"/>
        </w:rPr>
        <w:t>ma.</w:t>
      </w:r>
      <w:r w:rsidRPr="00C22BBE">
        <w:rPr>
          <w:rFonts w:ascii="Book Antiqua" w:eastAsia="Times New Roman" w:hAnsi="Book Antiqua"/>
          <w:color w:val="0D0D0D"/>
          <w:sz w:val="24"/>
          <w:szCs w:val="24"/>
          <w:lang w:val="es-ES_tradnl"/>
        </w:rPr>
        <w:t xml:space="preserve"> Asamblea                                                                                                      </w:t>
      </w:r>
      <w:r w:rsidR="00DF1EE2">
        <w:rPr>
          <w:rFonts w:ascii="Book Antiqua" w:eastAsia="Times New Roman" w:hAnsi="Book Antiqua"/>
          <w:color w:val="0D0D0D"/>
          <w:sz w:val="24"/>
          <w:szCs w:val="24"/>
          <w:lang w:val="es-ES_tradnl"/>
        </w:rPr>
        <w:t>2</w:t>
      </w:r>
      <w:r w:rsidR="00DF1EE2">
        <w:rPr>
          <w:rFonts w:ascii="Book Antiqua" w:eastAsia="Times New Roman" w:hAnsi="Book Antiqua"/>
          <w:color w:val="0D0D0D"/>
          <w:sz w:val="24"/>
          <w:szCs w:val="24"/>
          <w:vertAlign w:val="superscript"/>
          <w:lang w:val="es-ES_tradnl"/>
        </w:rPr>
        <w:t>d</w:t>
      </w:r>
      <w:r w:rsidRPr="00DF1EE2">
        <w:rPr>
          <w:rFonts w:ascii="Book Antiqua" w:eastAsia="Times New Roman" w:hAnsi="Book Antiqua"/>
          <w:color w:val="0D0D0D"/>
          <w:sz w:val="24"/>
          <w:szCs w:val="24"/>
          <w:vertAlign w:val="superscript"/>
          <w:lang w:val="es-ES_tradnl"/>
        </w:rPr>
        <w:t>a.</w:t>
      </w:r>
      <w:r w:rsidRPr="00C22BBE">
        <w:rPr>
          <w:rFonts w:ascii="Book Antiqua" w:eastAsia="Times New Roman" w:hAnsi="Book Antiqua"/>
          <w:color w:val="0D0D0D"/>
          <w:sz w:val="24"/>
          <w:szCs w:val="24"/>
          <w:lang w:val="es-ES_tradnl"/>
        </w:rPr>
        <w:t xml:space="preserve"> Sesión</w:t>
      </w:r>
    </w:p>
    <w:p w14:paraId="506E6EDE" w14:textId="77777777" w:rsidR="00C22BBE" w:rsidRPr="00C22BBE" w:rsidRDefault="00C22BBE" w:rsidP="00C22BBE">
      <w:pPr>
        <w:spacing w:after="0" w:line="240" w:lineRule="auto"/>
        <w:rPr>
          <w:rFonts w:ascii="Book Antiqua" w:eastAsia="Times New Roman" w:hAnsi="Book Antiqua"/>
          <w:color w:val="0D0D0D"/>
          <w:sz w:val="24"/>
          <w:szCs w:val="24"/>
          <w:lang w:val="es-ES_tradnl"/>
        </w:rPr>
      </w:pPr>
      <w:r w:rsidRPr="00C22BBE">
        <w:rPr>
          <w:rFonts w:ascii="Book Antiqua" w:eastAsia="Times New Roman" w:hAnsi="Book Antiqua"/>
          <w:color w:val="0D0D0D"/>
          <w:sz w:val="24"/>
          <w:szCs w:val="24"/>
          <w:lang w:val="es-ES_tradnl"/>
        </w:rPr>
        <w:t xml:space="preserve">           Legislativa                                                                                                  </w:t>
      </w:r>
      <w:r w:rsidRPr="00C22BBE">
        <w:rPr>
          <w:rFonts w:ascii="Book Antiqua" w:eastAsia="Times New Roman" w:hAnsi="Book Antiqua"/>
          <w:color w:val="0D0D0D"/>
          <w:sz w:val="24"/>
          <w:szCs w:val="24"/>
          <w:lang w:val="es-ES_tradnl"/>
        </w:rPr>
        <w:tab/>
        <w:t xml:space="preserve">      Ordinaria</w:t>
      </w:r>
    </w:p>
    <w:p w14:paraId="37A00C52" w14:textId="77777777" w:rsidR="00C22BBE" w:rsidRPr="00C22BBE" w:rsidRDefault="00C22BBE" w:rsidP="00C22BBE">
      <w:pPr>
        <w:spacing w:after="0" w:line="240" w:lineRule="auto"/>
        <w:rPr>
          <w:rFonts w:ascii="Book Antiqua" w:eastAsia="Times New Roman" w:hAnsi="Book Antiqua"/>
          <w:color w:val="0D0D0D"/>
          <w:sz w:val="24"/>
          <w:szCs w:val="24"/>
          <w:lang w:val="es-ES_tradnl"/>
        </w:rPr>
      </w:pPr>
    </w:p>
    <w:p w14:paraId="12057F2F" w14:textId="77777777" w:rsidR="00C22BBE" w:rsidRPr="00C22BBE" w:rsidRDefault="00C22BBE" w:rsidP="00C22BBE">
      <w:pPr>
        <w:keepNext/>
        <w:spacing w:after="0" w:line="240" w:lineRule="auto"/>
        <w:jc w:val="center"/>
        <w:outlineLvl w:val="0"/>
        <w:rPr>
          <w:rFonts w:ascii="Book Antiqua" w:eastAsia="Times New Roman" w:hAnsi="Book Antiqua"/>
          <w:b/>
          <w:bCs/>
          <w:iCs/>
          <w:color w:val="0D0D0D"/>
          <w:sz w:val="36"/>
          <w:szCs w:val="36"/>
          <w:lang w:val="es-ES_tradnl"/>
        </w:rPr>
      </w:pPr>
      <w:r w:rsidRPr="00C22BBE">
        <w:rPr>
          <w:rFonts w:ascii="Book Antiqua" w:eastAsia="Times New Roman" w:hAnsi="Book Antiqua"/>
          <w:b/>
          <w:bCs/>
          <w:iCs/>
          <w:color w:val="0D0D0D"/>
          <w:sz w:val="36"/>
          <w:szCs w:val="36"/>
          <w:lang w:val="es-ES_tradnl"/>
        </w:rPr>
        <w:t>CÁMARA DE REPRESENTANTES</w:t>
      </w:r>
    </w:p>
    <w:p w14:paraId="77ECD5EF" w14:textId="77777777" w:rsidR="00C22BBE" w:rsidRPr="00C22BBE" w:rsidRDefault="00C22BBE" w:rsidP="00C22BBE">
      <w:pPr>
        <w:spacing w:after="0" w:line="240" w:lineRule="auto"/>
        <w:jc w:val="center"/>
        <w:rPr>
          <w:rFonts w:ascii="Book Antiqua" w:eastAsia="Times New Roman" w:hAnsi="Book Antiqua"/>
          <w:color w:val="0D0D0D"/>
          <w:sz w:val="24"/>
          <w:szCs w:val="20"/>
          <w:lang w:val="es-ES_tradnl"/>
        </w:rPr>
      </w:pPr>
    </w:p>
    <w:p w14:paraId="53D823F0" w14:textId="4C264BF8" w:rsidR="00C22BBE" w:rsidRPr="00C22BBE" w:rsidRDefault="00C22BBE" w:rsidP="00C22BBE">
      <w:pPr>
        <w:spacing w:after="0" w:line="240" w:lineRule="auto"/>
        <w:jc w:val="center"/>
        <w:rPr>
          <w:rFonts w:ascii="Book Antiqua" w:eastAsia="Times New Roman" w:hAnsi="Book Antiqua"/>
          <w:b/>
          <w:bCs/>
          <w:color w:val="0D0D0D"/>
          <w:sz w:val="52"/>
          <w:szCs w:val="52"/>
          <w:lang w:val="es-ES_tradnl"/>
        </w:rPr>
      </w:pPr>
      <w:r w:rsidRPr="00C22BBE">
        <w:rPr>
          <w:rFonts w:ascii="Book Antiqua" w:eastAsia="Times New Roman" w:hAnsi="Book Antiqua"/>
          <w:b/>
          <w:bCs/>
          <w:color w:val="0D0D0D"/>
          <w:sz w:val="52"/>
          <w:szCs w:val="52"/>
          <w:lang w:val="es-ES_tradnl"/>
        </w:rPr>
        <w:t xml:space="preserve">R. de la C. </w:t>
      </w:r>
      <w:r w:rsidR="00BA3C2F">
        <w:rPr>
          <w:rFonts w:ascii="Book Antiqua" w:eastAsia="Times New Roman" w:hAnsi="Book Antiqua"/>
          <w:b/>
          <w:bCs/>
          <w:color w:val="0D0D0D"/>
          <w:sz w:val="52"/>
          <w:szCs w:val="52"/>
          <w:lang w:val="es-ES_tradnl"/>
        </w:rPr>
        <w:t>428</w:t>
      </w:r>
    </w:p>
    <w:p w14:paraId="25E7A09B" w14:textId="77777777" w:rsidR="00C22BBE" w:rsidRPr="00C22BBE" w:rsidRDefault="00C22BBE" w:rsidP="00C22BBE">
      <w:pPr>
        <w:spacing w:after="0" w:line="240" w:lineRule="auto"/>
        <w:jc w:val="center"/>
        <w:rPr>
          <w:rFonts w:ascii="Book Antiqua" w:eastAsia="Times New Roman" w:hAnsi="Book Antiqua"/>
          <w:bCs/>
          <w:color w:val="0D0D0D"/>
          <w:sz w:val="24"/>
          <w:szCs w:val="20"/>
          <w:lang w:val="es-ES_tradnl"/>
        </w:rPr>
      </w:pPr>
    </w:p>
    <w:p w14:paraId="42091BCC" w14:textId="757D56E6" w:rsidR="00C22BBE" w:rsidRPr="00C22BBE" w:rsidRDefault="00BA3C2F" w:rsidP="00C22BBE">
      <w:pPr>
        <w:spacing w:after="0" w:line="240" w:lineRule="auto"/>
        <w:jc w:val="center"/>
        <w:rPr>
          <w:rFonts w:ascii="Book Antiqua" w:eastAsia="Times New Roman" w:hAnsi="Book Antiqua"/>
          <w:caps/>
          <w:color w:val="0D0D0D"/>
          <w:sz w:val="24"/>
          <w:szCs w:val="20"/>
          <w:lang w:val="es-ES_tradnl"/>
        </w:rPr>
      </w:pPr>
      <w:r>
        <w:rPr>
          <w:rFonts w:ascii="Book Antiqua" w:eastAsia="Times New Roman" w:hAnsi="Book Antiqua"/>
          <w:caps/>
          <w:color w:val="0D0D0D"/>
          <w:sz w:val="24"/>
          <w:szCs w:val="20"/>
          <w:lang w:val="es-ES_tradnl"/>
        </w:rPr>
        <w:t>10</w:t>
      </w:r>
      <w:r w:rsidR="00C46478">
        <w:rPr>
          <w:rFonts w:ascii="Book Antiqua" w:eastAsia="Times New Roman" w:hAnsi="Book Antiqua"/>
          <w:caps/>
          <w:color w:val="0D0D0D"/>
          <w:sz w:val="24"/>
          <w:szCs w:val="20"/>
          <w:lang w:val="es-ES_tradnl"/>
        </w:rPr>
        <w:t xml:space="preserve"> </w:t>
      </w:r>
      <w:r w:rsidR="00C22BBE" w:rsidRPr="00C22BBE">
        <w:rPr>
          <w:rFonts w:ascii="Book Antiqua" w:eastAsia="Times New Roman" w:hAnsi="Book Antiqua"/>
          <w:caps/>
          <w:color w:val="0D0D0D"/>
          <w:sz w:val="24"/>
          <w:szCs w:val="20"/>
          <w:lang w:val="es-ES_tradnl"/>
        </w:rPr>
        <w:t xml:space="preserve">de </w:t>
      </w:r>
      <w:r w:rsidR="00F92E41">
        <w:rPr>
          <w:rFonts w:ascii="Book Antiqua" w:eastAsia="Times New Roman" w:hAnsi="Book Antiqua"/>
          <w:caps/>
          <w:color w:val="0D0D0D"/>
          <w:sz w:val="24"/>
          <w:szCs w:val="20"/>
          <w:lang w:val="es-ES_tradnl"/>
        </w:rPr>
        <w:t>septiembre</w:t>
      </w:r>
      <w:r w:rsidR="00C22BBE" w:rsidRPr="00C22BBE">
        <w:rPr>
          <w:rFonts w:ascii="Book Antiqua" w:eastAsia="Times New Roman" w:hAnsi="Book Antiqua"/>
          <w:caps/>
          <w:color w:val="0D0D0D"/>
          <w:sz w:val="24"/>
          <w:szCs w:val="20"/>
          <w:lang w:val="es-ES_tradnl"/>
        </w:rPr>
        <w:t xml:space="preserve"> de 2025</w:t>
      </w:r>
    </w:p>
    <w:p w14:paraId="727C3181" w14:textId="77777777" w:rsidR="00C22BBE" w:rsidRPr="00C22BBE" w:rsidRDefault="00C22BBE" w:rsidP="00C22BBE">
      <w:pPr>
        <w:spacing w:after="0" w:line="240" w:lineRule="auto"/>
        <w:jc w:val="center"/>
        <w:rPr>
          <w:rFonts w:ascii="Book Antiqua" w:eastAsia="Times New Roman" w:hAnsi="Book Antiqua"/>
          <w:caps/>
          <w:color w:val="0D0D0D"/>
          <w:sz w:val="24"/>
          <w:szCs w:val="20"/>
          <w:lang w:val="es-ES_tradnl"/>
        </w:rPr>
      </w:pPr>
    </w:p>
    <w:p w14:paraId="21841E3F" w14:textId="7131CE20" w:rsidR="00C22BBE" w:rsidRDefault="00C22BBE" w:rsidP="00C22BBE">
      <w:pPr>
        <w:spacing w:after="0" w:line="240" w:lineRule="auto"/>
        <w:jc w:val="center"/>
        <w:rPr>
          <w:rFonts w:ascii="Book Antiqua" w:eastAsia="Times New Roman" w:hAnsi="Book Antiqua"/>
          <w:i/>
          <w:iCs/>
          <w:color w:val="0D0D0D"/>
          <w:sz w:val="24"/>
          <w:szCs w:val="20"/>
          <w:lang w:val="es-ES_tradnl"/>
        </w:rPr>
      </w:pPr>
      <w:r w:rsidRPr="00C22BBE">
        <w:rPr>
          <w:rFonts w:ascii="Book Antiqua" w:eastAsia="Times New Roman" w:hAnsi="Book Antiqua"/>
          <w:color w:val="0D0D0D"/>
          <w:sz w:val="24"/>
          <w:szCs w:val="20"/>
          <w:lang w:val="es-ES_tradnl"/>
        </w:rPr>
        <w:t>Presentad</w:t>
      </w:r>
      <w:r w:rsidR="00A27D28">
        <w:rPr>
          <w:rFonts w:ascii="Book Antiqua" w:eastAsia="Times New Roman" w:hAnsi="Book Antiqua"/>
          <w:color w:val="0D0D0D"/>
          <w:sz w:val="24"/>
          <w:szCs w:val="20"/>
          <w:lang w:val="es-ES_tradnl"/>
        </w:rPr>
        <w:t>a</w:t>
      </w:r>
      <w:r w:rsidRPr="00C22BBE">
        <w:rPr>
          <w:rFonts w:ascii="Book Antiqua" w:eastAsia="Times New Roman" w:hAnsi="Book Antiqua"/>
          <w:color w:val="0D0D0D"/>
          <w:sz w:val="24"/>
          <w:szCs w:val="20"/>
          <w:lang w:val="es-ES_tradnl"/>
        </w:rPr>
        <w:t xml:space="preserve"> por el </w:t>
      </w:r>
      <w:r w:rsidR="00D41374">
        <w:rPr>
          <w:rFonts w:ascii="Book Antiqua" w:eastAsia="Times New Roman" w:hAnsi="Book Antiqua"/>
          <w:color w:val="0D0D0D"/>
          <w:sz w:val="24"/>
          <w:szCs w:val="20"/>
          <w:lang w:val="es-ES_tradnl"/>
        </w:rPr>
        <w:t>representante</w:t>
      </w:r>
      <w:r w:rsidRPr="00C22BBE">
        <w:rPr>
          <w:rFonts w:ascii="Book Antiqua" w:eastAsia="Times New Roman" w:hAnsi="Book Antiqua"/>
          <w:color w:val="0D0D0D"/>
          <w:sz w:val="24"/>
          <w:szCs w:val="20"/>
          <w:lang w:val="es-ES_tradnl"/>
        </w:rPr>
        <w:t xml:space="preserve"> </w:t>
      </w:r>
      <w:r w:rsidR="00F92E41">
        <w:rPr>
          <w:rFonts w:ascii="Book Antiqua" w:eastAsia="Times New Roman" w:hAnsi="Book Antiqua"/>
          <w:i/>
          <w:iCs/>
          <w:color w:val="0D0D0D"/>
          <w:sz w:val="24"/>
          <w:szCs w:val="20"/>
          <w:lang w:val="es-ES_tradnl"/>
        </w:rPr>
        <w:t>M</w:t>
      </w:r>
      <w:r w:rsidRPr="00C22BBE">
        <w:rPr>
          <w:rFonts w:ascii="Book Antiqua" w:eastAsia="Times New Roman" w:hAnsi="Book Antiqua"/>
          <w:i/>
          <w:iCs/>
          <w:color w:val="0D0D0D"/>
          <w:sz w:val="24"/>
          <w:szCs w:val="20"/>
          <w:lang w:val="es-ES_tradnl"/>
        </w:rPr>
        <w:t>é</w:t>
      </w:r>
      <w:r w:rsidR="00F92E41">
        <w:rPr>
          <w:rFonts w:ascii="Book Antiqua" w:eastAsia="Times New Roman" w:hAnsi="Book Antiqua"/>
          <w:i/>
          <w:iCs/>
          <w:color w:val="0D0D0D"/>
          <w:sz w:val="24"/>
          <w:szCs w:val="20"/>
          <w:lang w:val="es-ES_tradnl"/>
        </w:rPr>
        <w:t>ndez Núñez</w:t>
      </w:r>
      <w:r w:rsidRPr="00C22BBE">
        <w:rPr>
          <w:rFonts w:ascii="Book Antiqua" w:eastAsia="Times New Roman" w:hAnsi="Book Antiqua"/>
          <w:i/>
          <w:iCs/>
          <w:color w:val="0D0D0D"/>
          <w:sz w:val="24"/>
          <w:szCs w:val="20"/>
          <w:lang w:val="es-ES_tradnl"/>
        </w:rPr>
        <w:t xml:space="preserve"> </w:t>
      </w:r>
    </w:p>
    <w:p w14:paraId="3879DB9D" w14:textId="77777777" w:rsidR="00350987" w:rsidRPr="00C22BBE" w:rsidRDefault="00350987" w:rsidP="00350987">
      <w:pPr>
        <w:spacing w:after="0" w:line="240" w:lineRule="auto"/>
        <w:jc w:val="center"/>
        <w:rPr>
          <w:rFonts w:ascii="Book Antiqua" w:eastAsia="Times New Roman" w:hAnsi="Book Antiqua"/>
          <w:i/>
          <w:iCs/>
          <w:color w:val="0D0D0D"/>
          <w:sz w:val="24"/>
          <w:szCs w:val="20"/>
          <w:lang w:val="es-ES_tradnl"/>
        </w:rPr>
      </w:pPr>
      <w:r>
        <w:rPr>
          <w:rFonts w:ascii="Book Antiqua" w:eastAsia="Times New Roman" w:hAnsi="Book Antiqua"/>
          <w:i/>
          <w:iCs/>
          <w:color w:val="0D0D0D"/>
          <w:sz w:val="24"/>
          <w:szCs w:val="20"/>
          <w:lang w:val="es-ES_tradnl"/>
        </w:rPr>
        <w:t>(Por Petición del Banco de Sangre de Puerto Rico en Centro Médico)</w:t>
      </w:r>
    </w:p>
    <w:p w14:paraId="64891E71" w14:textId="77777777" w:rsidR="00C22BBE" w:rsidRPr="00C22BBE" w:rsidRDefault="00C22BBE" w:rsidP="00C22BBE">
      <w:pPr>
        <w:spacing w:after="0" w:line="240" w:lineRule="auto"/>
        <w:jc w:val="center"/>
        <w:rPr>
          <w:rFonts w:ascii="Book Antiqua" w:eastAsia="Times New Roman" w:hAnsi="Book Antiqua"/>
          <w:i/>
          <w:iCs/>
          <w:color w:val="0D0D0D"/>
          <w:sz w:val="24"/>
          <w:szCs w:val="20"/>
          <w:lang w:val="es-ES_tradnl"/>
        </w:rPr>
      </w:pPr>
    </w:p>
    <w:p w14:paraId="7B61C0CB" w14:textId="144DC195" w:rsidR="00C22BBE" w:rsidRPr="00C22BBE" w:rsidRDefault="00C22BBE" w:rsidP="00C22BBE">
      <w:pPr>
        <w:spacing w:after="0" w:line="240" w:lineRule="auto"/>
        <w:jc w:val="center"/>
        <w:rPr>
          <w:rFonts w:ascii="Book Antiqua" w:eastAsia="Times New Roman" w:hAnsi="Book Antiqua"/>
          <w:color w:val="0D0D0D"/>
          <w:sz w:val="24"/>
          <w:szCs w:val="20"/>
          <w:lang w:val="es-ES_tradnl"/>
        </w:rPr>
      </w:pPr>
      <w:r w:rsidRPr="00C22BBE">
        <w:rPr>
          <w:rFonts w:ascii="Book Antiqua" w:eastAsia="Times New Roman" w:hAnsi="Book Antiqua"/>
          <w:color w:val="0D0D0D"/>
          <w:sz w:val="24"/>
          <w:szCs w:val="20"/>
          <w:lang w:val="es-ES_tradnl"/>
        </w:rPr>
        <w:t>Referid</w:t>
      </w:r>
      <w:r w:rsidR="00A27D28">
        <w:rPr>
          <w:rFonts w:ascii="Book Antiqua" w:eastAsia="Times New Roman" w:hAnsi="Book Antiqua"/>
          <w:color w:val="0D0D0D"/>
          <w:sz w:val="24"/>
          <w:szCs w:val="20"/>
          <w:lang w:val="es-ES_tradnl"/>
        </w:rPr>
        <w:t>a</w:t>
      </w:r>
      <w:r w:rsidRPr="00C22BBE">
        <w:rPr>
          <w:rFonts w:ascii="Book Antiqua" w:eastAsia="Times New Roman" w:hAnsi="Book Antiqua"/>
          <w:color w:val="0D0D0D"/>
          <w:sz w:val="24"/>
          <w:szCs w:val="20"/>
          <w:lang w:val="es-ES_tradnl"/>
        </w:rPr>
        <w:t xml:space="preserve"> a la Comisión de </w:t>
      </w:r>
      <w:r w:rsidR="00657B3E">
        <w:rPr>
          <w:rFonts w:ascii="Book Antiqua" w:eastAsia="Times New Roman" w:hAnsi="Book Antiqua"/>
          <w:color w:val="0D0D0D"/>
          <w:sz w:val="24"/>
          <w:szCs w:val="20"/>
          <w:lang w:val="es-ES_tradnl"/>
        </w:rPr>
        <w:t>Asuntos Internos</w:t>
      </w:r>
    </w:p>
    <w:p w14:paraId="702E3397" w14:textId="77777777" w:rsidR="00C22BBE" w:rsidRPr="00C22BBE" w:rsidRDefault="00C22BBE" w:rsidP="00C22BBE">
      <w:pPr>
        <w:spacing w:after="0" w:line="240" w:lineRule="auto"/>
        <w:jc w:val="center"/>
        <w:rPr>
          <w:rFonts w:ascii="Book Antiqua" w:eastAsia="Times New Roman" w:hAnsi="Book Antiqua"/>
          <w:color w:val="0D0D0D"/>
          <w:sz w:val="24"/>
          <w:szCs w:val="20"/>
          <w:lang w:val="es-ES_tradnl"/>
        </w:rPr>
      </w:pPr>
    </w:p>
    <w:p w14:paraId="377E0DD5" w14:textId="77777777" w:rsidR="00C22BBE" w:rsidRPr="00C22BBE" w:rsidRDefault="00C22BBE" w:rsidP="00657B3E">
      <w:pPr>
        <w:spacing w:after="0" w:line="240" w:lineRule="auto"/>
        <w:jc w:val="center"/>
        <w:rPr>
          <w:rFonts w:ascii="Book Antiqua" w:eastAsia="Times New Roman" w:hAnsi="Book Antiqua"/>
          <w:b/>
          <w:color w:val="0D0D0D"/>
          <w:sz w:val="28"/>
          <w:szCs w:val="28"/>
          <w:lang w:val="es-ES_tradnl"/>
        </w:rPr>
      </w:pPr>
      <w:r w:rsidRPr="00C22BBE">
        <w:rPr>
          <w:rFonts w:ascii="Book Antiqua" w:eastAsia="Times New Roman" w:hAnsi="Book Antiqua"/>
          <w:b/>
          <w:color w:val="0D0D0D"/>
          <w:sz w:val="28"/>
          <w:szCs w:val="28"/>
          <w:lang w:val="es-ES_tradnl"/>
        </w:rPr>
        <w:t>RESOLUCIÓN</w:t>
      </w:r>
    </w:p>
    <w:p w14:paraId="79E58675" w14:textId="77777777" w:rsidR="00C22BBE" w:rsidRPr="00C22BBE" w:rsidRDefault="00C22BBE" w:rsidP="00657B3E">
      <w:pPr>
        <w:spacing w:after="0" w:line="240" w:lineRule="auto"/>
        <w:jc w:val="center"/>
        <w:rPr>
          <w:rFonts w:ascii="Book Antiqua" w:eastAsia="Times New Roman" w:hAnsi="Book Antiqua"/>
          <w:b/>
          <w:color w:val="0D0D0D"/>
          <w:sz w:val="24"/>
          <w:szCs w:val="24"/>
          <w:lang w:val="es-ES_tradnl"/>
        </w:rPr>
      </w:pPr>
    </w:p>
    <w:p w14:paraId="75642DC9" w14:textId="72EEC415" w:rsidR="00C22BBE" w:rsidRPr="000D0EF9" w:rsidRDefault="00C22BBE" w:rsidP="00657B3E">
      <w:pPr>
        <w:widowControl w:val="0"/>
        <w:overflowPunct w:val="0"/>
        <w:autoSpaceDE w:val="0"/>
        <w:autoSpaceDN w:val="0"/>
        <w:adjustRightInd w:val="0"/>
        <w:spacing w:after="0" w:line="240" w:lineRule="auto"/>
        <w:ind w:left="720" w:hanging="720"/>
        <w:jc w:val="both"/>
        <w:rPr>
          <w:rFonts w:ascii="Book Antiqua" w:eastAsia="Times New Roman" w:hAnsi="Book Antiqua" w:cs="AngsanaUPC"/>
          <w:color w:val="0D0D0D"/>
          <w:sz w:val="24"/>
          <w:szCs w:val="24"/>
          <w:lang w:val="es-ES_tradnl"/>
        </w:rPr>
      </w:pPr>
      <w:bookmarkStart w:id="1" w:name="_Hlk119394139"/>
      <w:bookmarkStart w:id="2" w:name="_Hlk118986562"/>
      <w:r w:rsidRPr="000D0EF9">
        <w:rPr>
          <w:rFonts w:ascii="Book Antiqua" w:eastAsia="Times New Roman" w:hAnsi="Book Antiqua" w:cs="AngsanaUPC"/>
          <w:color w:val="0D0D0D"/>
          <w:sz w:val="24"/>
          <w:szCs w:val="24"/>
          <w:lang w:val="es-ES_tradnl"/>
        </w:rPr>
        <w:t xml:space="preserve">Para ordenar a </w:t>
      </w:r>
      <w:bookmarkStart w:id="3" w:name="_Hlk175553536"/>
      <w:r w:rsidRPr="000D0EF9">
        <w:rPr>
          <w:rFonts w:ascii="Book Antiqua" w:eastAsia="Times New Roman" w:hAnsi="Book Antiqua" w:cs="AngsanaUPC"/>
          <w:color w:val="0D0D0D"/>
          <w:sz w:val="24"/>
          <w:szCs w:val="24"/>
          <w:lang w:val="es-ES_tradnl"/>
        </w:rPr>
        <w:t xml:space="preserve">la Comisión de </w:t>
      </w:r>
      <w:bookmarkStart w:id="4" w:name="_Hlk117676723"/>
      <w:r w:rsidRPr="000D0EF9">
        <w:rPr>
          <w:rFonts w:ascii="Book Antiqua" w:eastAsia="Times New Roman" w:hAnsi="Book Antiqua" w:cs="AngsanaUPC"/>
          <w:color w:val="0D0D0D"/>
          <w:sz w:val="24"/>
          <w:szCs w:val="24"/>
          <w:lang w:val="es-ES_tradnl"/>
        </w:rPr>
        <w:t>Salud</w:t>
      </w:r>
      <w:bookmarkStart w:id="5" w:name="_Hlk117676752"/>
      <w:bookmarkEnd w:id="3"/>
      <w:bookmarkEnd w:id="4"/>
      <w:r w:rsidR="00D42D1F" w:rsidRPr="000D0EF9">
        <w:rPr>
          <w:rFonts w:ascii="Book Antiqua" w:eastAsia="Times New Roman" w:hAnsi="Book Antiqua" w:cs="AngsanaUPC"/>
          <w:color w:val="0D0D0D"/>
          <w:sz w:val="24"/>
          <w:szCs w:val="24"/>
          <w:lang w:val="es-ES_tradnl"/>
        </w:rPr>
        <w:t xml:space="preserve"> de la Cámara de Representantes</w:t>
      </w:r>
      <w:r w:rsidR="00654081" w:rsidRPr="000D0EF9">
        <w:rPr>
          <w:rFonts w:ascii="Book Antiqua" w:eastAsia="Times New Roman" w:hAnsi="Book Antiqua" w:cs="AngsanaUPC"/>
          <w:color w:val="0D0D0D"/>
          <w:sz w:val="24"/>
          <w:szCs w:val="24"/>
          <w:lang w:val="es-ES_tradnl"/>
        </w:rPr>
        <w:t xml:space="preserve"> </w:t>
      </w:r>
      <w:r w:rsidR="00654081" w:rsidRPr="000D0EF9">
        <w:rPr>
          <w:rFonts w:ascii="Book Antiqua" w:eastAsia="MS Mincho" w:hAnsi="Book Antiqua"/>
          <w:sz w:val="24"/>
          <w:szCs w:val="24"/>
          <w:lang w:val="es-PR"/>
        </w:rPr>
        <w:t>realizar un estudio integral sobre la donación y transfusión de sangre en Puerto Rico; la capacidad del sistema de salud para garantizar abastos de sangre estables</w:t>
      </w:r>
      <w:r w:rsidR="00116746" w:rsidRPr="000D0EF9">
        <w:rPr>
          <w:rFonts w:ascii="Book Antiqua" w:eastAsia="MS Mincho" w:hAnsi="Book Antiqua"/>
          <w:sz w:val="24"/>
          <w:szCs w:val="24"/>
          <w:lang w:val="es-PR"/>
        </w:rPr>
        <w:t>;</w:t>
      </w:r>
      <w:r w:rsidR="00654081" w:rsidRPr="000D0EF9">
        <w:rPr>
          <w:rFonts w:ascii="Book Antiqua" w:eastAsia="MS Mincho" w:hAnsi="Book Antiqua"/>
          <w:sz w:val="24"/>
          <w:szCs w:val="24"/>
          <w:lang w:val="es-PR"/>
        </w:rPr>
        <w:t xml:space="preserve"> la existencia de estadísticas confiables que permitan conocer la magnitud del problema de abastos de sangre; el comportamiento y perfil de los donantes, así como identificar barreras que dificulten el reclutamiento y retención de </w:t>
      </w:r>
      <w:r w:rsidR="00CD4E7C" w:rsidRPr="000D0EF9">
        <w:rPr>
          <w:rFonts w:ascii="Book Antiqua" w:eastAsia="Times New Roman" w:hAnsi="Book Antiqua" w:cs="AngsanaUPC"/>
          <w:color w:val="0D0D0D"/>
          <w:sz w:val="24"/>
          <w:szCs w:val="24"/>
          <w:lang w:val="es-ES_tradnl"/>
        </w:rPr>
        <w:t>estos</w:t>
      </w:r>
      <w:r w:rsidRPr="000D0EF9">
        <w:rPr>
          <w:rFonts w:ascii="Book Antiqua" w:eastAsia="Times New Roman" w:hAnsi="Book Antiqua" w:cs="AngsanaUPC"/>
          <w:color w:val="0D0D0D"/>
          <w:sz w:val="24"/>
          <w:szCs w:val="24"/>
          <w:lang w:val="es-ES_tradnl"/>
        </w:rPr>
        <w:t>; y para otros fines relacionados.</w:t>
      </w:r>
    </w:p>
    <w:bookmarkEnd w:id="1"/>
    <w:bookmarkEnd w:id="2"/>
    <w:bookmarkEnd w:id="5"/>
    <w:p w14:paraId="1F3D7ED1" w14:textId="77777777" w:rsidR="00C22BBE" w:rsidRPr="000D0EF9" w:rsidRDefault="00C22BBE" w:rsidP="00657B3E">
      <w:pPr>
        <w:spacing w:after="0" w:line="240" w:lineRule="auto"/>
        <w:rPr>
          <w:rFonts w:ascii="Book Antiqua" w:eastAsia="Times New Roman" w:hAnsi="Book Antiqua"/>
          <w:color w:val="0D0D0D"/>
          <w:sz w:val="24"/>
          <w:szCs w:val="24"/>
          <w:lang w:val="es-ES_tradnl"/>
        </w:rPr>
      </w:pPr>
    </w:p>
    <w:p w14:paraId="1536E913" w14:textId="77777777" w:rsidR="00C22BBE" w:rsidRPr="000D0EF9" w:rsidRDefault="00C22BBE" w:rsidP="00657B3E">
      <w:pPr>
        <w:spacing w:after="0" w:line="240" w:lineRule="auto"/>
        <w:jc w:val="center"/>
        <w:rPr>
          <w:rFonts w:ascii="Book Antiqua" w:eastAsia="Times New Roman" w:hAnsi="Book Antiqua"/>
          <w:color w:val="0D0D0D"/>
          <w:sz w:val="24"/>
          <w:szCs w:val="24"/>
          <w:lang w:val="es-ES_tradnl"/>
        </w:rPr>
      </w:pPr>
      <w:r w:rsidRPr="000D0EF9">
        <w:rPr>
          <w:rFonts w:ascii="Book Antiqua" w:eastAsia="Times New Roman" w:hAnsi="Book Antiqua"/>
          <w:color w:val="0D0D0D"/>
          <w:sz w:val="24"/>
          <w:szCs w:val="24"/>
          <w:lang w:val="es-ES_tradnl"/>
        </w:rPr>
        <w:t>EXPOSICIÓN DE MOTIVOS</w:t>
      </w:r>
    </w:p>
    <w:p w14:paraId="76984CE0" w14:textId="77777777" w:rsidR="00C22BBE" w:rsidRPr="000D0EF9" w:rsidRDefault="00C22BBE" w:rsidP="00657B3E">
      <w:pPr>
        <w:spacing w:after="0" w:line="240" w:lineRule="auto"/>
        <w:jc w:val="center"/>
        <w:rPr>
          <w:rFonts w:ascii="Book Antiqua" w:eastAsia="Times New Roman" w:hAnsi="Book Antiqua"/>
          <w:color w:val="0D0D0D"/>
          <w:sz w:val="24"/>
          <w:szCs w:val="24"/>
          <w:lang w:val="es-ES_tradnl"/>
        </w:rPr>
      </w:pPr>
    </w:p>
    <w:p w14:paraId="633F009D" w14:textId="77777777" w:rsidR="00B246E2" w:rsidRPr="000D0EF9" w:rsidRDefault="00B246E2" w:rsidP="00657B3E">
      <w:pPr>
        <w:spacing w:after="0" w:line="240" w:lineRule="auto"/>
        <w:ind w:firstLine="720"/>
        <w:jc w:val="both"/>
        <w:rPr>
          <w:rFonts w:ascii="Book Antiqua" w:eastAsia="Times New Roman" w:hAnsi="Book Antiqua" w:cs="AngsanaUPC"/>
          <w:color w:val="0D0D0D"/>
          <w:sz w:val="24"/>
          <w:szCs w:val="24"/>
          <w:lang w:val="es-ES"/>
        </w:rPr>
      </w:pPr>
      <w:r w:rsidRPr="000D0EF9">
        <w:rPr>
          <w:rFonts w:ascii="Book Antiqua" w:eastAsia="Times New Roman" w:hAnsi="Book Antiqua" w:cs="AngsanaUPC"/>
          <w:color w:val="0D0D0D"/>
          <w:sz w:val="24"/>
          <w:szCs w:val="24"/>
          <w:lang w:val="es-ES"/>
        </w:rPr>
        <w:t xml:space="preserve">El Banco de Sangre de Puerto Rico, en Centro Médico, desempeña un papel fundamental en la atención médica al servir como centro de colección primaria de componentes sanguíneos vitales como células rojas, plasma y plaquetas para satisfacer las necesidades de los pacientes hospitalizados y ambulatorios de los hospitales afiliados al Centro Médico de Puerto Rico. </w:t>
      </w:r>
    </w:p>
    <w:p w14:paraId="767EE03F" w14:textId="77777777" w:rsidR="00657B3E" w:rsidRPr="000D0EF9" w:rsidRDefault="00657B3E" w:rsidP="00657B3E">
      <w:pPr>
        <w:spacing w:after="0" w:line="240" w:lineRule="auto"/>
        <w:ind w:firstLine="720"/>
        <w:jc w:val="both"/>
        <w:rPr>
          <w:rFonts w:ascii="Book Antiqua" w:eastAsia="Times New Roman" w:hAnsi="Book Antiqua" w:cs="AngsanaUPC"/>
          <w:color w:val="0D0D0D"/>
          <w:sz w:val="24"/>
          <w:szCs w:val="24"/>
          <w:lang w:val="es-ES"/>
        </w:rPr>
      </w:pPr>
    </w:p>
    <w:p w14:paraId="03077482" w14:textId="40C6308E" w:rsidR="00B246E2" w:rsidRPr="000D0EF9" w:rsidRDefault="00B246E2" w:rsidP="00657B3E">
      <w:pPr>
        <w:spacing w:after="0" w:line="240" w:lineRule="auto"/>
        <w:ind w:firstLine="720"/>
        <w:jc w:val="both"/>
        <w:rPr>
          <w:rFonts w:ascii="Book Antiqua" w:eastAsia="Times New Roman" w:hAnsi="Book Antiqua" w:cs="AngsanaUPC"/>
          <w:color w:val="0D0D0D"/>
          <w:sz w:val="24"/>
          <w:szCs w:val="24"/>
          <w:lang w:val="es-ES"/>
        </w:rPr>
      </w:pPr>
      <w:r w:rsidRPr="000D0EF9">
        <w:rPr>
          <w:rFonts w:ascii="Book Antiqua" w:eastAsia="Times New Roman" w:hAnsi="Book Antiqua" w:cs="AngsanaUPC"/>
          <w:color w:val="0D0D0D"/>
          <w:sz w:val="24"/>
          <w:szCs w:val="24"/>
          <w:lang w:val="es-ES"/>
        </w:rPr>
        <w:t xml:space="preserve">Las transfusiones de sangre son esenciales para el tratamiento y la recuperación de los pacientes en estado crítico que se atienden diariamente. La donación regular de sangre es esencial para mantener un suministro adecuado de sangre y garantizar que esté disponible cuando se necesite. Cada año en Puerto Rico se necesitan aproximadamente </w:t>
      </w:r>
      <w:r w:rsidRPr="000D0EF9">
        <w:rPr>
          <w:rFonts w:ascii="Book Antiqua" w:eastAsia="Times New Roman" w:hAnsi="Book Antiqua" w:cs="AngsanaUPC"/>
          <w:color w:val="0D0D0D"/>
          <w:sz w:val="24"/>
          <w:szCs w:val="24"/>
          <w:lang w:val="es-ES"/>
        </w:rPr>
        <w:lastRenderedPageBreak/>
        <w:t xml:space="preserve">146,000 unidades de sangre, y una sola transfusión puede requerir hasta 3 unidades de sangre. La sangre no se puede fabricar artificialmente.  La única forma de obtenerla es a través de donaciones voluntarias de personas saludables. Además, la sangre tiene una vida útil limitada y, por tanto, se necesita de forma constante. Donar sangre regularmente es una forma simple y efectiva de contribuir a salvar vidas y marcar una diferencia significativa en la </w:t>
      </w:r>
      <w:r w:rsidR="00A70CF7">
        <w:rPr>
          <w:rFonts w:ascii="Book Antiqua" w:eastAsia="Times New Roman" w:hAnsi="Book Antiqua" w:cs="AngsanaUPC"/>
          <w:color w:val="0D0D0D"/>
          <w:sz w:val="24"/>
          <w:szCs w:val="24"/>
          <w:lang w:val="es-ES"/>
        </w:rPr>
        <w:t>c</w:t>
      </w:r>
      <w:r w:rsidRPr="000D0EF9">
        <w:rPr>
          <w:rFonts w:ascii="Book Antiqua" w:eastAsia="Times New Roman" w:hAnsi="Book Antiqua" w:cs="AngsanaUPC"/>
          <w:color w:val="0D0D0D"/>
          <w:sz w:val="24"/>
          <w:szCs w:val="24"/>
          <w:lang w:val="es-ES"/>
        </w:rPr>
        <w:t>omunidad.</w:t>
      </w:r>
    </w:p>
    <w:p w14:paraId="1BA2150A" w14:textId="77777777" w:rsidR="00657B3E" w:rsidRPr="000D0EF9" w:rsidRDefault="00657B3E" w:rsidP="00657B3E">
      <w:pPr>
        <w:spacing w:after="0" w:line="240" w:lineRule="auto"/>
        <w:ind w:firstLine="720"/>
        <w:jc w:val="both"/>
        <w:rPr>
          <w:rFonts w:ascii="Book Antiqua" w:eastAsia="Times New Roman" w:hAnsi="Book Antiqua" w:cs="AngsanaUPC"/>
          <w:color w:val="0D0D0D"/>
          <w:sz w:val="24"/>
          <w:szCs w:val="24"/>
          <w:lang w:val="es-ES"/>
        </w:rPr>
      </w:pPr>
    </w:p>
    <w:p w14:paraId="500D612A" w14:textId="77BD893E" w:rsidR="00B246E2" w:rsidRPr="000D0EF9" w:rsidRDefault="00B246E2" w:rsidP="00657B3E">
      <w:pPr>
        <w:spacing w:after="0" w:line="240" w:lineRule="auto"/>
        <w:ind w:firstLine="720"/>
        <w:jc w:val="both"/>
        <w:rPr>
          <w:rFonts w:ascii="Book Antiqua" w:eastAsia="Times New Roman" w:hAnsi="Book Antiqua" w:cs="AngsanaUPC"/>
          <w:color w:val="0D0D0D"/>
          <w:sz w:val="24"/>
          <w:szCs w:val="24"/>
          <w:lang w:val="es-ES"/>
        </w:rPr>
      </w:pPr>
      <w:r w:rsidRPr="000D0EF9">
        <w:rPr>
          <w:rFonts w:ascii="Book Antiqua" w:eastAsia="Times New Roman" w:hAnsi="Book Antiqua" w:cs="AngsanaUPC"/>
          <w:color w:val="0D0D0D"/>
          <w:sz w:val="24"/>
          <w:szCs w:val="24"/>
          <w:lang w:val="es-ES"/>
        </w:rPr>
        <w:t>Sin embargo, en la última década, el número de donantes regulares ha disminuido, comprometiendo la capacidad del sistema de salud para mantener inventarios estables. Ad</w:t>
      </w:r>
      <w:r w:rsidR="00A70CF7">
        <w:rPr>
          <w:rFonts w:ascii="Book Antiqua" w:eastAsia="Times New Roman" w:hAnsi="Book Antiqua" w:cs="AngsanaUPC"/>
          <w:color w:val="0D0D0D"/>
          <w:sz w:val="24"/>
          <w:szCs w:val="24"/>
          <w:lang w:val="es-ES"/>
        </w:rPr>
        <w:t>emás</w:t>
      </w:r>
      <w:r w:rsidRPr="000D0EF9">
        <w:rPr>
          <w:rFonts w:ascii="Book Antiqua" w:eastAsia="Times New Roman" w:hAnsi="Book Antiqua" w:cs="AngsanaUPC"/>
          <w:color w:val="0D0D0D"/>
          <w:sz w:val="24"/>
          <w:szCs w:val="24"/>
          <w:lang w:val="es-ES"/>
        </w:rPr>
        <w:t xml:space="preserve">, no existe un análisis estadístico reciente que permita conocer con precisión la magnitud del problema, el perfil de los donantes ni las barreras que dificultan el reclutamiento y la retención. </w:t>
      </w:r>
    </w:p>
    <w:p w14:paraId="5C4898ED" w14:textId="77777777" w:rsidR="00657B3E" w:rsidRPr="000D0EF9" w:rsidRDefault="00657B3E" w:rsidP="00657B3E">
      <w:pPr>
        <w:spacing w:after="0" w:line="240" w:lineRule="auto"/>
        <w:ind w:firstLine="720"/>
        <w:jc w:val="both"/>
        <w:rPr>
          <w:rFonts w:ascii="Book Antiqua" w:eastAsia="Times New Roman" w:hAnsi="Book Antiqua" w:cs="AngsanaUPC"/>
          <w:color w:val="0D0D0D"/>
          <w:sz w:val="24"/>
          <w:szCs w:val="24"/>
          <w:lang w:val="es-ES"/>
        </w:rPr>
      </w:pPr>
    </w:p>
    <w:p w14:paraId="2C555C1B" w14:textId="680B7170" w:rsidR="00B246E2" w:rsidRPr="000D0EF9" w:rsidRDefault="00B246E2" w:rsidP="00657B3E">
      <w:pPr>
        <w:spacing w:after="0" w:line="240" w:lineRule="auto"/>
        <w:ind w:firstLine="720"/>
        <w:jc w:val="both"/>
        <w:rPr>
          <w:rFonts w:ascii="Book Antiqua" w:eastAsia="Times New Roman" w:hAnsi="Book Antiqua" w:cs="AngsanaUPC"/>
          <w:color w:val="0D0D0D"/>
          <w:sz w:val="24"/>
          <w:szCs w:val="24"/>
          <w:lang w:val="es-ES"/>
        </w:rPr>
      </w:pPr>
      <w:r w:rsidRPr="000D0EF9">
        <w:rPr>
          <w:rFonts w:ascii="Book Antiqua" w:eastAsia="Times New Roman" w:hAnsi="Book Antiqua" w:cs="AngsanaUPC"/>
          <w:color w:val="0D0D0D"/>
          <w:sz w:val="24"/>
          <w:szCs w:val="24"/>
          <w:lang w:val="es-ES"/>
        </w:rPr>
        <w:t>Según expresado, la disponibilidad de sangre es esencial para salvar vidas</w:t>
      </w:r>
      <w:r w:rsidR="0089196D" w:rsidRPr="000D0EF9">
        <w:rPr>
          <w:rFonts w:ascii="Book Antiqua" w:eastAsia="Times New Roman" w:hAnsi="Book Antiqua" w:cs="AngsanaUPC"/>
          <w:color w:val="0D0D0D"/>
          <w:sz w:val="24"/>
          <w:szCs w:val="24"/>
          <w:lang w:val="es-ES"/>
        </w:rPr>
        <w:t>.</w:t>
      </w:r>
      <w:r w:rsidRPr="000D0EF9">
        <w:rPr>
          <w:rFonts w:ascii="Book Antiqua" w:eastAsia="Times New Roman" w:hAnsi="Book Antiqua" w:cs="AngsanaUPC"/>
          <w:color w:val="0D0D0D"/>
          <w:sz w:val="24"/>
          <w:szCs w:val="24"/>
          <w:lang w:val="es-ES"/>
        </w:rPr>
        <w:t xml:space="preserve"> Contar con datos actualizados y confiables es indispensable para orientar las acciones y políticas públicas. Los estudios servirán como base para desarrollar campañas de concienciación, fomentar la donación voluntaria, garantizar un abasto seguro y proteger la salud de la población.  Tanto el Departamento de Salud, así como el Instituto de Estadísticas de Puerto Rico, a través de sus capacidades técnicas y mandatos legales, son las agencias idóneas para recopilar estos datos y estudios para encauzar las acciones y políticas públicas necesarias para lograr abastos de sangre necesarios para atender situaciones de salud.  </w:t>
      </w:r>
    </w:p>
    <w:p w14:paraId="35D28451" w14:textId="77777777" w:rsidR="00657B3E" w:rsidRPr="000D0EF9" w:rsidRDefault="00657B3E" w:rsidP="00657B3E">
      <w:pPr>
        <w:spacing w:after="0" w:line="240" w:lineRule="auto"/>
        <w:ind w:firstLine="720"/>
        <w:jc w:val="both"/>
        <w:rPr>
          <w:rFonts w:ascii="Book Antiqua" w:eastAsia="Times New Roman" w:hAnsi="Book Antiqua" w:cs="AngsanaUPC"/>
          <w:color w:val="0D0D0D"/>
          <w:sz w:val="24"/>
          <w:szCs w:val="24"/>
          <w:lang w:val="es-ES"/>
        </w:rPr>
      </w:pPr>
    </w:p>
    <w:p w14:paraId="61BB4C1A" w14:textId="77777777" w:rsidR="00B246E2" w:rsidRPr="000D0EF9" w:rsidRDefault="00B246E2" w:rsidP="00657B3E">
      <w:pPr>
        <w:spacing w:after="0" w:line="240" w:lineRule="auto"/>
        <w:ind w:firstLine="720"/>
        <w:jc w:val="both"/>
        <w:rPr>
          <w:rFonts w:ascii="Book Antiqua" w:eastAsia="Times New Roman" w:hAnsi="Book Antiqua" w:cs="AngsanaUPC"/>
          <w:color w:val="0D0D0D"/>
          <w:sz w:val="24"/>
          <w:szCs w:val="24"/>
          <w:lang w:val="es-ES"/>
        </w:rPr>
      </w:pPr>
      <w:r w:rsidRPr="000D0EF9">
        <w:rPr>
          <w:rFonts w:ascii="Book Antiqua" w:eastAsia="Times New Roman" w:hAnsi="Book Antiqua" w:cs="AngsanaUPC"/>
          <w:color w:val="0D0D0D"/>
          <w:sz w:val="24"/>
          <w:szCs w:val="24"/>
          <w:lang w:val="es-ES"/>
        </w:rPr>
        <w:t xml:space="preserve">Por consiguiente, es necesario realizar un estudio integral sobre la donación y transfusión de sangre en Puerto Rico.  Es preciso recopilar y analizar información clave sobre la situación de la donación y transfusión de sangre, así como el comportamiento de los donantes en Puerto Rico.  Estos estudios servirán como base para desarrollar campañas de concienciación, fomentar la donación voluntaria y garantizar un abasto seguro de sangre que permita salvar vidas.  </w:t>
      </w:r>
    </w:p>
    <w:p w14:paraId="505FE76E" w14:textId="77777777" w:rsidR="00657B3E" w:rsidRPr="000D0EF9" w:rsidRDefault="00657B3E" w:rsidP="00657B3E">
      <w:pPr>
        <w:spacing w:after="0" w:line="240" w:lineRule="auto"/>
        <w:ind w:firstLine="720"/>
        <w:jc w:val="both"/>
        <w:rPr>
          <w:rFonts w:ascii="Book Antiqua" w:eastAsia="Times New Roman" w:hAnsi="Book Antiqua" w:cs="AngsanaUPC"/>
          <w:color w:val="0D0D0D"/>
          <w:sz w:val="24"/>
          <w:szCs w:val="24"/>
          <w:lang w:val="es-ES"/>
        </w:rPr>
      </w:pPr>
    </w:p>
    <w:p w14:paraId="5653BDE7" w14:textId="682AE353" w:rsidR="00C22BBE" w:rsidRPr="000D0EF9" w:rsidRDefault="00B246E2" w:rsidP="00657B3E">
      <w:pPr>
        <w:spacing w:after="0" w:line="240" w:lineRule="auto"/>
        <w:ind w:firstLine="720"/>
        <w:jc w:val="both"/>
        <w:rPr>
          <w:rFonts w:ascii="Book Antiqua" w:eastAsia="Times New Roman" w:hAnsi="Book Antiqua"/>
          <w:color w:val="0D0D0D"/>
          <w:sz w:val="24"/>
          <w:szCs w:val="24"/>
          <w:lang w:val="es-ES_tradnl"/>
        </w:rPr>
      </w:pPr>
      <w:r w:rsidRPr="000D0EF9">
        <w:rPr>
          <w:rFonts w:ascii="Book Antiqua" w:eastAsia="Times New Roman" w:hAnsi="Book Antiqua" w:cs="AngsanaUPC"/>
          <w:color w:val="0D0D0D"/>
          <w:sz w:val="24"/>
          <w:szCs w:val="24"/>
          <w:lang w:val="es-ES"/>
        </w:rPr>
        <w:t>La Cámara de Representantes</w:t>
      </w:r>
      <w:r w:rsidR="0064111D" w:rsidRPr="000D0EF9">
        <w:rPr>
          <w:rFonts w:ascii="Book Antiqua" w:eastAsia="Times New Roman" w:hAnsi="Book Antiqua" w:cs="AngsanaUPC"/>
          <w:color w:val="0D0D0D"/>
          <w:sz w:val="24"/>
          <w:szCs w:val="24"/>
          <w:lang w:val="es-ES"/>
        </w:rPr>
        <w:t xml:space="preserve"> de Puerto Rico, mediante esta investigación,</w:t>
      </w:r>
      <w:r w:rsidRPr="000D0EF9">
        <w:rPr>
          <w:rFonts w:ascii="Book Antiqua" w:eastAsia="Times New Roman" w:hAnsi="Book Antiqua" w:cs="AngsanaUPC"/>
          <w:color w:val="0D0D0D"/>
          <w:sz w:val="24"/>
          <w:szCs w:val="24"/>
          <w:lang w:val="es-ES"/>
        </w:rPr>
        <w:t xml:space="preserve"> tiene la oportunidad de liderar un esfuerzo integral para revertir la escasez de sangre mediante legislación, campañas educativas, alianzas estratégicas y datos confiables para la toma de decisiones.</w:t>
      </w:r>
    </w:p>
    <w:p w14:paraId="77FA68A1" w14:textId="77777777" w:rsidR="004349A5" w:rsidRDefault="004349A5" w:rsidP="00657B3E">
      <w:pPr>
        <w:spacing w:after="0" w:line="240" w:lineRule="auto"/>
        <w:jc w:val="both"/>
        <w:rPr>
          <w:rFonts w:ascii="Book Antiqua" w:eastAsia="Times New Roman" w:hAnsi="Book Antiqua"/>
          <w:i/>
          <w:iCs/>
          <w:sz w:val="24"/>
          <w:szCs w:val="24"/>
          <w:lang w:val="es-ES_tradnl"/>
        </w:rPr>
      </w:pPr>
    </w:p>
    <w:p w14:paraId="672D5453" w14:textId="09D56632" w:rsidR="003E7820" w:rsidRPr="00683111" w:rsidRDefault="003E7820" w:rsidP="000D0EF9">
      <w:pPr>
        <w:spacing w:after="0" w:line="480" w:lineRule="auto"/>
        <w:jc w:val="both"/>
        <w:rPr>
          <w:rFonts w:ascii="Book Antiqua" w:eastAsia="Times New Roman" w:hAnsi="Book Antiqua"/>
          <w:sz w:val="24"/>
          <w:szCs w:val="24"/>
          <w:lang w:val="es-ES_tradnl"/>
        </w:rPr>
      </w:pPr>
      <w:r w:rsidRPr="00683111">
        <w:rPr>
          <w:rFonts w:ascii="Book Antiqua" w:eastAsia="Times New Roman" w:hAnsi="Book Antiqua"/>
          <w:i/>
          <w:iCs/>
          <w:sz w:val="24"/>
          <w:szCs w:val="24"/>
          <w:lang w:val="es-ES_tradnl"/>
        </w:rPr>
        <w:t xml:space="preserve">RESUÉLVESE POR LA </w:t>
      </w:r>
      <w:r>
        <w:rPr>
          <w:rFonts w:ascii="Book Antiqua" w:eastAsia="Times New Roman" w:hAnsi="Book Antiqua"/>
          <w:i/>
          <w:iCs/>
          <w:sz w:val="24"/>
          <w:szCs w:val="24"/>
          <w:lang w:val="es-ES_tradnl"/>
        </w:rPr>
        <w:t>CÁMARA DE REPRESENTANTES</w:t>
      </w:r>
      <w:r w:rsidRPr="00683111">
        <w:rPr>
          <w:rFonts w:ascii="Book Antiqua" w:eastAsia="Times New Roman" w:hAnsi="Book Antiqua"/>
          <w:i/>
          <w:iCs/>
          <w:sz w:val="24"/>
          <w:szCs w:val="24"/>
          <w:lang w:val="es-ES_tradnl"/>
        </w:rPr>
        <w:t xml:space="preserve"> DE PUERTO RICO:</w:t>
      </w:r>
      <w:r w:rsidRPr="00683111">
        <w:rPr>
          <w:rFonts w:ascii="Book Antiqua" w:eastAsia="Times New Roman" w:hAnsi="Book Antiqua"/>
          <w:i/>
          <w:sz w:val="24"/>
          <w:szCs w:val="24"/>
          <w:lang w:val="es-ES_tradnl"/>
        </w:rPr>
        <w:t xml:space="preserve"> </w:t>
      </w:r>
    </w:p>
    <w:p w14:paraId="5108F28E" w14:textId="77777777" w:rsidR="003E7820" w:rsidRPr="005A7AF4" w:rsidRDefault="003E7820" w:rsidP="000D0EF9">
      <w:pPr>
        <w:spacing w:after="0" w:line="480" w:lineRule="auto"/>
        <w:jc w:val="both"/>
        <w:rPr>
          <w:rFonts w:ascii="Book Antiqua" w:eastAsia="Times New Roman" w:hAnsi="Book Antiqua"/>
          <w:sz w:val="24"/>
          <w:szCs w:val="24"/>
          <w:highlight w:val="yellow"/>
          <w:lang w:val="es-ES_tradnl"/>
        </w:rPr>
        <w:sectPr w:rsidR="003E7820" w:rsidRPr="005A7AF4" w:rsidSect="003E7820">
          <w:headerReference w:type="even" r:id="rId9"/>
          <w:headerReference w:type="default" r:id="rId10"/>
          <w:pgSz w:w="12240" w:h="15840" w:code="1"/>
          <w:pgMar w:top="1440" w:right="1440" w:bottom="1440" w:left="1440" w:header="720" w:footer="720" w:gutter="0"/>
          <w:cols w:space="720"/>
          <w:titlePg/>
          <w:docGrid w:linePitch="360"/>
        </w:sectPr>
      </w:pPr>
    </w:p>
    <w:p w14:paraId="2E10195E" w14:textId="0BDE4559" w:rsidR="00C22BBE" w:rsidRPr="000D0EF9" w:rsidRDefault="00C22BBE" w:rsidP="000D0EF9">
      <w:pPr>
        <w:widowControl w:val="0"/>
        <w:spacing w:after="0" w:line="480" w:lineRule="auto"/>
        <w:ind w:firstLine="720"/>
        <w:jc w:val="both"/>
        <w:rPr>
          <w:rFonts w:ascii="Book Antiqua" w:eastAsia="MS Mincho" w:hAnsi="Book Antiqua"/>
          <w:sz w:val="24"/>
          <w:szCs w:val="24"/>
          <w:lang w:val="es-PR"/>
        </w:rPr>
      </w:pPr>
      <w:r w:rsidRPr="000D0EF9">
        <w:rPr>
          <w:rFonts w:ascii="Book Antiqua" w:eastAsia="MS Mincho" w:hAnsi="Book Antiqua"/>
          <w:sz w:val="24"/>
          <w:szCs w:val="24"/>
          <w:lang w:val="es-PR"/>
        </w:rPr>
        <w:t xml:space="preserve">Sección 1.-Se ordena a la Comisión de Salud </w:t>
      </w:r>
      <w:r w:rsidR="0097684F" w:rsidRPr="000D0EF9">
        <w:rPr>
          <w:rFonts w:ascii="Book Antiqua" w:eastAsia="MS Mincho" w:hAnsi="Book Antiqua"/>
          <w:sz w:val="24"/>
          <w:szCs w:val="24"/>
          <w:lang w:val="es-PR"/>
        </w:rPr>
        <w:t xml:space="preserve">de </w:t>
      </w:r>
      <w:r w:rsidRPr="000D0EF9">
        <w:rPr>
          <w:rFonts w:ascii="Book Antiqua" w:eastAsia="MS Mincho" w:hAnsi="Book Antiqua"/>
          <w:sz w:val="24"/>
          <w:szCs w:val="24"/>
          <w:lang w:val="es-PR"/>
        </w:rPr>
        <w:t xml:space="preserve">la Cámara de Representantes de Puerto Rico, </w:t>
      </w:r>
      <w:r w:rsidR="002D44E9" w:rsidRPr="000D0EF9">
        <w:rPr>
          <w:rFonts w:ascii="Book Antiqua" w:eastAsia="MS Mincho" w:hAnsi="Book Antiqua"/>
          <w:sz w:val="24"/>
          <w:szCs w:val="24"/>
          <w:lang w:val="es-PR"/>
        </w:rPr>
        <w:t>realizar un estudio integral sobre la donación y transfusión de sangre en Puerto Rico; la capacidad del sistema de salud para garantizar abastos de sangre estables</w:t>
      </w:r>
      <w:r w:rsidR="000F4514" w:rsidRPr="000D0EF9">
        <w:rPr>
          <w:rFonts w:ascii="Book Antiqua" w:eastAsia="MS Mincho" w:hAnsi="Book Antiqua"/>
          <w:sz w:val="24"/>
          <w:szCs w:val="24"/>
          <w:lang w:val="es-PR"/>
        </w:rPr>
        <w:t>;</w:t>
      </w:r>
      <w:r w:rsidR="002D44E9" w:rsidRPr="000D0EF9">
        <w:rPr>
          <w:rFonts w:ascii="Book Antiqua" w:eastAsia="MS Mincho" w:hAnsi="Book Antiqua"/>
          <w:sz w:val="24"/>
          <w:szCs w:val="24"/>
          <w:lang w:val="es-PR"/>
        </w:rPr>
        <w:t xml:space="preserve"> </w:t>
      </w:r>
      <w:r w:rsidR="002D44E9" w:rsidRPr="000D0EF9">
        <w:rPr>
          <w:rFonts w:ascii="Book Antiqua" w:eastAsia="MS Mincho" w:hAnsi="Book Antiqua"/>
          <w:sz w:val="24"/>
          <w:szCs w:val="24"/>
          <w:lang w:val="es-PR"/>
        </w:rPr>
        <w:lastRenderedPageBreak/>
        <w:t xml:space="preserve">la existencia de estadísticas confiables que permitan conocer la magnitud del problema de abastos de sangre; el comportamiento y perfil de los donantes, así como identificar barreras que dificulten el reclutamiento y retención de </w:t>
      </w:r>
      <w:r w:rsidR="00081EE8" w:rsidRPr="000D0EF9">
        <w:rPr>
          <w:rFonts w:ascii="Book Antiqua" w:eastAsia="MS Mincho" w:hAnsi="Book Antiqua"/>
          <w:sz w:val="24"/>
          <w:szCs w:val="24"/>
          <w:lang w:val="es-PR"/>
        </w:rPr>
        <w:t>estos</w:t>
      </w:r>
      <w:r w:rsidR="002D44E9" w:rsidRPr="000D0EF9">
        <w:rPr>
          <w:rFonts w:ascii="Book Antiqua" w:eastAsia="MS Mincho" w:hAnsi="Book Antiqua"/>
          <w:sz w:val="24"/>
          <w:szCs w:val="24"/>
          <w:lang w:val="es-PR"/>
        </w:rPr>
        <w:t xml:space="preserve">.  </w:t>
      </w:r>
    </w:p>
    <w:p w14:paraId="3AAA06C9" w14:textId="365B2E00" w:rsidR="00C22BBE" w:rsidRPr="000D0EF9" w:rsidRDefault="00C22BBE" w:rsidP="000D0EF9">
      <w:pPr>
        <w:widowControl w:val="0"/>
        <w:spacing w:after="0" w:line="480" w:lineRule="auto"/>
        <w:ind w:firstLine="720"/>
        <w:jc w:val="both"/>
        <w:rPr>
          <w:rFonts w:ascii="Book Antiqua" w:eastAsia="MS Mincho" w:hAnsi="Book Antiqua"/>
          <w:sz w:val="24"/>
          <w:szCs w:val="24"/>
          <w:lang w:val="es-PR"/>
        </w:rPr>
      </w:pPr>
      <w:r w:rsidRPr="000D0EF9">
        <w:rPr>
          <w:rFonts w:ascii="Book Antiqua" w:eastAsia="MS Mincho" w:hAnsi="Book Antiqua"/>
          <w:sz w:val="24"/>
          <w:szCs w:val="24"/>
          <w:lang w:val="es-PR"/>
        </w:rPr>
        <w:t xml:space="preserve">Sección 2.-La Comisión rendirá un Informe con sus hallazgos, conclusiones y recomendaciones, </w:t>
      </w:r>
      <w:r w:rsidR="009F54BF" w:rsidRPr="000D0EF9">
        <w:rPr>
          <w:rFonts w:ascii="Book Antiqua" w:eastAsia="MS Mincho" w:hAnsi="Book Antiqua"/>
          <w:sz w:val="24"/>
          <w:szCs w:val="24"/>
          <w:lang w:val="es-PR"/>
        </w:rPr>
        <w:t xml:space="preserve">dentro del término de ciento ochenta (180) días, contados a partir de la aprobación de esta </w:t>
      </w:r>
      <w:r w:rsidR="00404A06" w:rsidRPr="000D0EF9">
        <w:rPr>
          <w:rFonts w:ascii="Book Antiqua" w:eastAsia="MS Mincho" w:hAnsi="Book Antiqua"/>
          <w:sz w:val="24"/>
          <w:szCs w:val="24"/>
          <w:lang w:val="es-PR"/>
        </w:rPr>
        <w:t>Resolución</w:t>
      </w:r>
      <w:r w:rsidRPr="000D0EF9">
        <w:rPr>
          <w:rFonts w:ascii="Book Antiqua" w:eastAsia="MS Mincho" w:hAnsi="Book Antiqua"/>
          <w:sz w:val="24"/>
          <w:szCs w:val="24"/>
          <w:lang w:val="es-PR"/>
        </w:rPr>
        <w:t>.</w:t>
      </w:r>
    </w:p>
    <w:p w14:paraId="714746C8" w14:textId="27D32C7B" w:rsidR="00D056D7" w:rsidRPr="000D0EF9" w:rsidRDefault="00C22BBE" w:rsidP="000D0EF9">
      <w:pPr>
        <w:widowControl w:val="0"/>
        <w:spacing w:after="0" w:line="480" w:lineRule="auto"/>
        <w:ind w:firstLine="720"/>
        <w:jc w:val="both"/>
        <w:rPr>
          <w:rFonts w:ascii="Book Antiqua" w:eastAsia="MS Mincho" w:hAnsi="Book Antiqua"/>
          <w:sz w:val="24"/>
          <w:szCs w:val="24"/>
          <w:lang w:val="es-ES_tradnl"/>
        </w:rPr>
      </w:pPr>
      <w:r w:rsidRPr="000D0EF9">
        <w:rPr>
          <w:rFonts w:ascii="Book Antiqua" w:eastAsia="MS Mincho" w:hAnsi="Book Antiqua"/>
          <w:sz w:val="24"/>
          <w:szCs w:val="24"/>
          <w:lang w:val="es-PR"/>
        </w:rPr>
        <w:t>Sección 3.-Esta Resolución comenzará a regir inmediatamente después de su aprobación.</w:t>
      </w:r>
    </w:p>
    <w:sectPr w:rsidR="00D056D7" w:rsidRPr="000D0EF9" w:rsidSect="003E7820">
      <w:headerReference w:type="even" r:id="rId11"/>
      <w:headerReference w:type="default" r:id="rId12"/>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90F61" w14:textId="77777777" w:rsidR="00125B6E" w:rsidRDefault="00125B6E">
      <w:pPr>
        <w:spacing w:after="0" w:line="240" w:lineRule="auto"/>
      </w:pPr>
      <w:r>
        <w:separator/>
      </w:r>
    </w:p>
  </w:endnote>
  <w:endnote w:type="continuationSeparator" w:id="0">
    <w:p w14:paraId="235B054C" w14:textId="77777777" w:rsidR="00125B6E" w:rsidRDefault="00125B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ngsanaUPC">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85387" w14:textId="77777777" w:rsidR="00125B6E" w:rsidRDefault="00125B6E">
      <w:pPr>
        <w:spacing w:after="0" w:line="240" w:lineRule="auto"/>
      </w:pPr>
      <w:r>
        <w:separator/>
      </w:r>
    </w:p>
  </w:footnote>
  <w:footnote w:type="continuationSeparator" w:id="0">
    <w:p w14:paraId="383A3AD2" w14:textId="77777777" w:rsidR="00125B6E" w:rsidRDefault="00125B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3924" w14:textId="77777777"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5CBB7F" w14:textId="77777777" w:rsidR="00002690" w:rsidRDefault="000026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17B7" w14:textId="77777777"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2C6AE82" w14:textId="77777777" w:rsidR="00002690" w:rsidRDefault="000026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C759" w14:textId="13DC07D2"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22BBE">
      <w:rPr>
        <w:rStyle w:val="PageNumber"/>
        <w:noProof/>
      </w:rPr>
      <w:t>3</w:t>
    </w:r>
    <w:r>
      <w:rPr>
        <w:rStyle w:val="PageNumber"/>
      </w:rPr>
      <w:fldChar w:fldCharType="end"/>
    </w:r>
  </w:p>
  <w:p w14:paraId="60DF59C0" w14:textId="77777777" w:rsidR="00002690" w:rsidRDefault="0000269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35A31" w14:textId="77777777"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2C87C179" w14:textId="68CAA78D" w:rsidR="00002690" w:rsidRDefault="003E7820">
    <w:r>
      <w:rPr>
        <w:noProof/>
      </w:rPr>
      <mc:AlternateContent>
        <mc:Choice Requires="wps">
          <w:drawing>
            <wp:anchor distT="0" distB="0" distL="114300" distR="114300" simplePos="0" relativeHeight="251659264" behindDoc="0" locked="0" layoutInCell="0" allowOverlap="1" wp14:anchorId="0F7C6CE3" wp14:editId="590D282A">
              <wp:simplePos x="0" y="0"/>
              <wp:positionH relativeFrom="margin">
                <wp:posOffset>0</wp:posOffset>
              </wp:positionH>
              <wp:positionV relativeFrom="paragraph">
                <wp:posOffset>-914400</wp:posOffset>
              </wp:positionV>
              <wp:extent cx="5943600" cy="152400"/>
              <wp:effectExtent l="0" t="0" r="0" b="0"/>
              <wp:wrapNone/>
              <wp:docPr id="20971492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C6CE3"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FBC"/>
    <w:rsid w:val="00002690"/>
    <w:rsid w:val="0003303D"/>
    <w:rsid w:val="00044E58"/>
    <w:rsid w:val="00066438"/>
    <w:rsid w:val="00081EE8"/>
    <w:rsid w:val="000D0EF9"/>
    <w:rsid w:val="000F4514"/>
    <w:rsid w:val="0010413C"/>
    <w:rsid w:val="00116746"/>
    <w:rsid w:val="00125B6E"/>
    <w:rsid w:val="00140BBA"/>
    <w:rsid w:val="001F7D2E"/>
    <w:rsid w:val="0021261F"/>
    <w:rsid w:val="00247D30"/>
    <w:rsid w:val="002D44E9"/>
    <w:rsid w:val="003164CA"/>
    <w:rsid w:val="00350987"/>
    <w:rsid w:val="003612D4"/>
    <w:rsid w:val="003C1366"/>
    <w:rsid w:val="003C65C8"/>
    <w:rsid w:val="003D68CC"/>
    <w:rsid w:val="003E7820"/>
    <w:rsid w:val="00404A06"/>
    <w:rsid w:val="00431397"/>
    <w:rsid w:val="004349A5"/>
    <w:rsid w:val="0049745A"/>
    <w:rsid w:val="004C7202"/>
    <w:rsid w:val="00521E8B"/>
    <w:rsid w:val="005253C3"/>
    <w:rsid w:val="0054505E"/>
    <w:rsid w:val="0055262D"/>
    <w:rsid w:val="00592027"/>
    <w:rsid w:val="005B08CE"/>
    <w:rsid w:val="005B1725"/>
    <w:rsid w:val="005B6745"/>
    <w:rsid w:val="00612BCE"/>
    <w:rsid w:val="0064111D"/>
    <w:rsid w:val="00654081"/>
    <w:rsid w:val="00654548"/>
    <w:rsid w:val="00657B3E"/>
    <w:rsid w:val="006C05FD"/>
    <w:rsid w:val="006D7F2B"/>
    <w:rsid w:val="00721FBC"/>
    <w:rsid w:val="00752FAF"/>
    <w:rsid w:val="0075695E"/>
    <w:rsid w:val="00756D40"/>
    <w:rsid w:val="00774512"/>
    <w:rsid w:val="007C6FED"/>
    <w:rsid w:val="0089196D"/>
    <w:rsid w:val="00907DEC"/>
    <w:rsid w:val="0093620D"/>
    <w:rsid w:val="009659AF"/>
    <w:rsid w:val="0097684F"/>
    <w:rsid w:val="00995861"/>
    <w:rsid w:val="009D768D"/>
    <w:rsid w:val="009F447A"/>
    <w:rsid w:val="009F54BF"/>
    <w:rsid w:val="00A27D28"/>
    <w:rsid w:val="00A47AFF"/>
    <w:rsid w:val="00A6433F"/>
    <w:rsid w:val="00A64923"/>
    <w:rsid w:val="00A70CF7"/>
    <w:rsid w:val="00AC1DBC"/>
    <w:rsid w:val="00AF4F11"/>
    <w:rsid w:val="00B246E2"/>
    <w:rsid w:val="00B25EEC"/>
    <w:rsid w:val="00B30458"/>
    <w:rsid w:val="00B96B8F"/>
    <w:rsid w:val="00BA3C2F"/>
    <w:rsid w:val="00BB28E4"/>
    <w:rsid w:val="00BE0CF7"/>
    <w:rsid w:val="00BE347E"/>
    <w:rsid w:val="00BE7B27"/>
    <w:rsid w:val="00C22BBE"/>
    <w:rsid w:val="00C46478"/>
    <w:rsid w:val="00C6401A"/>
    <w:rsid w:val="00C67D94"/>
    <w:rsid w:val="00C912E5"/>
    <w:rsid w:val="00CD0F91"/>
    <w:rsid w:val="00CD4E7C"/>
    <w:rsid w:val="00CD6646"/>
    <w:rsid w:val="00D056D7"/>
    <w:rsid w:val="00D41374"/>
    <w:rsid w:val="00D42D1F"/>
    <w:rsid w:val="00D6709A"/>
    <w:rsid w:val="00D76276"/>
    <w:rsid w:val="00DC0980"/>
    <w:rsid w:val="00DF1EE2"/>
    <w:rsid w:val="00DF3963"/>
    <w:rsid w:val="00E029BD"/>
    <w:rsid w:val="00E21FE6"/>
    <w:rsid w:val="00E4126E"/>
    <w:rsid w:val="00E43A92"/>
    <w:rsid w:val="00E60313"/>
    <w:rsid w:val="00EC61EE"/>
    <w:rsid w:val="00F23242"/>
    <w:rsid w:val="00F365F8"/>
    <w:rsid w:val="00F92E41"/>
    <w:rsid w:val="00FA25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1511BF"/>
  <w15:chartTrackingRefBased/>
  <w15:docId w15:val="{84AF0D26-0CD3-46A6-BD52-B463C2ED8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721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1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1F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F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F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F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F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F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F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F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1F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F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F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F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F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F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F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FBC"/>
    <w:rPr>
      <w:rFonts w:eastAsiaTheme="majorEastAsia" w:cstheme="majorBidi"/>
      <w:color w:val="272727" w:themeColor="text1" w:themeTint="D8"/>
    </w:rPr>
  </w:style>
  <w:style w:type="paragraph" w:styleId="Title">
    <w:name w:val="Title"/>
    <w:basedOn w:val="Normal"/>
    <w:next w:val="Normal"/>
    <w:link w:val="TitleChar"/>
    <w:uiPriority w:val="10"/>
    <w:qFormat/>
    <w:rsid w:val="0072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F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F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FBC"/>
    <w:pPr>
      <w:spacing w:before="160"/>
      <w:jc w:val="center"/>
    </w:pPr>
    <w:rPr>
      <w:i/>
      <w:iCs/>
      <w:color w:val="404040" w:themeColor="text1" w:themeTint="BF"/>
    </w:rPr>
  </w:style>
  <w:style w:type="character" w:customStyle="1" w:styleId="QuoteChar">
    <w:name w:val="Quote Char"/>
    <w:basedOn w:val="DefaultParagraphFont"/>
    <w:link w:val="Quote"/>
    <w:uiPriority w:val="29"/>
    <w:rsid w:val="00721FBC"/>
    <w:rPr>
      <w:i/>
      <w:iCs/>
      <w:color w:val="404040" w:themeColor="text1" w:themeTint="BF"/>
    </w:rPr>
  </w:style>
  <w:style w:type="paragraph" w:styleId="ListParagraph">
    <w:name w:val="List Paragraph"/>
    <w:basedOn w:val="Normal"/>
    <w:uiPriority w:val="34"/>
    <w:qFormat/>
    <w:rsid w:val="00721FBC"/>
    <w:pPr>
      <w:ind w:left="720"/>
      <w:contextualSpacing/>
    </w:pPr>
  </w:style>
  <w:style w:type="character" w:styleId="IntenseEmphasis">
    <w:name w:val="Intense Emphasis"/>
    <w:basedOn w:val="DefaultParagraphFont"/>
    <w:uiPriority w:val="21"/>
    <w:qFormat/>
    <w:rsid w:val="00721FBC"/>
    <w:rPr>
      <w:i/>
      <w:iCs/>
      <w:color w:val="0F4761" w:themeColor="accent1" w:themeShade="BF"/>
    </w:rPr>
  </w:style>
  <w:style w:type="paragraph" w:styleId="IntenseQuote">
    <w:name w:val="Intense Quote"/>
    <w:basedOn w:val="Normal"/>
    <w:next w:val="Normal"/>
    <w:link w:val="IntenseQuoteChar"/>
    <w:uiPriority w:val="30"/>
    <w:qFormat/>
    <w:rsid w:val="00721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FBC"/>
    <w:rPr>
      <w:i/>
      <w:iCs/>
      <w:color w:val="0F4761" w:themeColor="accent1" w:themeShade="BF"/>
    </w:rPr>
  </w:style>
  <w:style w:type="character" w:styleId="IntenseReference">
    <w:name w:val="Intense Reference"/>
    <w:basedOn w:val="DefaultParagraphFont"/>
    <w:uiPriority w:val="32"/>
    <w:qFormat/>
    <w:rsid w:val="00721FBC"/>
    <w:rPr>
      <w:b/>
      <w:bCs/>
      <w:smallCaps/>
      <w:color w:val="0F4761" w:themeColor="accent1" w:themeShade="BF"/>
      <w:spacing w:val="5"/>
    </w:rPr>
  </w:style>
  <w:style w:type="paragraph" w:styleId="Header">
    <w:name w:val="header"/>
    <w:basedOn w:val="Normal"/>
    <w:link w:val="HeaderChar"/>
    <w:uiPriority w:val="99"/>
    <w:unhideWhenUsed/>
    <w:rsid w:val="003E78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820"/>
    <w:rPr>
      <w:rFonts w:ascii="Calibri" w:eastAsia="Calibri" w:hAnsi="Calibri" w:cs="Times New Roman"/>
      <w:kern w:val="0"/>
      <w:lang w:val="en-US"/>
      <w14:ligatures w14:val="none"/>
    </w:rPr>
  </w:style>
  <w:style w:type="character" w:styleId="PageNumber">
    <w:name w:val="page number"/>
    <w:basedOn w:val="DefaultParagraphFont"/>
    <w:rsid w:val="003E7820"/>
  </w:style>
  <w:style w:type="paragraph" w:styleId="BodyTextIndent2">
    <w:name w:val="Body Text Indent 2"/>
    <w:basedOn w:val="Normal"/>
    <w:link w:val="BodyTextIndent2Ch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BodyTextIndent2Char">
    <w:name w:val="Body Text Indent 2 Char"/>
    <w:basedOn w:val="DefaultParagraphFont"/>
    <w:link w:val="BodyTextIndent2"/>
    <w:uiPriority w:val="99"/>
    <w:rsid w:val="003E7820"/>
    <w:rPr>
      <w:rFonts w:ascii="Times New Roman" w:eastAsia="MS Mincho" w:hAnsi="Times New Roman" w:cs="Times New Roman"/>
      <w:kern w:val="0"/>
      <w:sz w:val="20"/>
      <w:szCs w:val="20"/>
      <w:lang w:val="en-US"/>
      <w14:ligatures w14:val="none"/>
    </w:rPr>
  </w:style>
  <w:style w:type="character" w:styleId="LineNumber">
    <w:name w:val="line number"/>
    <w:basedOn w:val="DefaultParagraphFont"/>
    <w:uiPriority w:val="99"/>
    <w:semiHidden/>
    <w:unhideWhenUsed/>
    <w:rsid w:val="003E7820"/>
  </w:style>
  <w:style w:type="paragraph" w:styleId="Footer">
    <w:name w:val="footer"/>
    <w:basedOn w:val="Normal"/>
    <w:link w:val="FooterChar"/>
    <w:uiPriority w:val="99"/>
    <w:unhideWhenUsed/>
    <w:rsid w:val="00F365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65F8"/>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0980592">
      <w:bodyDiv w:val="1"/>
      <w:marLeft w:val="0"/>
      <w:marRight w:val="0"/>
      <w:marTop w:val="0"/>
      <w:marBottom w:val="0"/>
      <w:divBdr>
        <w:top w:val="none" w:sz="0" w:space="0" w:color="auto"/>
        <w:left w:val="none" w:sz="0" w:space="0" w:color="auto"/>
        <w:bottom w:val="none" w:sz="0" w:space="0" w:color="auto"/>
        <w:right w:val="none" w:sz="0" w:space="0" w:color="auto"/>
      </w:divBdr>
    </w:div>
    <w:div w:id="2013097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8" ma:contentTypeDescription="Create a new document." ma:contentTypeScope="" ma:versionID="03ebc2ffddcd6250518ab00d16c8fb59">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480b3c1d65600d7d982767bfad0b80c8"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Props1.xml><?xml version="1.0" encoding="utf-8"?>
<ds:datastoreItem xmlns:ds="http://schemas.openxmlformats.org/officeDocument/2006/customXml" ds:itemID="{3E20EE6D-A2AF-441A-AA88-CC25581959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AD1D2F-092B-4EEE-BB3A-86FA04B85966}">
  <ds:schemaRefs>
    <ds:schemaRef ds:uri="http://schemas.microsoft.com/sharepoint/v3/contenttype/forms"/>
  </ds:schemaRefs>
</ds:datastoreItem>
</file>

<file path=customXml/itemProps3.xml><?xml version="1.0" encoding="utf-8"?>
<ds:datastoreItem xmlns:ds="http://schemas.openxmlformats.org/officeDocument/2006/customXml" ds:itemID="{B9915B40-49BB-4ED5-9BA2-554F091D4320}">
  <ds:schemaRefs>
    <ds:schemaRef ds:uri="http://schemas.microsoft.com/office/2006/metadata/properties"/>
    <ds:schemaRef ds:uri="http://schemas.microsoft.com/office/infopath/2007/PartnerControls"/>
    <ds:schemaRef ds:uri="92f57704-3039-4ebf-ac81-f8b12810bd0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741</Words>
  <Characters>4224</Characters>
  <Application>Microsoft Office Word</Application>
  <DocSecurity>0</DocSecurity>
  <Lines>35</Lines>
  <Paragraphs>9</Paragraphs>
  <ScaleCrop>false</ScaleCrop>
  <Company/>
  <LinksUpToDate>false</LinksUpToDate>
  <CharactersWithSpaces>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JEZER MULERO</dc:creator>
  <cp:keywords/>
  <dc:description/>
  <cp:lastModifiedBy>Victor E. Vélez Cucuta</cp:lastModifiedBy>
  <cp:revision>2</cp:revision>
  <cp:lastPrinted>2025-03-24T15:35:00Z</cp:lastPrinted>
  <dcterms:created xsi:type="dcterms:W3CDTF">2025-09-22T13:43:00Z</dcterms:created>
  <dcterms:modified xsi:type="dcterms:W3CDTF">2025-09-22T13:43:00Z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y fmtid="{D5CDD505-2E9C-101B-9397-08002B2CF9AE}" pid="3" name="ContentTypeId">
    <vt:lpwstr>0x01010066EC4548D9B7A147ACBF4A48EC93BABF</vt:lpwstr>
  </property>
</Properties>
</file>