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473D2560"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4C264BF8"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BA3C2F">
        <w:rPr>
          <w:rFonts w:ascii="Book Antiqua" w:eastAsia="Times New Roman" w:hAnsi="Book Antiqua"/>
          <w:b/>
          <w:bCs/>
          <w:color w:val="0D0D0D"/>
          <w:sz w:val="52"/>
          <w:szCs w:val="52"/>
          <w:lang w:val="es-ES_tradnl"/>
        </w:rPr>
        <w:t>428</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757D56E6" w:rsidR="00C22BBE" w:rsidRPr="00C22BBE" w:rsidRDefault="00BA3C2F" w:rsidP="00C22BBE">
      <w:pPr>
        <w:spacing w:after="0" w:line="240" w:lineRule="auto"/>
        <w:jc w:val="center"/>
        <w:rPr>
          <w:rFonts w:ascii="Book Antiqua" w:eastAsia="Times New Roman" w:hAnsi="Book Antiqua"/>
          <w:caps/>
          <w:color w:val="0D0D0D"/>
          <w:sz w:val="24"/>
          <w:szCs w:val="20"/>
          <w:lang w:val="es-ES_tradnl"/>
        </w:rPr>
      </w:pPr>
      <w:r>
        <w:rPr>
          <w:rFonts w:ascii="Book Antiqua" w:eastAsia="Times New Roman" w:hAnsi="Book Antiqua"/>
          <w:caps/>
          <w:color w:val="0D0D0D"/>
          <w:sz w:val="24"/>
          <w:szCs w:val="20"/>
          <w:lang w:val="es-ES_tradnl"/>
        </w:rPr>
        <w:t>10</w:t>
      </w:r>
      <w:r w:rsidR="00C46478">
        <w:rPr>
          <w:rFonts w:ascii="Book Antiqua" w:eastAsia="Times New Roman" w:hAnsi="Book Antiqua"/>
          <w:caps/>
          <w:color w:val="0D0D0D"/>
          <w:sz w:val="24"/>
          <w:szCs w:val="20"/>
          <w:lang w:val="es-ES_tradnl"/>
        </w:rPr>
        <w:t xml:space="preserve"> </w:t>
      </w:r>
      <w:r w:rsidR="00C22BBE" w:rsidRPr="00C22BBE">
        <w:rPr>
          <w:rFonts w:ascii="Book Antiqua" w:eastAsia="Times New Roman" w:hAnsi="Book Antiqua"/>
          <w:caps/>
          <w:color w:val="0D0D0D"/>
          <w:sz w:val="24"/>
          <w:szCs w:val="20"/>
          <w:lang w:val="es-ES_tradnl"/>
        </w:rPr>
        <w:t xml:space="preserve">de </w:t>
      </w:r>
      <w:r w:rsidR="00F92E41">
        <w:rPr>
          <w:rFonts w:ascii="Book Antiqua" w:eastAsia="Times New Roman" w:hAnsi="Book Antiqua"/>
          <w:caps/>
          <w:color w:val="0D0D0D"/>
          <w:sz w:val="24"/>
          <w:szCs w:val="20"/>
          <w:lang w:val="es-ES_tradnl"/>
        </w:rPr>
        <w:t>septiembre</w:t>
      </w:r>
      <w:r w:rsidR="00C22BBE"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7131CE20" w:rsid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3879DB9D" w14:textId="77777777" w:rsidR="00350987" w:rsidRPr="00C22BBE" w:rsidRDefault="00350987" w:rsidP="00350987">
      <w:pPr>
        <w:spacing w:after="0" w:line="240" w:lineRule="auto"/>
        <w:jc w:val="center"/>
        <w:rPr>
          <w:rFonts w:ascii="Book Antiqua" w:eastAsia="Times New Roman" w:hAnsi="Book Antiqua"/>
          <w:i/>
          <w:iCs/>
          <w:color w:val="0D0D0D"/>
          <w:sz w:val="24"/>
          <w:szCs w:val="20"/>
          <w:lang w:val="es-ES_tradnl"/>
        </w:rPr>
      </w:pPr>
      <w:r>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144DC195"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w:t>
      </w:r>
      <w:r w:rsidR="00657B3E">
        <w:rPr>
          <w:rFonts w:ascii="Book Antiqua" w:eastAsia="Times New Roman" w:hAnsi="Book Antiqua"/>
          <w:color w:val="0D0D0D"/>
          <w:sz w:val="24"/>
          <w:szCs w:val="20"/>
          <w:lang w:val="es-ES_tradnl"/>
        </w:rPr>
        <w:t>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657B3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657B3E">
      <w:pPr>
        <w:spacing w:after="0" w:line="240" w:lineRule="auto"/>
        <w:jc w:val="center"/>
        <w:rPr>
          <w:rFonts w:ascii="Book Antiqua" w:eastAsia="Times New Roman" w:hAnsi="Book Antiqua"/>
          <w:b/>
          <w:color w:val="0D0D0D"/>
          <w:sz w:val="24"/>
          <w:szCs w:val="24"/>
          <w:lang w:val="es-ES_tradnl"/>
        </w:rPr>
      </w:pPr>
    </w:p>
    <w:p w14:paraId="75642DC9" w14:textId="5CB37FBD" w:rsidR="00C22BBE" w:rsidRPr="00612BCE" w:rsidRDefault="00C22BBE" w:rsidP="00657B3E">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C22BBE">
        <w:rPr>
          <w:rFonts w:ascii="Book Antiqua" w:eastAsia="Times New Roman" w:hAnsi="Book Antiqua" w:cs="AngsanaUPC"/>
          <w:color w:val="0D0D0D"/>
          <w:sz w:val="24"/>
          <w:szCs w:val="24"/>
          <w:lang w:val="es-ES_tradnl"/>
        </w:rPr>
        <w:t xml:space="preserve">Para ordenar a </w:t>
      </w:r>
      <w:bookmarkStart w:id="2" w:name="_Hlk175553536"/>
      <w:r w:rsidRPr="00C22BBE">
        <w:rPr>
          <w:rFonts w:ascii="Book Antiqua" w:eastAsia="Times New Roman" w:hAnsi="Book Antiqua" w:cs="AngsanaUPC"/>
          <w:color w:val="0D0D0D"/>
          <w:sz w:val="24"/>
          <w:szCs w:val="24"/>
          <w:lang w:val="es-ES_tradnl"/>
        </w:rPr>
        <w:t xml:space="preserve">la Comisión de </w:t>
      </w:r>
      <w:bookmarkStart w:id="3" w:name="_Hlk117676723"/>
      <w:r w:rsidRPr="00C22BBE">
        <w:rPr>
          <w:rFonts w:ascii="Book Antiqua" w:eastAsia="Times New Roman" w:hAnsi="Book Antiqua" w:cs="AngsanaUPC"/>
          <w:color w:val="0D0D0D"/>
          <w:sz w:val="24"/>
          <w:szCs w:val="24"/>
          <w:lang w:val="es-ES_tradnl"/>
        </w:rPr>
        <w:t>Salud</w:t>
      </w:r>
      <w:bookmarkStart w:id="4" w:name="_Hlk117676752"/>
      <w:bookmarkEnd w:id="2"/>
      <w:bookmarkEnd w:id="3"/>
      <w:r w:rsidR="00D42D1F">
        <w:rPr>
          <w:rFonts w:ascii="Book Antiqua" w:eastAsia="Times New Roman" w:hAnsi="Book Antiqua" w:cs="AngsanaUPC"/>
          <w:color w:val="0D0D0D"/>
          <w:sz w:val="24"/>
          <w:szCs w:val="24"/>
          <w:lang w:val="es-ES_tradnl"/>
        </w:rPr>
        <w:t xml:space="preserve"> </w:t>
      </w:r>
      <w:r w:rsidR="00D42D1F">
        <w:rPr>
          <w:rFonts w:ascii="Book Antiqua" w:eastAsia="Times New Roman" w:hAnsi="Book Antiqua" w:cs="AngsanaUPC"/>
          <w:i/>
          <w:iCs/>
          <w:color w:val="0D0D0D"/>
          <w:sz w:val="24"/>
          <w:szCs w:val="24"/>
          <w:u w:val="single"/>
          <w:lang w:val="es-ES_tradnl"/>
        </w:rPr>
        <w:t>de la Cámara de Representantes</w:t>
      </w:r>
      <w:r w:rsidR="00654081">
        <w:rPr>
          <w:rFonts w:ascii="Book Antiqua" w:eastAsia="Times New Roman" w:hAnsi="Book Antiqua" w:cs="AngsanaUPC"/>
          <w:color w:val="0D0D0D"/>
          <w:sz w:val="24"/>
          <w:szCs w:val="24"/>
          <w:lang w:val="es-ES_tradnl"/>
        </w:rPr>
        <w:t xml:space="preserve"> </w:t>
      </w:r>
      <w:r w:rsidR="00654081" w:rsidRPr="002D44E9">
        <w:rPr>
          <w:rFonts w:ascii="Book Antiqua" w:eastAsia="MS Mincho" w:hAnsi="Book Antiqua"/>
          <w:sz w:val="24"/>
          <w:szCs w:val="24"/>
          <w:lang w:val="es-PR"/>
        </w:rPr>
        <w:t>realizar un estudio integral sobre la donación y transfusión de sangre en Puerto Rico; la capacidad del sistema de salud para garantizar abastos de sangre estables</w:t>
      </w:r>
      <w:r w:rsidR="00116746">
        <w:rPr>
          <w:rFonts w:ascii="Book Antiqua" w:eastAsia="MS Mincho" w:hAnsi="Book Antiqua"/>
          <w:i/>
          <w:iCs/>
          <w:sz w:val="24"/>
          <w:szCs w:val="24"/>
          <w:u w:val="single"/>
          <w:lang w:val="es-PR"/>
        </w:rPr>
        <w:t>;</w:t>
      </w:r>
      <w:r w:rsidR="00654081" w:rsidRPr="002D44E9">
        <w:rPr>
          <w:rFonts w:ascii="Book Antiqua" w:eastAsia="MS Mincho" w:hAnsi="Book Antiqua"/>
          <w:sz w:val="24"/>
          <w:szCs w:val="24"/>
          <w:lang w:val="es-PR"/>
        </w:rPr>
        <w:t xml:space="preserve"> la existencia de estadísticas confiables que permitan conocer la magnitud del problema de abastos de sangre; el comportamiento y perfil de los donantes, así como identificar barreras que dificulten el reclutamiento y retención de </w:t>
      </w:r>
      <w:r w:rsidR="00654081" w:rsidRPr="00CD4E7C">
        <w:rPr>
          <w:rFonts w:ascii="Book Antiqua" w:eastAsia="MS Mincho" w:hAnsi="Book Antiqua"/>
          <w:strike/>
          <w:sz w:val="24"/>
          <w:szCs w:val="24"/>
          <w:lang w:val="es-PR"/>
        </w:rPr>
        <w:t>esto</w:t>
      </w:r>
      <w:r w:rsidR="00CD4E7C">
        <w:rPr>
          <w:rFonts w:ascii="Book Antiqua" w:eastAsia="Times New Roman" w:hAnsi="Book Antiqua" w:cs="AngsanaUPC"/>
          <w:color w:val="0D0D0D"/>
          <w:sz w:val="24"/>
          <w:szCs w:val="24"/>
          <w:lang w:val="es-ES_tradnl"/>
        </w:rPr>
        <w:t xml:space="preserve"> </w:t>
      </w:r>
      <w:r w:rsidR="00CD4E7C">
        <w:rPr>
          <w:rFonts w:ascii="Book Antiqua" w:eastAsia="Times New Roman" w:hAnsi="Book Antiqua" w:cs="AngsanaUPC"/>
          <w:i/>
          <w:iCs/>
          <w:color w:val="0D0D0D"/>
          <w:sz w:val="24"/>
          <w:szCs w:val="24"/>
          <w:u w:val="single"/>
          <w:lang w:val="es-ES_tradnl"/>
        </w:rPr>
        <w:t>estos</w:t>
      </w:r>
      <w:r w:rsidRPr="00612BCE">
        <w:rPr>
          <w:rFonts w:ascii="Book Antiqua" w:eastAsia="Times New Roman" w:hAnsi="Book Antiqua" w:cs="AngsanaUPC"/>
          <w:color w:val="0D0D0D"/>
          <w:sz w:val="24"/>
          <w:szCs w:val="24"/>
          <w:lang w:val="es-ES_tradnl"/>
        </w:rPr>
        <w:t>; y para otros fines relacionados.</w:t>
      </w:r>
    </w:p>
    <w:bookmarkEnd w:id="0"/>
    <w:bookmarkEnd w:id="1"/>
    <w:bookmarkEnd w:id="4"/>
    <w:p w14:paraId="1F3D7ED1" w14:textId="77777777" w:rsidR="00C22BBE" w:rsidRPr="00C22BBE" w:rsidRDefault="00C22BBE" w:rsidP="00657B3E">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657B3E">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657B3E">
      <w:pPr>
        <w:spacing w:after="0" w:line="240" w:lineRule="auto"/>
        <w:jc w:val="center"/>
        <w:rPr>
          <w:rFonts w:ascii="Book Antiqua" w:eastAsia="Times New Roman" w:hAnsi="Book Antiqua"/>
          <w:color w:val="0D0D0D"/>
          <w:sz w:val="24"/>
          <w:szCs w:val="24"/>
          <w:lang w:val="es-ES_tradnl"/>
        </w:rPr>
      </w:pPr>
    </w:p>
    <w:p w14:paraId="633F009D" w14:textId="77777777"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El Banco de Sangre de Puerto Rico, en Centro Médico, desempeña un papel fundamental en la atención médica al servir como centro de colección primaria de componentes sanguíneos vitales como células rojas, plasma y plaquetas para satisfacer las necesidades de los pacientes hospitalizados y ambulatorios de los hospitales afiliados al Centro Médico de Puerto Rico. </w:t>
      </w:r>
    </w:p>
    <w:p w14:paraId="767EE03F"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03077482" w14:textId="77777777"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Las transfusiones de sangre son esenciales para el tratamiento y la recuperación de los pacientes en estado crítico que se atienden diariamente. La donación regular de sangre es esencial para mantener un suministro adecuado de sangre y garantizar que esté disponible cuando se necesite. Cada año en Puerto Rico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w:t>
      </w:r>
      <w:r w:rsidRPr="00B246E2">
        <w:rPr>
          <w:rFonts w:ascii="Book Antiqua" w:eastAsia="Times New Roman" w:hAnsi="Book Antiqua" w:cs="AngsanaUPC"/>
          <w:color w:val="0D0D0D"/>
          <w:sz w:val="24"/>
          <w:szCs w:val="24"/>
          <w:lang w:val="es-ES"/>
        </w:rPr>
        <w:lastRenderedPageBreak/>
        <w:t>vida útil limitada y, por tanto, se necesita de forma constante. Donar sangre regularmente es una forma simple y efectiva de contribuir a salvar vidas y marcar una diferencia significativa en la Comunidad.</w:t>
      </w:r>
    </w:p>
    <w:p w14:paraId="1BA2150A"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500D612A" w14:textId="77777777"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Sin embargo, en la última década, el número de donantes regulares ha disminuido, comprometiendo la capacidad del sistema de salud para mantener inventarios estables. Adicionalmente, no existe un análisis estadístico reciente </w:t>
      </w:r>
      <w:r w:rsidRPr="0093620D">
        <w:rPr>
          <w:rFonts w:ascii="Book Antiqua" w:eastAsia="Times New Roman" w:hAnsi="Book Antiqua" w:cs="AngsanaUPC"/>
          <w:strike/>
          <w:color w:val="0D0D0D"/>
          <w:sz w:val="24"/>
          <w:szCs w:val="24"/>
          <w:lang w:val="es-ES"/>
        </w:rPr>
        <w:t>exhaustivo</w:t>
      </w:r>
      <w:r w:rsidRPr="00B246E2">
        <w:rPr>
          <w:rFonts w:ascii="Book Antiqua" w:eastAsia="Times New Roman" w:hAnsi="Book Antiqua" w:cs="AngsanaUPC"/>
          <w:color w:val="0D0D0D"/>
          <w:sz w:val="24"/>
          <w:szCs w:val="24"/>
          <w:lang w:val="es-ES"/>
        </w:rPr>
        <w:t xml:space="preserve"> que permita conocer con precisión</w:t>
      </w:r>
      <w:r w:rsidRPr="005B6745">
        <w:rPr>
          <w:rFonts w:ascii="Book Antiqua" w:eastAsia="Times New Roman" w:hAnsi="Book Antiqua" w:cs="AngsanaUPC"/>
          <w:strike/>
          <w:color w:val="0D0D0D"/>
          <w:sz w:val="24"/>
          <w:szCs w:val="24"/>
          <w:lang w:val="es-ES"/>
        </w:rPr>
        <w:t>,</w:t>
      </w:r>
      <w:r w:rsidRPr="00B246E2">
        <w:rPr>
          <w:rFonts w:ascii="Book Antiqua" w:eastAsia="Times New Roman" w:hAnsi="Book Antiqua" w:cs="AngsanaUPC"/>
          <w:color w:val="0D0D0D"/>
          <w:sz w:val="24"/>
          <w:szCs w:val="24"/>
          <w:lang w:val="es-ES"/>
        </w:rPr>
        <w:t xml:space="preserve"> la magnitud del problema, el perfil de los donantes ni las barreras que dificultan el reclutamiento y la retención. </w:t>
      </w:r>
    </w:p>
    <w:p w14:paraId="5C4898ED"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2C555C1B" w14:textId="6A3BFA14"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Según expresado, la disponibilidad de sangre es esencial para salvar vidas</w:t>
      </w:r>
      <w:r w:rsidR="0089196D">
        <w:rPr>
          <w:rFonts w:ascii="Book Antiqua" w:eastAsia="Times New Roman" w:hAnsi="Book Antiqua" w:cs="AngsanaUPC"/>
          <w:color w:val="0D0D0D"/>
          <w:sz w:val="24"/>
          <w:szCs w:val="24"/>
          <w:lang w:val="es-ES"/>
        </w:rPr>
        <w:t>.</w:t>
      </w:r>
      <w:r w:rsidRPr="00B246E2">
        <w:rPr>
          <w:rFonts w:ascii="Book Antiqua" w:eastAsia="Times New Roman" w:hAnsi="Book Antiqua" w:cs="AngsanaUPC"/>
          <w:color w:val="0D0D0D"/>
          <w:sz w:val="24"/>
          <w:szCs w:val="24"/>
          <w:lang w:val="es-ES"/>
        </w:rPr>
        <w:t xml:space="preserve"> Contar con datos actualizados y confiables es indispensable para orientar las acciones y políticas públicas. Los estudios servirán como base para desarrollar campañas de concienciación, fomentar la donación voluntaria, garantizar un abasto seguro y proteger la salud de la población.  Tanto el Departamento de Salud, así como el Instituto de Estadísticas de Puerto Rico, a través de sus capacidades técnicas y mandatos legales, son las agencias idóneas para recopilar estos datos y estudios para para encauzar las acciones y políticas públicas necesarias para lograr abastos de sangre necesarios para atender situaciones de salud.  </w:t>
      </w:r>
    </w:p>
    <w:p w14:paraId="35D28451"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61BB4C1A" w14:textId="77777777" w:rsidR="00B246E2" w:rsidRP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Por consiguiente, es necesario realizar un estudio integral sobre la donación y transfusión de sangre en Puerto Rico.  Es preciso recopilar y analizar información clave sobre la situación de la donación y transfusión de sangre, así como el comportamiento de los donantes en Puerto Rico.  Estos estudios servirán como base para desarrollar campañas de concienciación, fomentar la donación voluntaria y garantizar un abasto seguro de sangre que permita salvar vidas.  </w:t>
      </w:r>
    </w:p>
    <w:p w14:paraId="505FE76E" w14:textId="77777777" w:rsidR="00657B3E"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5653BDE7" w14:textId="682AE353" w:rsidR="00C22BBE" w:rsidRPr="00612BCE" w:rsidRDefault="00B246E2" w:rsidP="00657B3E">
      <w:pPr>
        <w:spacing w:after="0" w:line="240" w:lineRule="auto"/>
        <w:ind w:firstLine="720"/>
        <w:jc w:val="both"/>
        <w:rPr>
          <w:rFonts w:ascii="Book Antiqua" w:eastAsia="Times New Roman" w:hAnsi="Book Antiqua"/>
          <w:i/>
          <w:iCs/>
          <w:color w:val="0D0D0D"/>
          <w:sz w:val="24"/>
          <w:szCs w:val="24"/>
          <w:lang w:val="es-ES_tradnl"/>
        </w:rPr>
      </w:pPr>
      <w:r w:rsidRPr="00B246E2">
        <w:rPr>
          <w:rFonts w:ascii="Book Antiqua" w:eastAsia="Times New Roman" w:hAnsi="Book Antiqua" w:cs="AngsanaUPC"/>
          <w:color w:val="0D0D0D"/>
          <w:sz w:val="24"/>
          <w:szCs w:val="24"/>
          <w:lang w:val="es-ES"/>
        </w:rPr>
        <w:t>La Cámara de Representantes</w:t>
      </w:r>
      <w:r w:rsidR="0064111D">
        <w:rPr>
          <w:rFonts w:ascii="Book Antiqua" w:eastAsia="Times New Roman" w:hAnsi="Book Antiqua" w:cs="AngsanaUPC"/>
          <w:color w:val="0D0D0D"/>
          <w:sz w:val="24"/>
          <w:szCs w:val="24"/>
          <w:lang w:val="es-ES"/>
        </w:rPr>
        <w:t xml:space="preserve"> de Puerto Rico, mediante esta investigación,</w:t>
      </w:r>
      <w:r w:rsidRPr="00B246E2">
        <w:rPr>
          <w:rFonts w:ascii="Book Antiqua" w:eastAsia="Times New Roman" w:hAnsi="Book Antiqua" w:cs="AngsanaUPC"/>
          <w:color w:val="0D0D0D"/>
          <w:sz w:val="24"/>
          <w:szCs w:val="24"/>
          <w:lang w:val="es-ES"/>
        </w:rPr>
        <w:t xml:space="preserve"> tiene la oportunidad de liderar un esfuerzo integral para revertir la escasez de sangre mediante legislación, campañas educativas, alianzas estratégicas y datos confiables para la toma de decisiones.</w:t>
      </w:r>
    </w:p>
    <w:p w14:paraId="77FA68A1" w14:textId="77777777" w:rsidR="004349A5" w:rsidRDefault="004349A5" w:rsidP="00657B3E">
      <w:pPr>
        <w:spacing w:after="0" w:line="240" w:lineRule="auto"/>
        <w:jc w:val="both"/>
        <w:rPr>
          <w:rFonts w:ascii="Book Antiqua" w:eastAsia="Times New Roman" w:hAnsi="Book Antiqua"/>
          <w:i/>
          <w:iCs/>
          <w:sz w:val="24"/>
          <w:szCs w:val="24"/>
          <w:lang w:val="es-ES_tradnl"/>
        </w:rPr>
      </w:pPr>
    </w:p>
    <w:p w14:paraId="672D5453" w14:textId="09D56632" w:rsidR="003E7820" w:rsidRPr="00683111" w:rsidRDefault="003E7820" w:rsidP="00657B3E">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headerReference w:type="first" r:id="rId11"/>
          <w:pgSz w:w="12240" w:h="15840" w:code="1"/>
          <w:pgMar w:top="1440" w:right="1440" w:bottom="1440" w:left="1440" w:header="720" w:footer="720" w:gutter="0"/>
          <w:cols w:space="720"/>
          <w:titlePg/>
          <w:docGrid w:linePitch="360"/>
        </w:sectPr>
      </w:pPr>
    </w:p>
    <w:p w14:paraId="2E10195E" w14:textId="2C98E787"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1.-Se ordena a la Comisión de Salud </w:t>
      </w:r>
      <w:r w:rsidR="0097684F" w:rsidRPr="00612BCE">
        <w:rPr>
          <w:rFonts w:ascii="Book Antiqua" w:eastAsia="MS Mincho" w:hAnsi="Book Antiqua"/>
          <w:sz w:val="24"/>
          <w:szCs w:val="24"/>
          <w:lang w:val="es-PR"/>
        </w:rPr>
        <w:t xml:space="preserve">de </w:t>
      </w:r>
      <w:r w:rsidRPr="00612BCE">
        <w:rPr>
          <w:rFonts w:ascii="Book Antiqua" w:eastAsia="MS Mincho" w:hAnsi="Book Antiqua"/>
          <w:sz w:val="24"/>
          <w:szCs w:val="24"/>
          <w:lang w:val="es-PR"/>
        </w:rPr>
        <w:t xml:space="preserve">la Cámara de Representantes de Puerto Rico, </w:t>
      </w:r>
      <w:r w:rsidR="002D44E9" w:rsidRPr="002D44E9">
        <w:rPr>
          <w:rFonts w:ascii="Book Antiqua" w:eastAsia="MS Mincho" w:hAnsi="Book Antiqua"/>
          <w:sz w:val="24"/>
          <w:szCs w:val="24"/>
          <w:lang w:val="es-PR"/>
        </w:rPr>
        <w:t>realizar un estudio integral sobre la donación y transfusión de sangre en Puerto Rico; la capacidad del sistema de salud para garantizar abastos de sangre estables</w:t>
      </w:r>
      <w:r w:rsidR="000F4514">
        <w:rPr>
          <w:rFonts w:ascii="Book Antiqua" w:eastAsia="MS Mincho" w:hAnsi="Book Antiqua"/>
          <w:i/>
          <w:iCs/>
          <w:sz w:val="24"/>
          <w:szCs w:val="24"/>
          <w:u w:val="single"/>
          <w:lang w:val="es-PR"/>
        </w:rPr>
        <w:t>;</w:t>
      </w:r>
      <w:r w:rsidR="002D44E9" w:rsidRPr="002D44E9">
        <w:rPr>
          <w:rFonts w:ascii="Book Antiqua" w:eastAsia="MS Mincho" w:hAnsi="Book Antiqua"/>
          <w:sz w:val="24"/>
          <w:szCs w:val="24"/>
          <w:lang w:val="es-PR"/>
        </w:rPr>
        <w:t xml:space="preserve"> la existencia de estadísticas confiables que permitan conocer la magnitud del problema de abastos de sangre; el comportamiento y perfil de los donantes, así como identificar </w:t>
      </w:r>
      <w:r w:rsidR="002D44E9" w:rsidRPr="002D44E9">
        <w:rPr>
          <w:rFonts w:ascii="Book Antiqua" w:eastAsia="MS Mincho" w:hAnsi="Book Antiqua"/>
          <w:sz w:val="24"/>
          <w:szCs w:val="24"/>
          <w:lang w:val="es-PR"/>
        </w:rPr>
        <w:lastRenderedPageBreak/>
        <w:t xml:space="preserve">barreras que dificulten el reclutamiento y retención de </w:t>
      </w:r>
      <w:r w:rsidR="002D44E9" w:rsidRPr="000F4514">
        <w:rPr>
          <w:rFonts w:ascii="Book Antiqua" w:eastAsia="MS Mincho" w:hAnsi="Book Antiqua"/>
          <w:strike/>
          <w:sz w:val="24"/>
          <w:szCs w:val="24"/>
          <w:lang w:val="es-PR"/>
        </w:rPr>
        <w:t>esto</w:t>
      </w:r>
      <w:r w:rsidR="00081EE8">
        <w:rPr>
          <w:rFonts w:ascii="Book Antiqua" w:eastAsia="MS Mincho" w:hAnsi="Book Antiqua"/>
          <w:sz w:val="24"/>
          <w:szCs w:val="24"/>
          <w:lang w:val="es-PR"/>
        </w:rPr>
        <w:t xml:space="preserve"> </w:t>
      </w:r>
      <w:r w:rsidR="00081EE8">
        <w:rPr>
          <w:rFonts w:ascii="Book Antiqua" w:eastAsia="MS Mincho" w:hAnsi="Book Antiqua"/>
          <w:i/>
          <w:iCs/>
          <w:sz w:val="24"/>
          <w:szCs w:val="24"/>
          <w:u w:val="single"/>
          <w:lang w:val="es-PR"/>
        </w:rPr>
        <w:t>estos</w:t>
      </w:r>
      <w:r w:rsidR="002D44E9" w:rsidRPr="002D44E9">
        <w:rPr>
          <w:rFonts w:ascii="Book Antiqua" w:eastAsia="MS Mincho" w:hAnsi="Book Antiqua"/>
          <w:sz w:val="24"/>
          <w:szCs w:val="24"/>
          <w:lang w:val="es-PR"/>
        </w:rPr>
        <w:t xml:space="preserve">.  </w:t>
      </w:r>
    </w:p>
    <w:p w14:paraId="3AAA06C9" w14:textId="365B2E00"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2.-La Comisión rendirá un Informe con sus hallazgos, conclusiones y recomendaciones, </w:t>
      </w:r>
      <w:r w:rsidR="009F54BF" w:rsidRPr="00612BCE">
        <w:rPr>
          <w:rFonts w:ascii="Book Antiqua" w:eastAsia="MS Mincho" w:hAnsi="Book Antiqua"/>
          <w:sz w:val="24"/>
          <w:szCs w:val="24"/>
          <w:lang w:val="es-PR"/>
        </w:rPr>
        <w:t xml:space="preserve">dentro del término de ciento ochenta (180) días, contados a partir de la aprobación de esta </w:t>
      </w:r>
      <w:r w:rsidR="00404A06" w:rsidRPr="00612BCE">
        <w:rPr>
          <w:rFonts w:ascii="Book Antiqua" w:eastAsia="MS Mincho" w:hAnsi="Book Antiqua"/>
          <w:sz w:val="24"/>
          <w:szCs w:val="24"/>
          <w:lang w:val="es-PR"/>
        </w:rPr>
        <w:t>Resolución</w:t>
      </w:r>
      <w:r w:rsidRPr="00612BCE">
        <w:rPr>
          <w:rFonts w:ascii="Book Antiqua" w:eastAsia="MS Mincho" w:hAnsi="Book Antiqua"/>
          <w:sz w:val="24"/>
          <w:szCs w:val="24"/>
          <w:lang w:val="es-PR"/>
        </w:rPr>
        <w:t>.</w:t>
      </w:r>
    </w:p>
    <w:p w14:paraId="714746C8" w14:textId="27D32C7B" w:rsidR="00D056D7" w:rsidRPr="00612BCE" w:rsidRDefault="00C22BBE" w:rsidP="00C22BBE">
      <w:pPr>
        <w:widowControl w:val="0"/>
        <w:spacing w:after="0" w:line="480" w:lineRule="auto"/>
        <w:ind w:firstLine="720"/>
        <w:jc w:val="both"/>
        <w:rPr>
          <w:rFonts w:ascii="Book Antiqua" w:eastAsia="MS Mincho" w:hAnsi="Book Antiqua"/>
          <w:sz w:val="24"/>
          <w:szCs w:val="24"/>
          <w:lang w:val="es-ES_tradnl"/>
        </w:rPr>
      </w:pPr>
      <w:r w:rsidRPr="00612BCE">
        <w:rPr>
          <w:rFonts w:ascii="Book Antiqua" w:eastAsia="MS Mincho" w:hAnsi="Book Antiqua"/>
          <w:sz w:val="24"/>
          <w:szCs w:val="24"/>
          <w:lang w:val="es-PR"/>
        </w:rPr>
        <w:t>Sección 3.-Esta Resolución comenzará a regir inmediatamente después de su aprobación.</w:t>
      </w:r>
    </w:p>
    <w:sectPr w:rsidR="00D056D7" w:rsidRPr="00612BCE" w:rsidSect="003E7820">
      <w:headerReference w:type="even" r:id="rId12"/>
      <w:headerReference w:type="default" r:id="rId13"/>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0F61" w14:textId="77777777" w:rsidR="00125B6E" w:rsidRDefault="00125B6E">
      <w:pPr>
        <w:spacing w:after="0" w:line="240" w:lineRule="auto"/>
      </w:pPr>
      <w:r>
        <w:separator/>
      </w:r>
    </w:p>
  </w:endnote>
  <w:endnote w:type="continuationSeparator" w:id="0">
    <w:p w14:paraId="235B054C" w14:textId="77777777" w:rsidR="00125B6E" w:rsidRDefault="00125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85387" w14:textId="77777777" w:rsidR="00125B6E" w:rsidRDefault="00125B6E">
      <w:pPr>
        <w:spacing w:after="0" w:line="240" w:lineRule="auto"/>
      </w:pPr>
      <w:r>
        <w:separator/>
      </w:r>
    </w:p>
  </w:footnote>
  <w:footnote w:type="continuationSeparator" w:id="0">
    <w:p w14:paraId="383A3AD2" w14:textId="77777777" w:rsidR="00125B6E" w:rsidRDefault="00125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793C0550" w:rsidR="00F365F8" w:rsidRPr="00F365F8" w:rsidRDefault="0021261F" w:rsidP="00F365F8">
    <w:pPr>
      <w:pStyle w:val="Header"/>
      <w:jc w:val="center"/>
      <w:rPr>
        <w:rFonts w:ascii="Book Antiqua" w:hAnsi="Book Antiqua"/>
        <w:sz w:val="24"/>
        <w:szCs w:val="24"/>
      </w:rPr>
    </w:pPr>
    <w:r>
      <w:rPr>
        <w:rFonts w:ascii="Book Antiqua" w:hAnsi="Book Antiqua"/>
        <w:sz w:val="24"/>
        <w:szCs w:val="24"/>
      </w:rPr>
      <w:t>ENTIRILLADO ELECTR</w:t>
    </w:r>
    <w:r w:rsidR="00D42D1F">
      <w:rPr>
        <w:rFonts w:ascii="Book Antiqua" w:hAnsi="Book Antiqua"/>
        <w:sz w:val="24"/>
        <w:szCs w:val="24"/>
      </w:rPr>
      <w:t>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3303D"/>
    <w:rsid w:val="00044E58"/>
    <w:rsid w:val="00066438"/>
    <w:rsid w:val="00081EE8"/>
    <w:rsid w:val="000F4514"/>
    <w:rsid w:val="0010413C"/>
    <w:rsid w:val="00116746"/>
    <w:rsid w:val="00125B6E"/>
    <w:rsid w:val="00140BBA"/>
    <w:rsid w:val="0021261F"/>
    <w:rsid w:val="00247D30"/>
    <w:rsid w:val="002D44E9"/>
    <w:rsid w:val="003164CA"/>
    <w:rsid w:val="00350987"/>
    <w:rsid w:val="003612D4"/>
    <w:rsid w:val="003C1366"/>
    <w:rsid w:val="003C65C8"/>
    <w:rsid w:val="003D68CC"/>
    <w:rsid w:val="003E7820"/>
    <w:rsid w:val="00404A06"/>
    <w:rsid w:val="00431397"/>
    <w:rsid w:val="004349A5"/>
    <w:rsid w:val="0049745A"/>
    <w:rsid w:val="004C7202"/>
    <w:rsid w:val="00521E8B"/>
    <w:rsid w:val="005253C3"/>
    <w:rsid w:val="0054505E"/>
    <w:rsid w:val="0055262D"/>
    <w:rsid w:val="00592027"/>
    <w:rsid w:val="005B1725"/>
    <w:rsid w:val="005B6745"/>
    <w:rsid w:val="00612BCE"/>
    <w:rsid w:val="0064111D"/>
    <w:rsid w:val="00654081"/>
    <w:rsid w:val="00654548"/>
    <w:rsid w:val="00657B3E"/>
    <w:rsid w:val="006C05FD"/>
    <w:rsid w:val="006D7F2B"/>
    <w:rsid w:val="00721FBC"/>
    <w:rsid w:val="00752FAF"/>
    <w:rsid w:val="0075695E"/>
    <w:rsid w:val="00756D40"/>
    <w:rsid w:val="00774512"/>
    <w:rsid w:val="007C6FED"/>
    <w:rsid w:val="0089196D"/>
    <w:rsid w:val="00907DEC"/>
    <w:rsid w:val="0093620D"/>
    <w:rsid w:val="0097684F"/>
    <w:rsid w:val="00995861"/>
    <w:rsid w:val="009D768D"/>
    <w:rsid w:val="009F447A"/>
    <w:rsid w:val="009F54BF"/>
    <w:rsid w:val="00A27D28"/>
    <w:rsid w:val="00A47AFF"/>
    <w:rsid w:val="00A6433F"/>
    <w:rsid w:val="00A64923"/>
    <w:rsid w:val="00AC1DBC"/>
    <w:rsid w:val="00AF4F11"/>
    <w:rsid w:val="00B246E2"/>
    <w:rsid w:val="00B25EEC"/>
    <w:rsid w:val="00B30458"/>
    <w:rsid w:val="00B96B8F"/>
    <w:rsid w:val="00BA3C2F"/>
    <w:rsid w:val="00BB28E4"/>
    <w:rsid w:val="00BE0CF7"/>
    <w:rsid w:val="00BE347E"/>
    <w:rsid w:val="00C22BBE"/>
    <w:rsid w:val="00C46478"/>
    <w:rsid w:val="00C6401A"/>
    <w:rsid w:val="00C67D94"/>
    <w:rsid w:val="00C912E5"/>
    <w:rsid w:val="00CD4E7C"/>
    <w:rsid w:val="00CD6646"/>
    <w:rsid w:val="00D056D7"/>
    <w:rsid w:val="00D41374"/>
    <w:rsid w:val="00D42D1F"/>
    <w:rsid w:val="00D76276"/>
    <w:rsid w:val="00DC0980"/>
    <w:rsid w:val="00DF1EE2"/>
    <w:rsid w:val="00DF3963"/>
    <w:rsid w:val="00E029BD"/>
    <w:rsid w:val="00E21FE6"/>
    <w:rsid w:val="00E4126E"/>
    <w:rsid w:val="00E43A92"/>
    <w:rsid w:val="00E60313"/>
    <w:rsid w:val="00EC61EE"/>
    <w:rsid w:val="00F23242"/>
    <w:rsid w:val="00F365F8"/>
    <w:rsid w:val="00F92E41"/>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707</Words>
  <Characters>4212</Characters>
  <Application>Microsoft Office Word</Application>
  <DocSecurity>4</DocSecurity>
  <Lines>35</Lines>
  <Paragraphs>9</Paragraphs>
  <ScaleCrop>false</ScaleCrop>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Alondra Negrón Rivera</cp:lastModifiedBy>
  <cp:revision>2</cp:revision>
  <cp:lastPrinted>2025-03-24T15:35:00Z</cp:lastPrinted>
  <dcterms:created xsi:type="dcterms:W3CDTF">2025-09-15T13:18:00Z</dcterms:created>
  <dcterms:modified xsi:type="dcterms:W3CDTF">2025-09-15T13:18:00Z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