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B7BC" w14:textId="77777777" w:rsidR="00DF3AAB" w:rsidRPr="00DF3AAB" w:rsidRDefault="00DF3AAB" w:rsidP="00DF3AAB">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DF3AAB">
        <w:rPr>
          <w:rFonts w:ascii="Book Antiqua" w:eastAsia="Times New Roman" w:hAnsi="Book Antiqua"/>
          <w:b/>
          <w:bCs/>
          <w:sz w:val="24"/>
          <w:szCs w:val="24"/>
          <w:lang w:val="es-PR"/>
        </w:rPr>
        <w:t>(TEXTO DE APROBACIÓN FINAL POR LA CÁMARA)</w:t>
      </w:r>
      <w:r w:rsidRPr="00DF3AAB">
        <w:rPr>
          <w:rFonts w:ascii="Book Antiqua" w:eastAsia="Times New Roman" w:hAnsi="Book Antiqua"/>
          <w:b/>
          <w:bCs/>
          <w:sz w:val="24"/>
          <w:szCs w:val="24"/>
          <w:lang w:val="es-ES_tradnl"/>
        </w:rPr>
        <w:fldChar w:fldCharType="begin"/>
      </w:r>
      <w:r w:rsidRPr="00DF3AAB">
        <w:rPr>
          <w:rFonts w:ascii="Book Antiqua" w:eastAsia="Times New Roman" w:hAnsi="Book Antiqua"/>
          <w:b/>
          <w:bCs/>
          <w:sz w:val="24"/>
          <w:szCs w:val="24"/>
          <w:lang w:val="es-PR"/>
        </w:rPr>
        <w:instrText xml:space="preserve">PRIVATE </w:instrText>
      </w:r>
      <w:r w:rsidRPr="00DF3AAB">
        <w:rPr>
          <w:rFonts w:ascii="Book Antiqua" w:eastAsia="Times New Roman" w:hAnsi="Book Antiqua"/>
          <w:b/>
          <w:bCs/>
          <w:sz w:val="24"/>
          <w:szCs w:val="24"/>
          <w:lang w:val="es-ES_tradnl"/>
        </w:rPr>
        <w:fldChar w:fldCharType="end"/>
      </w:r>
    </w:p>
    <w:p w14:paraId="483C676F" w14:textId="49679134" w:rsidR="00DF3AAB" w:rsidRPr="00DF3AAB" w:rsidRDefault="00DF3AAB" w:rsidP="00DF3AAB">
      <w:pPr>
        <w:suppressLineNumbers/>
        <w:tabs>
          <w:tab w:val="center" w:pos="4680"/>
        </w:tabs>
        <w:spacing w:after="0" w:line="240" w:lineRule="auto"/>
        <w:jc w:val="center"/>
        <w:rPr>
          <w:rFonts w:ascii="Book Antiqua" w:eastAsia="Times New Roman" w:hAnsi="Book Antiqua"/>
          <w:b/>
          <w:bCs/>
          <w:sz w:val="24"/>
          <w:szCs w:val="24"/>
          <w:lang w:val="es-PR"/>
        </w:rPr>
      </w:pPr>
      <w:r w:rsidRPr="00DF3AAB">
        <w:rPr>
          <w:rFonts w:ascii="Book Antiqua" w:eastAsia="Times New Roman" w:hAnsi="Book Antiqua"/>
          <w:b/>
          <w:bCs/>
          <w:sz w:val="24"/>
          <w:szCs w:val="24"/>
          <w:lang w:val="es-PR"/>
        </w:rPr>
        <w:t>(</w:t>
      </w:r>
      <w:r w:rsidR="00DC6AF1">
        <w:rPr>
          <w:rFonts w:ascii="Book Antiqua" w:eastAsia="Times New Roman" w:hAnsi="Book Antiqua"/>
          <w:b/>
          <w:bCs/>
          <w:sz w:val="24"/>
          <w:szCs w:val="24"/>
          <w:lang w:val="es-PR"/>
        </w:rPr>
        <w:t>18</w:t>
      </w:r>
      <w:r w:rsidRPr="00DF3AAB">
        <w:rPr>
          <w:rFonts w:ascii="Book Antiqua" w:eastAsia="Times New Roman" w:hAnsi="Book Antiqua"/>
          <w:b/>
          <w:bCs/>
          <w:sz w:val="24"/>
          <w:szCs w:val="24"/>
          <w:lang w:val="es-PR"/>
        </w:rPr>
        <w:t xml:space="preserve"> DE </w:t>
      </w:r>
      <w:r w:rsidR="00DC6AF1">
        <w:rPr>
          <w:rFonts w:ascii="Book Antiqua" w:eastAsia="Times New Roman" w:hAnsi="Book Antiqua"/>
          <w:b/>
          <w:bCs/>
          <w:sz w:val="24"/>
          <w:szCs w:val="24"/>
          <w:lang w:val="es-PR"/>
        </w:rPr>
        <w:t>SEPTIEMBRE</w:t>
      </w:r>
      <w:r w:rsidRPr="00DF3AAB">
        <w:rPr>
          <w:rFonts w:ascii="Book Antiqua" w:eastAsia="Times New Roman" w:hAnsi="Book Antiqua"/>
          <w:b/>
          <w:bCs/>
          <w:sz w:val="24"/>
          <w:szCs w:val="24"/>
          <w:lang w:val="es-PR"/>
        </w:rPr>
        <w:t xml:space="preserve"> DE 2025)</w:t>
      </w:r>
    </w:p>
    <w:p w14:paraId="5058F9BF" w14:textId="77777777" w:rsidR="00DF3AAB" w:rsidRPr="00DF3AAB" w:rsidRDefault="00DF3AAB" w:rsidP="00DF3AAB">
      <w:pPr>
        <w:suppressLineNumbers/>
        <w:tabs>
          <w:tab w:val="center" w:pos="4680"/>
        </w:tabs>
        <w:spacing w:after="0" w:line="240" w:lineRule="auto"/>
        <w:jc w:val="center"/>
        <w:rPr>
          <w:rFonts w:ascii="Book Antiqua" w:eastAsia="Times New Roman" w:hAnsi="Book Antiqua"/>
          <w:b/>
          <w:bCs/>
          <w:sz w:val="24"/>
          <w:szCs w:val="24"/>
          <w:lang w:val="es-ES_tradnl"/>
        </w:rPr>
      </w:pPr>
      <w:r w:rsidRPr="00DF3AAB">
        <w:rPr>
          <w:rFonts w:ascii="Times New Roman" w:eastAsia="Times New Roman" w:hAnsi="Times New Roman"/>
          <w:noProof/>
          <w:sz w:val="24"/>
          <w:szCs w:val="20"/>
        </w:rPr>
        <mc:AlternateContent>
          <mc:Choice Requires="wps">
            <w:drawing>
              <wp:anchor distT="0" distB="0" distL="114300" distR="114300" simplePos="0" relativeHeight="251659264" behindDoc="1" locked="0" layoutInCell="0" allowOverlap="1" wp14:anchorId="2CD8A3BD" wp14:editId="0E0E41B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B03F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71E7DC" w14:textId="77777777" w:rsidR="00DF3AAB" w:rsidRPr="00DF3AAB" w:rsidRDefault="00DF3AAB" w:rsidP="00DF3AAB">
      <w:pPr>
        <w:spacing w:after="0" w:line="240" w:lineRule="auto"/>
        <w:jc w:val="center"/>
        <w:rPr>
          <w:rFonts w:ascii="Book Antiqua" w:eastAsia="Times New Roman" w:hAnsi="Book Antiqua"/>
          <w:sz w:val="28"/>
          <w:szCs w:val="20"/>
          <w:lang w:val="es-ES_tradnl"/>
        </w:rPr>
      </w:pPr>
      <w:r w:rsidRPr="00DF3AAB">
        <w:rPr>
          <w:rFonts w:ascii="Book Antiqua" w:eastAsia="Times New Roman" w:hAnsi="Book Antiqua"/>
          <w:sz w:val="28"/>
          <w:szCs w:val="20"/>
          <w:lang w:val="es-ES_tradnl"/>
        </w:rPr>
        <w:t>GOBIERNO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23FA0712"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7F537A">
        <w:rPr>
          <w:rFonts w:ascii="Book Antiqua" w:eastAsia="Times New Roman" w:hAnsi="Book Antiqua"/>
          <w:b/>
          <w:bCs/>
          <w:color w:val="0D0D0D"/>
          <w:sz w:val="52"/>
          <w:szCs w:val="52"/>
          <w:lang w:val="es-ES_tradnl"/>
        </w:rPr>
        <w:t>429</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DFC1565"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7F537A">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58F64629" w14:textId="0ADF3AEE" w:rsidR="00AA36FD" w:rsidRPr="00C22BBE" w:rsidRDefault="00AA36FD" w:rsidP="00C22BBE">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34ED2E24"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8304FF">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48EBE1A3" w:rsidR="00C22BBE" w:rsidRPr="00DF3AAB" w:rsidRDefault="00C22BBE" w:rsidP="008304FF">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1" w:name="_Hlk119394139"/>
      <w:bookmarkStart w:id="2" w:name="_Hlk118986562"/>
      <w:r w:rsidRPr="00DF3AAB">
        <w:rPr>
          <w:rFonts w:ascii="Book Antiqua" w:eastAsia="Times New Roman" w:hAnsi="Book Antiqua" w:cs="AngsanaUPC"/>
          <w:color w:val="0D0D0D"/>
          <w:sz w:val="24"/>
          <w:szCs w:val="24"/>
          <w:lang w:val="es-ES_tradnl"/>
        </w:rPr>
        <w:t xml:space="preserve">Para ordenar a </w:t>
      </w:r>
      <w:bookmarkStart w:id="3" w:name="_Hlk175553536"/>
      <w:r w:rsidRPr="00DF3AAB">
        <w:rPr>
          <w:rFonts w:ascii="Book Antiqua" w:eastAsia="Times New Roman" w:hAnsi="Book Antiqua" w:cs="AngsanaUPC"/>
          <w:color w:val="0D0D0D"/>
          <w:sz w:val="24"/>
          <w:szCs w:val="24"/>
          <w:lang w:val="es-ES_tradnl"/>
        </w:rPr>
        <w:t xml:space="preserve">la Comisión de </w:t>
      </w:r>
      <w:bookmarkStart w:id="4" w:name="_Hlk117676723"/>
      <w:r w:rsidRPr="00DF3AAB">
        <w:rPr>
          <w:rFonts w:ascii="Book Antiqua" w:eastAsia="Times New Roman" w:hAnsi="Book Antiqua" w:cs="AngsanaUPC"/>
          <w:color w:val="0D0D0D"/>
          <w:sz w:val="24"/>
          <w:szCs w:val="24"/>
          <w:lang w:val="es-ES_tradnl"/>
        </w:rPr>
        <w:t>Salud</w:t>
      </w:r>
      <w:bookmarkStart w:id="5" w:name="_Hlk117676752"/>
      <w:bookmarkEnd w:id="3"/>
      <w:bookmarkEnd w:id="4"/>
      <w:r w:rsidR="00654081" w:rsidRPr="00DF3AAB">
        <w:rPr>
          <w:rFonts w:ascii="Book Antiqua" w:eastAsia="Times New Roman" w:hAnsi="Book Antiqua" w:cs="AngsanaUPC"/>
          <w:color w:val="0D0D0D"/>
          <w:sz w:val="24"/>
          <w:szCs w:val="24"/>
          <w:lang w:val="es-ES_tradnl"/>
        </w:rPr>
        <w:t xml:space="preserve"> </w:t>
      </w:r>
      <w:r w:rsidR="00B57849" w:rsidRPr="00DF3AAB">
        <w:rPr>
          <w:rFonts w:ascii="Book Antiqua" w:eastAsia="MS Mincho" w:hAnsi="Book Antiqua"/>
          <w:sz w:val="24"/>
          <w:szCs w:val="24"/>
          <w:lang w:val="es-PR"/>
        </w:rPr>
        <w:t>de la Cámara de Representantes</w:t>
      </w:r>
      <w:r w:rsidR="00F5010D" w:rsidRPr="00DF3AAB">
        <w:rPr>
          <w:rFonts w:ascii="Book Antiqua" w:eastAsia="MS Mincho" w:hAnsi="Book Antiqua"/>
          <w:sz w:val="24"/>
          <w:szCs w:val="24"/>
          <w:lang w:val="es-PR"/>
        </w:rPr>
        <w:t xml:space="preserve"> de Puerto Rico,</w:t>
      </w:r>
      <w:r w:rsidR="00B57849" w:rsidRPr="00DF3AAB">
        <w:rPr>
          <w:rFonts w:ascii="Book Antiqua" w:eastAsia="MS Mincho" w:hAnsi="Book Antiqua"/>
          <w:sz w:val="24"/>
          <w:szCs w:val="24"/>
          <w:lang w:val="es-PR"/>
        </w:rPr>
        <w:t xml:space="preserve"> realizar una investigación en torno al </w:t>
      </w:r>
      <w:r w:rsidR="00580ABA" w:rsidRPr="00DF3AAB">
        <w:rPr>
          <w:rFonts w:ascii="Book Antiqua" w:eastAsia="MS Mincho" w:hAnsi="Book Antiqua"/>
          <w:sz w:val="24"/>
          <w:szCs w:val="24"/>
          <w:lang w:val="es-PR"/>
        </w:rPr>
        <w:t>cumplimiento por parte de las agencias, municipios, corporaciones públicas e instrumentalidades adscritas al Gobierno con las disposiciones de la Ley del Banco de Sangre del Centro Médico de Puerto Rico, Ley 98-2013</w:t>
      </w:r>
      <w:r w:rsidRPr="00DF3AAB">
        <w:rPr>
          <w:rFonts w:ascii="Book Antiqua" w:eastAsia="Times New Roman" w:hAnsi="Book Antiqua" w:cs="AngsanaUPC"/>
          <w:color w:val="0D0D0D"/>
          <w:sz w:val="24"/>
          <w:szCs w:val="24"/>
          <w:lang w:val="es-ES_tradnl"/>
        </w:rPr>
        <w:t>; y para otros fines relacionados.</w:t>
      </w:r>
    </w:p>
    <w:bookmarkEnd w:id="1"/>
    <w:bookmarkEnd w:id="2"/>
    <w:bookmarkEnd w:id="5"/>
    <w:p w14:paraId="1F3D7ED1" w14:textId="77777777" w:rsidR="00C22BBE" w:rsidRPr="00DF3AAB" w:rsidRDefault="00C22BBE" w:rsidP="008304FF">
      <w:pPr>
        <w:spacing w:after="0" w:line="240" w:lineRule="auto"/>
        <w:rPr>
          <w:rFonts w:ascii="Book Antiqua" w:eastAsia="Times New Roman" w:hAnsi="Book Antiqua"/>
          <w:color w:val="0D0D0D"/>
          <w:sz w:val="24"/>
          <w:szCs w:val="24"/>
          <w:lang w:val="es-ES_tradnl"/>
        </w:rPr>
      </w:pPr>
    </w:p>
    <w:p w14:paraId="1536E913" w14:textId="77777777" w:rsidR="00C22BBE" w:rsidRPr="00DF3AAB" w:rsidRDefault="00C22BBE" w:rsidP="008304FF">
      <w:pPr>
        <w:spacing w:after="0" w:line="240" w:lineRule="auto"/>
        <w:jc w:val="center"/>
        <w:rPr>
          <w:rFonts w:ascii="Book Antiqua" w:eastAsia="Times New Roman" w:hAnsi="Book Antiqua"/>
          <w:color w:val="0D0D0D"/>
          <w:sz w:val="24"/>
          <w:szCs w:val="24"/>
          <w:lang w:val="es-ES_tradnl"/>
        </w:rPr>
      </w:pPr>
      <w:r w:rsidRPr="00DF3AAB">
        <w:rPr>
          <w:rFonts w:ascii="Book Antiqua" w:eastAsia="Times New Roman" w:hAnsi="Book Antiqua"/>
          <w:color w:val="0D0D0D"/>
          <w:sz w:val="24"/>
          <w:szCs w:val="24"/>
          <w:lang w:val="es-ES_tradnl"/>
        </w:rPr>
        <w:t>EXPOSICIÓN DE MOTIVOS</w:t>
      </w:r>
    </w:p>
    <w:p w14:paraId="76984CE0" w14:textId="77777777" w:rsidR="00C22BBE" w:rsidRPr="00DF3AAB" w:rsidRDefault="00C22BBE" w:rsidP="008304FF">
      <w:pPr>
        <w:spacing w:after="0" w:line="240" w:lineRule="auto"/>
        <w:jc w:val="center"/>
        <w:rPr>
          <w:rFonts w:ascii="Book Antiqua" w:eastAsia="Times New Roman" w:hAnsi="Book Antiqua"/>
          <w:color w:val="0D0D0D"/>
          <w:sz w:val="24"/>
          <w:szCs w:val="24"/>
          <w:lang w:val="es-ES_tradnl"/>
        </w:rPr>
      </w:pPr>
    </w:p>
    <w:p w14:paraId="1D7F226C" w14:textId="77777777"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El Centro Médico es el centro hospitalario más grande e importante de Puerto Rico y del Caribe. Es allí donde llegan las personas que han sido víctimas de incidentes de violencia, así como aquellos que han sufrido cualquier tipo de accidente, no sólo en Puerto Rico, sino también en las islas caribeñas. El Centro Médico recibe también cientos de pacientes con diagnósticos de cáncer, cuyas vidas, muchas veces, dependen de la transfusión constante de sangre y otros componentes.</w:t>
      </w:r>
    </w:p>
    <w:p w14:paraId="567FE798" w14:textId="77777777" w:rsidR="008304FF" w:rsidRPr="00DF3AAB"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315848A0" w14:textId="5D0BCBD3"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Entre los hospitales que reciben sangre y plaquetas y </w:t>
      </w:r>
      <w:r w:rsidRPr="00DF3AAB">
        <w:rPr>
          <w:rFonts w:ascii="Book Antiqua" w:eastAsia="Times New Roman" w:hAnsi="Book Antiqua" w:cs="AngsanaUPC"/>
          <w:color w:val="0D0D0D"/>
          <w:sz w:val="24"/>
          <w:szCs w:val="24"/>
          <w:lang w:val="es-ES"/>
        </w:rPr>
        <w:lastRenderedPageBreak/>
        <w:t xml:space="preserve">otros componentes del Banco de Sangre de Centro Médico se encuentran el Hospital Pediátrico, el Hospital Industrial, el Hospital de </w:t>
      </w:r>
      <w:r w:rsidR="00DA69A1" w:rsidRPr="00DF3AAB">
        <w:rPr>
          <w:rFonts w:ascii="Book Antiqua" w:eastAsia="Times New Roman" w:hAnsi="Book Antiqua" w:cs="AngsanaUPC"/>
          <w:color w:val="0D0D0D"/>
          <w:sz w:val="24"/>
          <w:szCs w:val="24"/>
          <w:lang w:val="es-ES"/>
        </w:rPr>
        <w:t>Trauma</w:t>
      </w:r>
      <w:r w:rsidRPr="00DF3AAB">
        <w:rPr>
          <w:rFonts w:ascii="Book Antiqua" w:eastAsia="Times New Roman" w:hAnsi="Book Antiqua" w:cs="AngsanaUPC"/>
          <w:color w:val="0D0D0D"/>
          <w:sz w:val="24"/>
          <w:szCs w:val="24"/>
          <w:lang w:val="es-ES"/>
        </w:rPr>
        <w:t>, el Hospital Municipal de San Juan, el Hospital Universitario de Adultos y la Sala de Emergencias de Centro Médico. Éste último, particularmente, tiene una necesidad constante de sangre, plaquetas y otros componentes</w:t>
      </w:r>
      <w:r w:rsidR="00A45CB2" w:rsidRPr="00DF3AAB">
        <w:rPr>
          <w:rFonts w:ascii="Book Antiqua" w:eastAsia="Times New Roman" w:hAnsi="Book Antiqua" w:cs="AngsanaUPC"/>
          <w:color w:val="0D0D0D"/>
          <w:sz w:val="24"/>
          <w:szCs w:val="24"/>
          <w:lang w:val="es-ES"/>
        </w:rPr>
        <w:t>,</w:t>
      </w:r>
      <w:r w:rsidRPr="00DF3AAB">
        <w:rPr>
          <w:rFonts w:ascii="Book Antiqua" w:eastAsia="Times New Roman" w:hAnsi="Book Antiqua" w:cs="AngsanaUPC"/>
          <w:color w:val="0D0D0D"/>
          <w:sz w:val="24"/>
          <w:szCs w:val="24"/>
          <w:lang w:val="es-ES"/>
        </w:rPr>
        <w:t xml:space="preserve"> pues atiende un gran número de pacientes que llegan en condiciones críticas. El Hospital de Trauma que ubica en el Centro Médico es el único en Puerto Rico con la capacidad y el equipo para atender durante periodos de 24 horas al día, 7 días a la semana, a aquellos pacientes con múltiples traumas corporales. </w:t>
      </w:r>
    </w:p>
    <w:p w14:paraId="75E8BE90" w14:textId="77777777" w:rsidR="008304FF" w:rsidRPr="00DF3AAB"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22E6EF3A" w14:textId="77777777"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 xml:space="preserve">Mediante la Ley 207- 2011 se le brindó reconocimiento legal al Banco de Sangre del Centro Médico de Puerto Rico. Dicha legislación sirvió como base para establecer los parámetros adecuados y la cooperación de las distintas dependencias del Gobierno, en aras de alcanzar niveles óptimos en los abastos del Banco de Sangre para cubrir las necesidades de los miles de pacientes que reciben servicios en el Centro Médico de Puerto Rico.  </w:t>
      </w:r>
    </w:p>
    <w:p w14:paraId="1B2ECBDD" w14:textId="77777777" w:rsidR="008304FF" w:rsidRPr="00DF3AAB"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10745A64" w14:textId="77777777"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Posteriormente, mediante la aprobación de la Ley del Banco de Sangre del Centro Médico de Puerto Rico, Ley 98-2013, se reconoció, como función principal del Banco de Sangre, suplir de abastos de sangre al Centro Médico de Puerto Rico.  Véase Artículo 4 de la Ley 98-2013.  Para lograr esta encomienda, se le otorgó preferencia al Banco de Sangre del Centro Médico en toda actividad de donación de sangre que realicen las agencias o entidades del Gobierno, incluyendo a las corporaciones públicas y a los municipios.  Específicamente, el Artículo 5 de la Ley 98-2013 establece:</w:t>
      </w:r>
    </w:p>
    <w:p w14:paraId="23E6B2AE" w14:textId="77777777" w:rsidR="008304FF" w:rsidRPr="00DF3AAB"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ABC6B65" w14:textId="2397D28B" w:rsidR="00324A2A" w:rsidRPr="00DF3AAB" w:rsidRDefault="00324A2A" w:rsidP="008304FF">
      <w:pPr>
        <w:spacing w:after="0" w:line="240" w:lineRule="auto"/>
        <w:ind w:left="720" w:right="720"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 xml:space="preserve"> </w:t>
      </w:r>
      <w:r w:rsidR="0092477E" w:rsidRPr="00DF3AAB">
        <w:rPr>
          <w:rFonts w:ascii="Book Antiqua" w:eastAsia="Times New Roman" w:hAnsi="Book Antiqua" w:cs="AngsanaUPC"/>
          <w:color w:val="0D0D0D"/>
          <w:sz w:val="24"/>
          <w:szCs w:val="24"/>
          <w:lang w:val="es-ES"/>
        </w:rPr>
        <w:t>“</w:t>
      </w:r>
      <w:r w:rsidRPr="00DF3AAB">
        <w:rPr>
          <w:rFonts w:ascii="Book Antiqua" w:eastAsia="Times New Roman" w:hAnsi="Book Antiqua" w:cs="AngsanaUPC"/>
          <w:color w:val="0D0D0D"/>
          <w:sz w:val="24"/>
          <w:szCs w:val="24"/>
          <w:lang w:val="es-ES"/>
        </w:rPr>
        <w:t>Artículo 5.-Se dispone que todas las agencias, municipios, corporaciones públicas e instrumentalidades del Gobierno del Estado Libre Asociado de Puerto Rico deberán realizar una (1) actividad de donación de sangre y plaquetas, al menos, dos (2) veces al año. Disponiéndose que como mínimo, una (1) de dichas actividades de donación será exclusivamente para el “Banco de Sangre del Centro Médico de Puerto Rico”. Nada de lo dispuesto en esta Ley impedirá el que las agencias, municipios, corporaciones públicas e instrumentalidades adscritas al Gobierno del Estado Libre Asociado de Puerto Rico puedan participar y realizar campañas de donación de sangre a favor de otras entidades.</w:t>
      </w:r>
      <w:r w:rsidR="00ED09F4" w:rsidRPr="00DF3AAB">
        <w:rPr>
          <w:rFonts w:ascii="Book Antiqua" w:eastAsia="Times New Roman" w:hAnsi="Book Antiqua" w:cs="AngsanaUPC"/>
          <w:color w:val="0D0D0D"/>
          <w:sz w:val="24"/>
          <w:szCs w:val="24"/>
          <w:lang w:val="es-ES"/>
        </w:rPr>
        <w:t>”</w:t>
      </w:r>
    </w:p>
    <w:p w14:paraId="4C22E606" w14:textId="77777777" w:rsidR="008304FF" w:rsidRPr="00DF3AAB" w:rsidRDefault="008304FF" w:rsidP="008304FF">
      <w:pPr>
        <w:spacing w:after="0" w:line="240" w:lineRule="auto"/>
        <w:ind w:left="720" w:right="720" w:firstLine="720"/>
        <w:jc w:val="both"/>
        <w:rPr>
          <w:rFonts w:ascii="Book Antiqua" w:eastAsia="Times New Roman" w:hAnsi="Book Antiqua" w:cs="AngsanaUPC"/>
          <w:color w:val="0D0D0D"/>
          <w:sz w:val="24"/>
          <w:szCs w:val="24"/>
          <w:lang w:val="es-ES"/>
        </w:rPr>
      </w:pPr>
    </w:p>
    <w:p w14:paraId="0970DCF5" w14:textId="77777777"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t xml:space="preserve">Cabe enfatizar que, 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De igual manera, se reconoce que los abastos de sangre se encuentran en niveles críticos.  Los suministros actuales están por debajo de los parámetros requeridos para mantener el servicio ininterrumpido a las instituciones hospitalarias.  </w:t>
      </w:r>
    </w:p>
    <w:p w14:paraId="22284E55" w14:textId="77777777" w:rsidR="00324A2A" w:rsidRPr="00DF3AAB" w:rsidRDefault="00324A2A" w:rsidP="008304FF">
      <w:pPr>
        <w:spacing w:after="0" w:line="240" w:lineRule="auto"/>
        <w:ind w:firstLine="720"/>
        <w:jc w:val="both"/>
        <w:rPr>
          <w:rFonts w:ascii="Book Antiqua" w:eastAsia="Times New Roman" w:hAnsi="Book Antiqua" w:cs="AngsanaUPC"/>
          <w:color w:val="0D0D0D"/>
          <w:sz w:val="24"/>
          <w:szCs w:val="24"/>
          <w:lang w:val="es-ES"/>
        </w:rPr>
      </w:pPr>
      <w:r w:rsidRPr="00DF3AAB">
        <w:rPr>
          <w:rFonts w:ascii="Book Antiqua" w:eastAsia="Times New Roman" w:hAnsi="Book Antiqua" w:cs="AngsanaUPC"/>
          <w:color w:val="0D0D0D"/>
          <w:sz w:val="24"/>
          <w:szCs w:val="24"/>
          <w:lang w:val="es-ES"/>
        </w:rPr>
        <w:lastRenderedPageBreak/>
        <w:t xml:space="preserve">Corresponde a esta Cámara de Representantes realizar una investigación abarcadora sobre el cumplimiento por parte de las agencias, municipios, corporaciones públicas e instrumentalidades adscritas al Gobierno con las disposiciones de la Ley del Banco de Sangre del Centro Médico de Puerto Rico, Ley 98-2013. </w:t>
      </w:r>
    </w:p>
    <w:p w14:paraId="541CD1A8" w14:textId="77777777" w:rsidR="008304FF" w:rsidRPr="00DF3AAB" w:rsidRDefault="008304FF" w:rsidP="008304FF">
      <w:pPr>
        <w:spacing w:after="0" w:line="240" w:lineRule="auto"/>
        <w:ind w:firstLine="720"/>
        <w:jc w:val="both"/>
        <w:rPr>
          <w:rFonts w:ascii="Book Antiqua" w:eastAsia="Times New Roman" w:hAnsi="Book Antiqua" w:cs="AngsanaUPC"/>
          <w:color w:val="0D0D0D"/>
          <w:sz w:val="24"/>
          <w:szCs w:val="24"/>
          <w:lang w:val="es-ES"/>
        </w:rPr>
      </w:pPr>
    </w:p>
    <w:p w14:paraId="5653BDE7" w14:textId="616C9481" w:rsidR="00C22BBE" w:rsidRPr="00DF3AAB" w:rsidRDefault="00324A2A" w:rsidP="008304FF">
      <w:pPr>
        <w:spacing w:after="0" w:line="240" w:lineRule="auto"/>
        <w:ind w:firstLine="720"/>
        <w:jc w:val="both"/>
        <w:rPr>
          <w:rFonts w:ascii="Book Antiqua" w:eastAsia="Times New Roman" w:hAnsi="Book Antiqua"/>
          <w:color w:val="0D0D0D"/>
          <w:sz w:val="24"/>
          <w:szCs w:val="24"/>
          <w:lang w:val="es-ES_tradnl"/>
        </w:rPr>
      </w:pPr>
      <w:r w:rsidRPr="00DF3AAB">
        <w:rPr>
          <w:rFonts w:ascii="Book Antiqua" w:eastAsia="Times New Roman" w:hAnsi="Book Antiqua" w:cs="AngsanaUPC"/>
          <w:color w:val="0D0D0D"/>
          <w:sz w:val="24"/>
          <w:szCs w:val="24"/>
          <w:lang w:val="es-ES"/>
        </w:rPr>
        <w:t xml:space="preserve">Fomentar la donación de sangre regularmente es una forma simple y efectiva de contribuir a salvar vidas y marcar una diferencia significativa en la Comunidad.  </w:t>
      </w:r>
      <w:r w:rsidR="00B246E2" w:rsidRPr="00DF3AAB">
        <w:rPr>
          <w:rFonts w:ascii="Book Antiqua" w:eastAsia="Times New Roman" w:hAnsi="Book Antiqua" w:cs="AngsanaUPC"/>
          <w:color w:val="0D0D0D"/>
          <w:sz w:val="24"/>
          <w:szCs w:val="24"/>
          <w:lang w:val="es-ES"/>
        </w:rPr>
        <w:t>La Cámara de Representantes</w:t>
      </w:r>
      <w:r w:rsidR="0064111D" w:rsidRPr="00DF3AAB">
        <w:rPr>
          <w:rFonts w:ascii="Book Antiqua" w:eastAsia="Times New Roman" w:hAnsi="Book Antiqua" w:cs="AngsanaUPC"/>
          <w:color w:val="0D0D0D"/>
          <w:sz w:val="24"/>
          <w:szCs w:val="24"/>
          <w:lang w:val="es-ES"/>
        </w:rPr>
        <w:t xml:space="preserve"> de Puerto Rico, mediante esta investigación,</w:t>
      </w:r>
      <w:r w:rsidR="00B246E2" w:rsidRPr="00DF3AAB">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8304FF">
      <w:pPr>
        <w:spacing w:after="0" w:line="240" w:lineRule="auto"/>
        <w:jc w:val="both"/>
        <w:rPr>
          <w:rFonts w:ascii="Book Antiqua" w:eastAsia="Times New Roman" w:hAnsi="Book Antiqua"/>
          <w:i/>
          <w:iCs/>
          <w:sz w:val="24"/>
          <w:szCs w:val="24"/>
          <w:lang w:val="es-ES_tradnl"/>
        </w:rPr>
      </w:pPr>
    </w:p>
    <w:p w14:paraId="672D5453" w14:textId="0C5839E3" w:rsidR="003E7820" w:rsidRPr="00683111" w:rsidRDefault="003E7820" w:rsidP="00DF3AAB">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DF3AAB">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pgSz w:w="12240" w:h="15840" w:code="1"/>
          <w:pgMar w:top="1440" w:right="1440" w:bottom="1440" w:left="1440" w:header="720" w:footer="720" w:gutter="0"/>
          <w:cols w:space="720"/>
          <w:titlePg/>
          <w:docGrid w:linePitch="360"/>
        </w:sectPr>
      </w:pPr>
    </w:p>
    <w:p w14:paraId="2E10195E" w14:textId="7BB3F9CC" w:rsidR="00C22BBE" w:rsidRPr="00DF3AAB" w:rsidRDefault="00C22BBE" w:rsidP="00DF3AAB">
      <w:pPr>
        <w:widowControl w:val="0"/>
        <w:spacing w:after="0" w:line="480" w:lineRule="auto"/>
        <w:ind w:firstLine="720"/>
        <w:jc w:val="both"/>
        <w:rPr>
          <w:rFonts w:ascii="Book Antiqua" w:eastAsia="MS Mincho" w:hAnsi="Book Antiqua"/>
          <w:sz w:val="24"/>
          <w:szCs w:val="24"/>
          <w:lang w:val="es-PR"/>
        </w:rPr>
      </w:pPr>
      <w:r w:rsidRPr="00DF3AAB">
        <w:rPr>
          <w:rFonts w:ascii="Book Antiqua" w:eastAsia="MS Mincho" w:hAnsi="Book Antiqua"/>
          <w:sz w:val="24"/>
          <w:szCs w:val="24"/>
          <w:lang w:val="es-PR"/>
        </w:rPr>
        <w:t xml:space="preserve">Sección 1.-Se ordena a la Comisión de Salud </w:t>
      </w:r>
      <w:r w:rsidR="0097684F" w:rsidRPr="00DF3AAB">
        <w:rPr>
          <w:rFonts w:ascii="Book Antiqua" w:eastAsia="MS Mincho" w:hAnsi="Book Antiqua"/>
          <w:sz w:val="24"/>
          <w:szCs w:val="24"/>
          <w:lang w:val="es-PR"/>
        </w:rPr>
        <w:t xml:space="preserve">de </w:t>
      </w:r>
      <w:r w:rsidRPr="00DF3AAB">
        <w:rPr>
          <w:rFonts w:ascii="Book Antiqua" w:eastAsia="MS Mincho" w:hAnsi="Book Antiqua"/>
          <w:sz w:val="24"/>
          <w:szCs w:val="24"/>
          <w:lang w:val="es-PR"/>
        </w:rPr>
        <w:t xml:space="preserve">la Cámara de Representantes de Puerto Rico, </w:t>
      </w:r>
      <w:r w:rsidR="00F5010D" w:rsidRPr="00DF3AAB">
        <w:rPr>
          <w:rFonts w:ascii="Book Antiqua" w:eastAsia="MS Mincho" w:hAnsi="Book Antiqua"/>
          <w:sz w:val="24"/>
          <w:szCs w:val="24"/>
          <w:lang w:val="es-PR"/>
        </w:rPr>
        <w:t xml:space="preserve">realizar una investigación en torno al </w:t>
      </w:r>
      <w:r w:rsidR="00B349BC" w:rsidRPr="00DF3AAB">
        <w:rPr>
          <w:rFonts w:ascii="Book Antiqua" w:eastAsia="MS Mincho" w:hAnsi="Book Antiqua"/>
          <w:sz w:val="24"/>
          <w:szCs w:val="24"/>
          <w:lang w:val="es-PR"/>
        </w:rPr>
        <w:t xml:space="preserve">cumplimiento por parte de las agencias, municipios, corporaciones públicas e instrumentalidades adscritas al Gobierno con las disposiciones de la Ley del Banco de Sangre del Centro Médico de Puerto Rico, Ley 98-2013. </w:t>
      </w:r>
      <w:r w:rsidR="002D44E9" w:rsidRPr="00DF3AAB">
        <w:rPr>
          <w:rFonts w:ascii="Book Antiqua" w:eastAsia="MS Mincho" w:hAnsi="Book Antiqua"/>
          <w:sz w:val="24"/>
          <w:szCs w:val="24"/>
          <w:lang w:val="es-PR"/>
        </w:rPr>
        <w:t xml:space="preserve">  </w:t>
      </w:r>
    </w:p>
    <w:p w14:paraId="3AAA06C9" w14:textId="365B2E00" w:rsidR="00C22BBE" w:rsidRPr="00DF3AAB" w:rsidRDefault="00C22BBE" w:rsidP="00DF3AAB">
      <w:pPr>
        <w:widowControl w:val="0"/>
        <w:spacing w:after="0" w:line="480" w:lineRule="auto"/>
        <w:ind w:firstLine="720"/>
        <w:jc w:val="both"/>
        <w:rPr>
          <w:rFonts w:ascii="Book Antiqua" w:eastAsia="MS Mincho" w:hAnsi="Book Antiqua"/>
          <w:sz w:val="24"/>
          <w:szCs w:val="24"/>
          <w:lang w:val="es-PR"/>
        </w:rPr>
      </w:pPr>
      <w:r w:rsidRPr="00DF3AAB">
        <w:rPr>
          <w:rFonts w:ascii="Book Antiqua" w:eastAsia="MS Mincho" w:hAnsi="Book Antiqua"/>
          <w:sz w:val="24"/>
          <w:szCs w:val="24"/>
          <w:lang w:val="es-PR"/>
        </w:rPr>
        <w:t xml:space="preserve">Sección 2.-La Comisión rendirá un Informe con sus hallazgos, conclusiones y recomendaciones, </w:t>
      </w:r>
      <w:r w:rsidR="009F54BF" w:rsidRPr="00DF3AAB">
        <w:rPr>
          <w:rFonts w:ascii="Book Antiqua" w:eastAsia="MS Mincho" w:hAnsi="Book Antiqua"/>
          <w:sz w:val="24"/>
          <w:szCs w:val="24"/>
          <w:lang w:val="es-PR"/>
        </w:rPr>
        <w:t xml:space="preserve">dentro del término de ciento ochenta (180) días, contados a partir de la aprobación de esta </w:t>
      </w:r>
      <w:r w:rsidR="00404A06" w:rsidRPr="00DF3AAB">
        <w:rPr>
          <w:rFonts w:ascii="Book Antiqua" w:eastAsia="MS Mincho" w:hAnsi="Book Antiqua"/>
          <w:sz w:val="24"/>
          <w:szCs w:val="24"/>
          <w:lang w:val="es-PR"/>
        </w:rPr>
        <w:t>Resolución</w:t>
      </w:r>
      <w:r w:rsidRPr="00DF3AAB">
        <w:rPr>
          <w:rFonts w:ascii="Book Antiqua" w:eastAsia="MS Mincho" w:hAnsi="Book Antiqua"/>
          <w:sz w:val="24"/>
          <w:szCs w:val="24"/>
          <w:lang w:val="es-PR"/>
        </w:rPr>
        <w:t>.</w:t>
      </w:r>
    </w:p>
    <w:p w14:paraId="714746C8" w14:textId="27D32C7B" w:rsidR="00D056D7" w:rsidRPr="00DF3AAB" w:rsidRDefault="00C22BBE" w:rsidP="00DF3AAB">
      <w:pPr>
        <w:widowControl w:val="0"/>
        <w:spacing w:after="0" w:line="480" w:lineRule="auto"/>
        <w:ind w:firstLine="720"/>
        <w:jc w:val="both"/>
        <w:rPr>
          <w:rFonts w:ascii="Book Antiqua" w:eastAsia="MS Mincho" w:hAnsi="Book Antiqua"/>
          <w:sz w:val="24"/>
          <w:szCs w:val="24"/>
          <w:lang w:val="es-ES_tradnl"/>
        </w:rPr>
      </w:pPr>
      <w:r w:rsidRPr="00DF3AAB">
        <w:rPr>
          <w:rFonts w:ascii="Book Antiqua" w:eastAsia="MS Mincho" w:hAnsi="Book Antiqua"/>
          <w:sz w:val="24"/>
          <w:szCs w:val="24"/>
          <w:lang w:val="es-PR"/>
        </w:rPr>
        <w:t>Sección 3.-Esta Resolución comenzará a regir inmediatamente después de su aprobación.</w:t>
      </w:r>
    </w:p>
    <w:sectPr w:rsidR="00D056D7" w:rsidRPr="00DF3AAB" w:rsidSect="003E7820">
      <w:headerReference w:type="even" r:id="rId11"/>
      <w:headerReference w:type="default" r:id="rId12"/>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0BFC6" w14:textId="77777777" w:rsidR="00754153" w:rsidRDefault="00754153">
      <w:pPr>
        <w:spacing w:after="0" w:line="240" w:lineRule="auto"/>
      </w:pPr>
      <w:r>
        <w:separator/>
      </w:r>
    </w:p>
  </w:endnote>
  <w:endnote w:type="continuationSeparator" w:id="0">
    <w:p w14:paraId="07CDB83E" w14:textId="77777777" w:rsidR="00754153" w:rsidRDefault="00754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56908" w14:textId="77777777" w:rsidR="00754153" w:rsidRDefault="00754153">
      <w:pPr>
        <w:spacing w:after="0" w:line="240" w:lineRule="auto"/>
      </w:pPr>
      <w:r>
        <w:separator/>
      </w:r>
    </w:p>
  </w:footnote>
  <w:footnote w:type="continuationSeparator" w:id="0">
    <w:p w14:paraId="5FA11BDC" w14:textId="77777777" w:rsidR="00754153" w:rsidRDefault="00754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44E58"/>
    <w:rsid w:val="00066438"/>
    <w:rsid w:val="0010413C"/>
    <w:rsid w:val="00140BBA"/>
    <w:rsid w:val="00247D30"/>
    <w:rsid w:val="002D44E9"/>
    <w:rsid w:val="003164CA"/>
    <w:rsid w:val="00324A2A"/>
    <w:rsid w:val="003612D4"/>
    <w:rsid w:val="003C1366"/>
    <w:rsid w:val="003C65C8"/>
    <w:rsid w:val="003D68CC"/>
    <w:rsid w:val="003E7820"/>
    <w:rsid w:val="00404A06"/>
    <w:rsid w:val="00431397"/>
    <w:rsid w:val="004349A5"/>
    <w:rsid w:val="00466652"/>
    <w:rsid w:val="0049745A"/>
    <w:rsid w:val="004C7202"/>
    <w:rsid w:val="00521E8B"/>
    <w:rsid w:val="005253C3"/>
    <w:rsid w:val="0054505E"/>
    <w:rsid w:val="0055262D"/>
    <w:rsid w:val="00580ABA"/>
    <w:rsid w:val="00592027"/>
    <w:rsid w:val="005B08CE"/>
    <w:rsid w:val="005F2507"/>
    <w:rsid w:val="00612BCE"/>
    <w:rsid w:val="0064111D"/>
    <w:rsid w:val="00654081"/>
    <w:rsid w:val="00654548"/>
    <w:rsid w:val="006A2B94"/>
    <w:rsid w:val="006C05FD"/>
    <w:rsid w:val="006D7F2B"/>
    <w:rsid w:val="00721FBC"/>
    <w:rsid w:val="00752FAF"/>
    <w:rsid w:val="00754153"/>
    <w:rsid w:val="0075695E"/>
    <w:rsid w:val="00774512"/>
    <w:rsid w:val="007C6FED"/>
    <w:rsid w:val="007F537A"/>
    <w:rsid w:val="00800CEE"/>
    <w:rsid w:val="008304FF"/>
    <w:rsid w:val="00907DEC"/>
    <w:rsid w:val="0092477E"/>
    <w:rsid w:val="00926C6A"/>
    <w:rsid w:val="00947BB9"/>
    <w:rsid w:val="0097684F"/>
    <w:rsid w:val="00995861"/>
    <w:rsid w:val="009D768D"/>
    <w:rsid w:val="009F447A"/>
    <w:rsid w:val="009F54BF"/>
    <w:rsid w:val="00A27D28"/>
    <w:rsid w:val="00A45CB2"/>
    <w:rsid w:val="00A47AFF"/>
    <w:rsid w:val="00A6433F"/>
    <w:rsid w:val="00A64923"/>
    <w:rsid w:val="00AA36FD"/>
    <w:rsid w:val="00AC1DBC"/>
    <w:rsid w:val="00B246E2"/>
    <w:rsid w:val="00B25EEC"/>
    <w:rsid w:val="00B30458"/>
    <w:rsid w:val="00B349BC"/>
    <w:rsid w:val="00B57849"/>
    <w:rsid w:val="00B620F4"/>
    <w:rsid w:val="00B96B8F"/>
    <w:rsid w:val="00BB28E4"/>
    <w:rsid w:val="00BC5CCF"/>
    <w:rsid w:val="00BE0CF7"/>
    <w:rsid w:val="00BE347E"/>
    <w:rsid w:val="00C22BBE"/>
    <w:rsid w:val="00C46478"/>
    <w:rsid w:val="00C6401A"/>
    <w:rsid w:val="00C67D94"/>
    <w:rsid w:val="00C912E5"/>
    <w:rsid w:val="00CD0F91"/>
    <w:rsid w:val="00CD6646"/>
    <w:rsid w:val="00D056D7"/>
    <w:rsid w:val="00D41374"/>
    <w:rsid w:val="00D52354"/>
    <w:rsid w:val="00D76276"/>
    <w:rsid w:val="00D85230"/>
    <w:rsid w:val="00DA4FF8"/>
    <w:rsid w:val="00DA69A1"/>
    <w:rsid w:val="00DC0980"/>
    <w:rsid w:val="00DC6AF1"/>
    <w:rsid w:val="00DF1EE2"/>
    <w:rsid w:val="00DF3963"/>
    <w:rsid w:val="00DF3AAB"/>
    <w:rsid w:val="00E029BD"/>
    <w:rsid w:val="00E21FE6"/>
    <w:rsid w:val="00E4126E"/>
    <w:rsid w:val="00E43A92"/>
    <w:rsid w:val="00E60313"/>
    <w:rsid w:val="00EC61EE"/>
    <w:rsid w:val="00ED09F4"/>
    <w:rsid w:val="00F23242"/>
    <w:rsid w:val="00F365F8"/>
    <w:rsid w:val="00F5010D"/>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AD1D2F-092B-4EEE-BB3A-86FA04B85966}">
  <ds:schemaRefs>
    <ds:schemaRef ds:uri="http://schemas.microsoft.com/sharepoint/v3/contenttype/forms"/>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948</Words>
  <Characters>5408</Characters>
  <Application>Microsoft Office Word</Application>
  <DocSecurity>0</DocSecurity>
  <Lines>45</Lines>
  <Paragraphs>12</Paragraphs>
  <ScaleCrop>false</ScaleCrop>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Victor E. Vélez Cucuta</cp:lastModifiedBy>
  <cp:revision>2</cp:revision>
  <cp:lastPrinted>2025-09-22T13:41:00Z</cp:lastPrinted>
  <dcterms:created xsi:type="dcterms:W3CDTF">2025-09-22T13:42:00Z</dcterms:created>
  <dcterms:modified xsi:type="dcterms:W3CDTF">2025-09-22T13:42:00Z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