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D2B5DC" w14:textId="473D2560" w:rsidR="00C22BBE" w:rsidRPr="00C22BBE" w:rsidRDefault="00D41374" w:rsidP="00C22BBE">
      <w:pPr>
        <w:spacing w:after="0" w:line="240" w:lineRule="auto"/>
        <w:jc w:val="center"/>
        <w:rPr>
          <w:rFonts w:ascii="Book Antiqua" w:eastAsia="SimSun" w:hAnsi="Book Antiqua" w:cs="Arial"/>
          <w:b/>
          <w:bCs/>
          <w:sz w:val="24"/>
          <w:szCs w:val="24"/>
          <w:lang w:val="es-ES_tradnl"/>
        </w:rPr>
      </w:pPr>
      <w:r>
        <w:rPr>
          <w:rFonts w:ascii="Book Antiqua" w:eastAsia="Times New Roman" w:hAnsi="Book Antiqua"/>
          <w:sz w:val="28"/>
          <w:szCs w:val="28"/>
          <w:lang w:val="es-ES_tradnl"/>
        </w:rPr>
        <w:t>GOBIERNO</w:t>
      </w:r>
      <w:r w:rsidR="00C22BBE" w:rsidRPr="00C22BBE">
        <w:rPr>
          <w:rFonts w:ascii="Book Antiqua" w:eastAsia="Times New Roman" w:hAnsi="Book Antiqua"/>
          <w:sz w:val="28"/>
          <w:szCs w:val="28"/>
          <w:lang w:val="es-ES_tradnl"/>
        </w:rPr>
        <w:t xml:space="preserve"> DE PUERTO RICO</w:t>
      </w:r>
    </w:p>
    <w:p w14:paraId="7397735D" w14:textId="77777777" w:rsidR="00C22BBE" w:rsidRPr="00612BCE" w:rsidRDefault="00C22BBE" w:rsidP="00C22BBE">
      <w:pPr>
        <w:spacing w:after="0" w:line="240" w:lineRule="auto"/>
        <w:jc w:val="center"/>
        <w:rPr>
          <w:rFonts w:ascii="Book Antiqua" w:eastAsia="Times New Roman" w:hAnsi="Book Antiqua"/>
          <w:color w:val="0D0D0D"/>
          <w:sz w:val="24"/>
          <w:szCs w:val="24"/>
          <w:lang w:val="es-ES_tradnl"/>
        </w:rPr>
      </w:pPr>
    </w:p>
    <w:p w14:paraId="1431AAB4" w14:textId="1BD7695F" w:rsidR="00C22BBE" w:rsidRPr="00C22BBE" w:rsidRDefault="00C22BBE" w:rsidP="00C22BBE">
      <w:pPr>
        <w:spacing w:after="0" w:line="240" w:lineRule="auto"/>
        <w:rPr>
          <w:rFonts w:ascii="Book Antiqua" w:eastAsia="Times New Roman" w:hAnsi="Book Antiqua"/>
          <w:color w:val="0D0D0D"/>
          <w:sz w:val="24"/>
          <w:szCs w:val="24"/>
          <w:lang w:val="es-ES_tradnl"/>
        </w:rPr>
      </w:pPr>
      <w:r w:rsidRPr="00C22BBE">
        <w:rPr>
          <w:rFonts w:ascii="Book Antiqua" w:eastAsia="Times New Roman" w:hAnsi="Book Antiqua"/>
          <w:color w:val="0D0D0D"/>
          <w:sz w:val="24"/>
          <w:szCs w:val="24"/>
          <w:lang w:val="es-ES_tradnl"/>
        </w:rPr>
        <w:t>20</w:t>
      </w:r>
      <w:r w:rsidRPr="00DF1EE2">
        <w:rPr>
          <w:rFonts w:ascii="Book Antiqua" w:eastAsia="Times New Roman" w:hAnsi="Book Antiqua"/>
          <w:color w:val="0D0D0D"/>
          <w:sz w:val="24"/>
          <w:szCs w:val="24"/>
          <w:vertAlign w:val="superscript"/>
          <w:lang w:val="es-ES_tradnl"/>
        </w:rPr>
        <w:t>ma.</w:t>
      </w:r>
      <w:r w:rsidRPr="00C22BBE">
        <w:rPr>
          <w:rFonts w:ascii="Book Antiqua" w:eastAsia="Times New Roman" w:hAnsi="Book Antiqua"/>
          <w:color w:val="0D0D0D"/>
          <w:sz w:val="24"/>
          <w:szCs w:val="24"/>
          <w:lang w:val="es-ES_tradnl"/>
        </w:rPr>
        <w:t xml:space="preserve"> Asamblea                                                                                                      </w:t>
      </w:r>
      <w:r w:rsidR="00DF1EE2">
        <w:rPr>
          <w:rFonts w:ascii="Book Antiqua" w:eastAsia="Times New Roman" w:hAnsi="Book Antiqua"/>
          <w:color w:val="0D0D0D"/>
          <w:sz w:val="24"/>
          <w:szCs w:val="24"/>
          <w:lang w:val="es-ES_tradnl"/>
        </w:rPr>
        <w:t>2</w:t>
      </w:r>
      <w:r w:rsidR="00DF1EE2">
        <w:rPr>
          <w:rFonts w:ascii="Book Antiqua" w:eastAsia="Times New Roman" w:hAnsi="Book Antiqua"/>
          <w:color w:val="0D0D0D"/>
          <w:sz w:val="24"/>
          <w:szCs w:val="24"/>
          <w:vertAlign w:val="superscript"/>
          <w:lang w:val="es-ES_tradnl"/>
        </w:rPr>
        <w:t>d</w:t>
      </w:r>
      <w:r w:rsidRPr="00DF1EE2">
        <w:rPr>
          <w:rFonts w:ascii="Book Antiqua" w:eastAsia="Times New Roman" w:hAnsi="Book Antiqua"/>
          <w:color w:val="0D0D0D"/>
          <w:sz w:val="24"/>
          <w:szCs w:val="24"/>
          <w:vertAlign w:val="superscript"/>
          <w:lang w:val="es-ES_tradnl"/>
        </w:rPr>
        <w:t>a.</w:t>
      </w:r>
      <w:r w:rsidRPr="00C22BBE">
        <w:rPr>
          <w:rFonts w:ascii="Book Antiqua" w:eastAsia="Times New Roman" w:hAnsi="Book Antiqua"/>
          <w:color w:val="0D0D0D"/>
          <w:sz w:val="24"/>
          <w:szCs w:val="24"/>
          <w:lang w:val="es-ES_tradnl"/>
        </w:rPr>
        <w:t xml:space="preserve"> Sesión</w:t>
      </w:r>
    </w:p>
    <w:p w14:paraId="506E6EDE" w14:textId="77777777" w:rsidR="00C22BBE" w:rsidRPr="00C22BBE" w:rsidRDefault="00C22BBE" w:rsidP="00C22BBE">
      <w:pPr>
        <w:spacing w:after="0" w:line="240" w:lineRule="auto"/>
        <w:rPr>
          <w:rFonts w:ascii="Book Antiqua" w:eastAsia="Times New Roman" w:hAnsi="Book Antiqua"/>
          <w:color w:val="0D0D0D"/>
          <w:sz w:val="24"/>
          <w:szCs w:val="24"/>
          <w:lang w:val="es-ES_tradnl"/>
        </w:rPr>
      </w:pPr>
      <w:r w:rsidRPr="00C22BBE">
        <w:rPr>
          <w:rFonts w:ascii="Book Antiqua" w:eastAsia="Times New Roman" w:hAnsi="Book Antiqua"/>
          <w:color w:val="0D0D0D"/>
          <w:sz w:val="24"/>
          <w:szCs w:val="24"/>
          <w:lang w:val="es-ES_tradnl"/>
        </w:rPr>
        <w:t xml:space="preserve">           Legislativa                                                                                                  </w:t>
      </w:r>
      <w:r w:rsidRPr="00C22BBE">
        <w:rPr>
          <w:rFonts w:ascii="Book Antiqua" w:eastAsia="Times New Roman" w:hAnsi="Book Antiqua"/>
          <w:color w:val="0D0D0D"/>
          <w:sz w:val="24"/>
          <w:szCs w:val="24"/>
          <w:lang w:val="es-ES_tradnl"/>
        </w:rPr>
        <w:tab/>
        <w:t xml:space="preserve">      Ordinaria</w:t>
      </w:r>
    </w:p>
    <w:p w14:paraId="37A00C52" w14:textId="77777777" w:rsidR="00C22BBE" w:rsidRPr="00C22BBE" w:rsidRDefault="00C22BBE" w:rsidP="00C22BBE">
      <w:pPr>
        <w:spacing w:after="0" w:line="240" w:lineRule="auto"/>
        <w:rPr>
          <w:rFonts w:ascii="Book Antiqua" w:eastAsia="Times New Roman" w:hAnsi="Book Antiqua"/>
          <w:color w:val="0D0D0D"/>
          <w:sz w:val="24"/>
          <w:szCs w:val="24"/>
          <w:lang w:val="es-ES_tradnl"/>
        </w:rPr>
      </w:pPr>
    </w:p>
    <w:p w14:paraId="12057F2F" w14:textId="77777777" w:rsidR="00C22BBE" w:rsidRPr="00C22BBE" w:rsidRDefault="00C22BBE" w:rsidP="00C22BBE">
      <w:pPr>
        <w:keepNext/>
        <w:spacing w:after="0" w:line="240" w:lineRule="auto"/>
        <w:jc w:val="center"/>
        <w:outlineLvl w:val="0"/>
        <w:rPr>
          <w:rFonts w:ascii="Book Antiqua" w:eastAsia="Times New Roman" w:hAnsi="Book Antiqua"/>
          <w:b/>
          <w:bCs/>
          <w:iCs/>
          <w:color w:val="0D0D0D"/>
          <w:sz w:val="36"/>
          <w:szCs w:val="36"/>
          <w:lang w:val="es-ES_tradnl"/>
        </w:rPr>
      </w:pPr>
      <w:r w:rsidRPr="00C22BBE">
        <w:rPr>
          <w:rFonts w:ascii="Book Antiqua" w:eastAsia="Times New Roman" w:hAnsi="Book Antiqua"/>
          <w:b/>
          <w:bCs/>
          <w:iCs/>
          <w:color w:val="0D0D0D"/>
          <w:sz w:val="36"/>
          <w:szCs w:val="36"/>
          <w:lang w:val="es-ES_tradnl"/>
        </w:rPr>
        <w:t>CÁMARA DE REPRESENTANTES</w:t>
      </w:r>
    </w:p>
    <w:p w14:paraId="77ECD5EF" w14:textId="77777777" w:rsidR="00C22BBE" w:rsidRPr="00C22BBE" w:rsidRDefault="00C22BBE" w:rsidP="00C22BBE">
      <w:pPr>
        <w:spacing w:after="0" w:line="240" w:lineRule="auto"/>
        <w:jc w:val="center"/>
        <w:rPr>
          <w:rFonts w:ascii="Book Antiqua" w:eastAsia="Times New Roman" w:hAnsi="Book Antiqua"/>
          <w:color w:val="0D0D0D"/>
          <w:sz w:val="24"/>
          <w:szCs w:val="20"/>
          <w:lang w:val="es-ES_tradnl"/>
        </w:rPr>
      </w:pPr>
    </w:p>
    <w:p w14:paraId="53D823F0" w14:textId="23FA0712" w:rsidR="00C22BBE" w:rsidRPr="00C22BBE" w:rsidRDefault="00C22BBE" w:rsidP="00C22BBE">
      <w:pPr>
        <w:spacing w:after="0" w:line="240" w:lineRule="auto"/>
        <w:jc w:val="center"/>
        <w:rPr>
          <w:rFonts w:ascii="Book Antiqua" w:eastAsia="Times New Roman" w:hAnsi="Book Antiqua"/>
          <w:b/>
          <w:bCs/>
          <w:color w:val="0D0D0D"/>
          <w:sz w:val="52"/>
          <w:szCs w:val="52"/>
          <w:lang w:val="es-ES_tradnl"/>
        </w:rPr>
      </w:pPr>
      <w:r w:rsidRPr="00C22BBE">
        <w:rPr>
          <w:rFonts w:ascii="Book Antiqua" w:eastAsia="Times New Roman" w:hAnsi="Book Antiqua"/>
          <w:b/>
          <w:bCs/>
          <w:color w:val="0D0D0D"/>
          <w:sz w:val="52"/>
          <w:szCs w:val="52"/>
          <w:lang w:val="es-ES_tradnl"/>
        </w:rPr>
        <w:t xml:space="preserve">R. de la C. </w:t>
      </w:r>
      <w:r w:rsidR="007F537A">
        <w:rPr>
          <w:rFonts w:ascii="Book Antiqua" w:eastAsia="Times New Roman" w:hAnsi="Book Antiqua"/>
          <w:b/>
          <w:bCs/>
          <w:color w:val="0D0D0D"/>
          <w:sz w:val="52"/>
          <w:szCs w:val="52"/>
          <w:lang w:val="es-ES_tradnl"/>
        </w:rPr>
        <w:t>429</w:t>
      </w:r>
    </w:p>
    <w:p w14:paraId="25E7A09B" w14:textId="77777777" w:rsidR="00C22BBE" w:rsidRPr="00C22BBE" w:rsidRDefault="00C22BBE" w:rsidP="00C22BBE">
      <w:pPr>
        <w:spacing w:after="0" w:line="240" w:lineRule="auto"/>
        <w:jc w:val="center"/>
        <w:rPr>
          <w:rFonts w:ascii="Book Antiqua" w:eastAsia="Times New Roman" w:hAnsi="Book Antiqua"/>
          <w:bCs/>
          <w:color w:val="0D0D0D"/>
          <w:sz w:val="24"/>
          <w:szCs w:val="20"/>
          <w:lang w:val="es-ES_tradnl"/>
        </w:rPr>
      </w:pPr>
    </w:p>
    <w:p w14:paraId="42091BCC" w14:textId="7DFC1565" w:rsidR="00C22BBE" w:rsidRPr="00C22BBE" w:rsidRDefault="00C22BBE" w:rsidP="00C22BBE">
      <w:pPr>
        <w:spacing w:after="0" w:line="240" w:lineRule="auto"/>
        <w:jc w:val="center"/>
        <w:rPr>
          <w:rFonts w:ascii="Book Antiqua" w:eastAsia="Times New Roman" w:hAnsi="Book Antiqua"/>
          <w:caps/>
          <w:color w:val="0D0D0D"/>
          <w:sz w:val="24"/>
          <w:szCs w:val="20"/>
          <w:lang w:val="es-ES_tradnl"/>
        </w:rPr>
      </w:pPr>
      <w:r w:rsidRPr="00C22BBE">
        <w:rPr>
          <w:rFonts w:ascii="Book Antiqua" w:eastAsia="Times New Roman" w:hAnsi="Book Antiqua"/>
          <w:caps/>
          <w:color w:val="0D0D0D"/>
          <w:sz w:val="24"/>
          <w:szCs w:val="20"/>
          <w:lang w:val="es-ES_tradnl"/>
        </w:rPr>
        <w:t xml:space="preserve">  </w:t>
      </w:r>
      <w:r w:rsidR="007F537A">
        <w:rPr>
          <w:rFonts w:ascii="Book Antiqua" w:eastAsia="Times New Roman" w:hAnsi="Book Antiqua"/>
          <w:caps/>
          <w:color w:val="0D0D0D"/>
          <w:sz w:val="24"/>
          <w:szCs w:val="20"/>
          <w:lang w:val="es-ES_tradnl"/>
        </w:rPr>
        <w:t>10</w:t>
      </w:r>
      <w:r w:rsidR="00C46478">
        <w:rPr>
          <w:rFonts w:ascii="Book Antiqua" w:eastAsia="Times New Roman" w:hAnsi="Book Antiqua"/>
          <w:caps/>
          <w:color w:val="0D0D0D"/>
          <w:sz w:val="24"/>
          <w:szCs w:val="20"/>
          <w:lang w:val="es-ES_tradnl"/>
        </w:rPr>
        <w:t xml:space="preserve"> </w:t>
      </w:r>
      <w:r w:rsidRPr="00C22BBE">
        <w:rPr>
          <w:rFonts w:ascii="Book Antiqua" w:eastAsia="Times New Roman" w:hAnsi="Book Antiqua"/>
          <w:caps/>
          <w:color w:val="0D0D0D"/>
          <w:sz w:val="24"/>
          <w:szCs w:val="20"/>
          <w:lang w:val="es-ES_tradnl"/>
        </w:rPr>
        <w:t xml:space="preserve">de </w:t>
      </w:r>
      <w:r w:rsidR="00F92E41">
        <w:rPr>
          <w:rFonts w:ascii="Book Antiqua" w:eastAsia="Times New Roman" w:hAnsi="Book Antiqua"/>
          <w:caps/>
          <w:color w:val="0D0D0D"/>
          <w:sz w:val="24"/>
          <w:szCs w:val="20"/>
          <w:lang w:val="es-ES_tradnl"/>
        </w:rPr>
        <w:t>septiembre</w:t>
      </w:r>
      <w:r w:rsidRPr="00C22BBE">
        <w:rPr>
          <w:rFonts w:ascii="Book Antiqua" w:eastAsia="Times New Roman" w:hAnsi="Book Antiqua"/>
          <w:caps/>
          <w:color w:val="0D0D0D"/>
          <w:sz w:val="24"/>
          <w:szCs w:val="20"/>
          <w:lang w:val="es-ES_tradnl"/>
        </w:rPr>
        <w:t xml:space="preserve"> de 2025</w:t>
      </w:r>
    </w:p>
    <w:p w14:paraId="727C3181" w14:textId="77777777" w:rsidR="00C22BBE" w:rsidRPr="00C22BBE" w:rsidRDefault="00C22BBE" w:rsidP="00C22BBE">
      <w:pPr>
        <w:spacing w:after="0" w:line="240" w:lineRule="auto"/>
        <w:jc w:val="center"/>
        <w:rPr>
          <w:rFonts w:ascii="Book Antiqua" w:eastAsia="Times New Roman" w:hAnsi="Book Antiqua"/>
          <w:caps/>
          <w:color w:val="0D0D0D"/>
          <w:sz w:val="24"/>
          <w:szCs w:val="20"/>
          <w:lang w:val="es-ES_tradnl"/>
        </w:rPr>
      </w:pPr>
    </w:p>
    <w:p w14:paraId="21841E3F" w14:textId="7131CE20" w:rsidR="00C22BBE" w:rsidRDefault="00C22BBE" w:rsidP="00C22BBE">
      <w:pPr>
        <w:spacing w:after="0" w:line="240" w:lineRule="auto"/>
        <w:jc w:val="center"/>
        <w:rPr>
          <w:rFonts w:ascii="Book Antiqua" w:eastAsia="Times New Roman" w:hAnsi="Book Antiqua"/>
          <w:i/>
          <w:iCs/>
          <w:color w:val="0D0D0D"/>
          <w:sz w:val="24"/>
          <w:szCs w:val="20"/>
          <w:lang w:val="es-ES_tradnl"/>
        </w:rPr>
      </w:pPr>
      <w:r w:rsidRPr="00C22BBE">
        <w:rPr>
          <w:rFonts w:ascii="Book Antiqua" w:eastAsia="Times New Roman" w:hAnsi="Book Antiqua"/>
          <w:color w:val="0D0D0D"/>
          <w:sz w:val="24"/>
          <w:szCs w:val="20"/>
          <w:lang w:val="es-ES_tradnl"/>
        </w:rPr>
        <w:t>Presentad</w:t>
      </w:r>
      <w:r w:rsidR="00A27D28">
        <w:rPr>
          <w:rFonts w:ascii="Book Antiqua" w:eastAsia="Times New Roman" w:hAnsi="Book Antiqua"/>
          <w:color w:val="0D0D0D"/>
          <w:sz w:val="24"/>
          <w:szCs w:val="20"/>
          <w:lang w:val="es-ES_tradnl"/>
        </w:rPr>
        <w:t>a</w:t>
      </w:r>
      <w:r w:rsidRPr="00C22BBE">
        <w:rPr>
          <w:rFonts w:ascii="Book Antiqua" w:eastAsia="Times New Roman" w:hAnsi="Book Antiqua"/>
          <w:color w:val="0D0D0D"/>
          <w:sz w:val="24"/>
          <w:szCs w:val="20"/>
          <w:lang w:val="es-ES_tradnl"/>
        </w:rPr>
        <w:t xml:space="preserve"> por el </w:t>
      </w:r>
      <w:r w:rsidR="00D41374">
        <w:rPr>
          <w:rFonts w:ascii="Book Antiqua" w:eastAsia="Times New Roman" w:hAnsi="Book Antiqua"/>
          <w:color w:val="0D0D0D"/>
          <w:sz w:val="24"/>
          <w:szCs w:val="20"/>
          <w:lang w:val="es-ES_tradnl"/>
        </w:rPr>
        <w:t>representante</w:t>
      </w:r>
      <w:r w:rsidRPr="00C22BBE">
        <w:rPr>
          <w:rFonts w:ascii="Book Antiqua" w:eastAsia="Times New Roman" w:hAnsi="Book Antiqua"/>
          <w:color w:val="0D0D0D"/>
          <w:sz w:val="24"/>
          <w:szCs w:val="20"/>
          <w:lang w:val="es-ES_tradnl"/>
        </w:rPr>
        <w:t xml:space="preserve"> </w:t>
      </w:r>
      <w:r w:rsidR="00F92E41">
        <w:rPr>
          <w:rFonts w:ascii="Book Antiqua" w:eastAsia="Times New Roman" w:hAnsi="Book Antiqua"/>
          <w:i/>
          <w:iCs/>
          <w:color w:val="0D0D0D"/>
          <w:sz w:val="24"/>
          <w:szCs w:val="20"/>
          <w:lang w:val="es-ES_tradnl"/>
        </w:rPr>
        <w:t>M</w:t>
      </w:r>
      <w:r w:rsidRPr="00C22BBE">
        <w:rPr>
          <w:rFonts w:ascii="Book Antiqua" w:eastAsia="Times New Roman" w:hAnsi="Book Antiqua"/>
          <w:i/>
          <w:iCs/>
          <w:color w:val="0D0D0D"/>
          <w:sz w:val="24"/>
          <w:szCs w:val="20"/>
          <w:lang w:val="es-ES_tradnl"/>
        </w:rPr>
        <w:t>é</w:t>
      </w:r>
      <w:r w:rsidR="00F92E41">
        <w:rPr>
          <w:rFonts w:ascii="Book Antiqua" w:eastAsia="Times New Roman" w:hAnsi="Book Antiqua"/>
          <w:i/>
          <w:iCs/>
          <w:color w:val="0D0D0D"/>
          <w:sz w:val="24"/>
          <w:szCs w:val="20"/>
          <w:lang w:val="es-ES_tradnl"/>
        </w:rPr>
        <w:t>ndez Núñez</w:t>
      </w:r>
      <w:r w:rsidRPr="00C22BBE">
        <w:rPr>
          <w:rFonts w:ascii="Book Antiqua" w:eastAsia="Times New Roman" w:hAnsi="Book Antiqua"/>
          <w:i/>
          <w:iCs/>
          <w:color w:val="0D0D0D"/>
          <w:sz w:val="24"/>
          <w:szCs w:val="20"/>
          <w:lang w:val="es-ES_tradnl"/>
        </w:rPr>
        <w:t xml:space="preserve"> </w:t>
      </w:r>
    </w:p>
    <w:p w14:paraId="58F64629" w14:textId="0ADF3AEE" w:rsidR="00AA36FD" w:rsidRPr="00C22BBE" w:rsidRDefault="00AA36FD" w:rsidP="00C22BBE">
      <w:pPr>
        <w:spacing w:after="0" w:line="240" w:lineRule="auto"/>
        <w:jc w:val="center"/>
        <w:rPr>
          <w:rFonts w:ascii="Book Antiqua" w:eastAsia="Times New Roman" w:hAnsi="Book Antiqua"/>
          <w:i/>
          <w:iCs/>
          <w:color w:val="0D0D0D"/>
          <w:sz w:val="24"/>
          <w:szCs w:val="20"/>
          <w:lang w:val="es-ES_tradnl"/>
        </w:rPr>
      </w:pPr>
      <w:r>
        <w:rPr>
          <w:rFonts w:ascii="Book Antiqua" w:eastAsia="Times New Roman" w:hAnsi="Book Antiqua"/>
          <w:i/>
          <w:iCs/>
          <w:color w:val="0D0D0D"/>
          <w:sz w:val="24"/>
          <w:szCs w:val="20"/>
          <w:lang w:val="es-ES_tradnl"/>
        </w:rPr>
        <w:t>(Por Petición del Banco de Sangre de Puerto Rico en Centro Médico)</w:t>
      </w:r>
    </w:p>
    <w:p w14:paraId="64891E71" w14:textId="77777777" w:rsidR="00C22BBE" w:rsidRPr="00C22BBE" w:rsidRDefault="00C22BBE" w:rsidP="00C22BBE">
      <w:pPr>
        <w:spacing w:after="0" w:line="240" w:lineRule="auto"/>
        <w:jc w:val="center"/>
        <w:rPr>
          <w:rFonts w:ascii="Book Antiqua" w:eastAsia="Times New Roman" w:hAnsi="Book Antiqua"/>
          <w:i/>
          <w:iCs/>
          <w:color w:val="0D0D0D"/>
          <w:sz w:val="24"/>
          <w:szCs w:val="20"/>
          <w:lang w:val="es-ES_tradnl"/>
        </w:rPr>
      </w:pPr>
    </w:p>
    <w:p w14:paraId="7B61C0CB" w14:textId="34ED2E24" w:rsidR="00C22BBE" w:rsidRPr="00C22BBE" w:rsidRDefault="00C22BBE" w:rsidP="00C22BBE">
      <w:pPr>
        <w:spacing w:after="0" w:line="240" w:lineRule="auto"/>
        <w:jc w:val="center"/>
        <w:rPr>
          <w:rFonts w:ascii="Book Antiqua" w:eastAsia="Times New Roman" w:hAnsi="Book Antiqua"/>
          <w:color w:val="0D0D0D"/>
          <w:sz w:val="24"/>
          <w:szCs w:val="20"/>
          <w:lang w:val="es-ES_tradnl"/>
        </w:rPr>
      </w:pPr>
      <w:r w:rsidRPr="00C22BBE">
        <w:rPr>
          <w:rFonts w:ascii="Book Antiqua" w:eastAsia="Times New Roman" w:hAnsi="Book Antiqua"/>
          <w:color w:val="0D0D0D"/>
          <w:sz w:val="24"/>
          <w:szCs w:val="20"/>
          <w:lang w:val="es-ES_tradnl"/>
        </w:rPr>
        <w:t>Referid</w:t>
      </w:r>
      <w:r w:rsidR="00A27D28">
        <w:rPr>
          <w:rFonts w:ascii="Book Antiqua" w:eastAsia="Times New Roman" w:hAnsi="Book Antiqua"/>
          <w:color w:val="0D0D0D"/>
          <w:sz w:val="24"/>
          <w:szCs w:val="20"/>
          <w:lang w:val="es-ES_tradnl"/>
        </w:rPr>
        <w:t>a</w:t>
      </w:r>
      <w:r w:rsidRPr="00C22BBE">
        <w:rPr>
          <w:rFonts w:ascii="Book Antiqua" w:eastAsia="Times New Roman" w:hAnsi="Book Antiqua"/>
          <w:color w:val="0D0D0D"/>
          <w:sz w:val="24"/>
          <w:szCs w:val="20"/>
          <w:lang w:val="es-ES_tradnl"/>
        </w:rPr>
        <w:t xml:space="preserve"> a la Comisión de </w:t>
      </w:r>
      <w:r w:rsidR="008304FF">
        <w:rPr>
          <w:rFonts w:ascii="Book Antiqua" w:eastAsia="Times New Roman" w:hAnsi="Book Antiqua"/>
          <w:color w:val="0D0D0D"/>
          <w:sz w:val="24"/>
          <w:szCs w:val="20"/>
          <w:lang w:val="es-ES_tradnl"/>
        </w:rPr>
        <w:t>Asuntos Internos</w:t>
      </w:r>
    </w:p>
    <w:p w14:paraId="702E3397" w14:textId="77777777" w:rsidR="00C22BBE" w:rsidRPr="00C22BBE" w:rsidRDefault="00C22BBE" w:rsidP="00C22BBE">
      <w:pPr>
        <w:spacing w:after="0" w:line="240" w:lineRule="auto"/>
        <w:jc w:val="center"/>
        <w:rPr>
          <w:rFonts w:ascii="Book Antiqua" w:eastAsia="Times New Roman" w:hAnsi="Book Antiqua"/>
          <w:color w:val="0D0D0D"/>
          <w:sz w:val="24"/>
          <w:szCs w:val="20"/>
          <w:lang w:val="es-ES_tradnl"/>
        </w:rPr>
      </w:pPr>
    </w:p>
    <w:p w14:paraId="377E0DD5" w14:textId="77777777" w:rsidR="00C22BBE" w:rsidRPr="00C22BBE" w:rsidRDefault="00C22BBE" w:rsidP="00C22BBE">
      <w:pPr>
        <w:spacing w:after="0" w:line="240" w:lineRule="auto"/>
        <w:jc w:val="center"/>
        <w:rPr>
          <w:rFonts w:ascii="Book Antiqua" w:eastAsia="Times New Roman" w:hAnsi="Book Antiqua"/>
          <w:b/>
          <w:color w:val="0D0D0D"/>
          <w:sz w:val="28"/>
          <w:szCs w:val="28"/>
          <w:lang w:val="es-ES_tradnl"/>
        </w:rPr>
      </w:pPr>
      <w:r w:rsidRPr="00C22BBE">
        <w:rPr>
          <w:rFonts w:ascii="Book Antiqua" w:eastAsia="Times New Roman" w:hAnsi="Book Antiqua"/>
          <w:b/>
          <w:color w:val="0D0D0D"/>
          <w:sz w:val="28"/>
          <w:szCs w:val="28"/>
          <w:lang w:val="es-ES_tradnl"/>
        </w:rPr>
        <w:t>RESOLUCIÓN</w:t>
      </w:r>
    </w:p>
    <w:p w14:paraId="79E58675" w14:textId="77777777" w:rsidR="00C22BBE" w:rsidRPr="00C22BBE" w:rsidRDefault="00C22BBE" w:rsidP="00C22BBE">
      <w:pPr>
        <w:spacing w:after="0" w:line="240" w:lineRule="auto"/>
        <w:jc w:val="center"/>
        <w:rPr>
          <w:rFonts w:ascii="Book Antiqua" w:eastAsia="Times New Roman" w:hAnsi="Book Antiqua"/>
          <w:b/>
          <w:color w:val="0D0D0D"/>
          <w:sz w:val="24"/>
          <w:szCs w:val="24"/>
          <w:lang w:val="es-ES_tradnl"/>
        </w:rPr>
      </w:pPr>
    </w:p>
    <w:p w14:paraId="75642DC9" w14:textId="1986C3F1" w:rsidR="00C22BBE" w:rsidRPr="00612BCE" w:rsidRDefault="00C22BBE" w:rsidP="008304FF">
      <w:pPr>
        <w:widowControl w:val="0"/>
        <w:overflowPunct w:val="0"/>
        <w:autoSpaceDE w:val="0"/>
        <w:autoSpaceDN w:val="0"/>
        <w:adjustRightInd w:val="0"/>
        <w:spacing w:after="0" w:line="240" w:lineRule="auto"/>
        <w:ind w:left="720" w:hanging="720"/>
        <w:jc w:val="both"/>
        <w:rPr>
          <w:rFonts w:ascii="Book Antiqua" w:eastAsia="Times New Roman" w:hAnsi="Book Antiqua" w:cs="AngsanaUPC"/>
          <w:color w:val="0D0D0D"/>
          <w:sz w:val="24"/>
          <w:szCs w:val="24"/>
          <w:lang w:val="es-ES_tradnl"/>
        </w:rPr>
      </w:pPr>
      <w:bookmarkStart w:id="0" w:name="_Hlk119394139"/>
      <w:bookmarkStart w:id="1" w:name="_Hlk118986562"/>
      <w:r w:rsidRPr="00C22BBE">
        <w:rPr>
          <w:rFonts w:ascii="Book Antiqua" w:eastAsia="Times New Roman" w:hAnsi="Book Antiqua" w:cs="AngsanaUPC"/>
          <w:color w:val="0D0D0D"/>
          <w:sz w:val="24"/>
          <w:szCs w:val="24"/>
          <w:lang w:val="es-ES_tradnl"/>
        </w:rPr>
        <w:t xml:space="preserve">Para ordenar a </w:t>
      </w:r>
      <w:bookmarkStart w:id="2" w:name="_Hlk175553536"/>
      <w:r w:rsidRPr="00C22BBE">
        <w:rPr>
          <w:rFonts w:ascii="Book Antiqua" w:eastAsia="Times New Roman" w:hAnsi="Book Antiqua" w:cs="AngsanaUPC"/>
          <w:color w:val="0D0D0D"/>
          <w:sz w:val="24"/>
          <w:szCs w:val="24"/>
          <w:lang w:val="es-ES_tradnl"/>
        </w:rPr>
        <w:t xml:space="preserve">la Comisión de </w:t>
      </w:r>
      <w:bookmarkStart w:id="3" w:name="_Hlk117676723"/>
      <w:r w:rsidRPr="00C22BBE">
        <w:rPr>
          <w:rFonts w:ascii="Book Antiqua" w:eastAsia="Times New Roman" w:hAnsi="Book Antiqua" w:cs="AngsanaUPC"/>
          <w:color w:val="0D0D0D"/>
          <w:sz w:val="24"/>
          <w:szCs w:val="24"/>
          <w:lang w:val="es-ES_tradnl"/>
        </w:rPr>
        <w:t>Salud</w:t>
      </w:r>
      <w:bookmarkStart w:id="4" w:name="_Hlk117676752"/>
      <w:bookmarkEnd w:id="2"/>
      <w:bookmarkEnd w:id="3"/>
      <w:r w:rsidR="00654081">
        <w:rPr>
          <w:rFonts w:ascii="Book Antiqua" w:eastAsia="Times New Roman" w:hAnsi="Book Antiqua" w:cs="AngsanaUPC"/>
          <w:color w:val="0D0D0D"/>
          <w:sz w:val="24"/>
          <w:szCs w:val="24"/>
          <w:lang w:val="es-ES_tradnl"/>
        </w:rPr>
        <w:t xml:space="preserve"> </w:t>
      </w:r>
      <w:r w:rsidR="00D52354">
        <w:rPr>
          <w:rFonts w:ascii="Book Antiqua" w:eastAsia="Times New Roman" w:hAnsi="Book Antiqua" w:cs="AngsanaUPC"/>
          <w:color w:val="0D0D0D"/>
          <w:sz w:val="24"/>
          <w:szCs w:val="24"/>
          <w:lang w:val="es-ES_tradnl"/>
        </w:rPr>
        <w:t xml:space="preserve">investigar </w:t>
      </w:r>
      <w:r w:rsidR="00580ABA" w:rsidRPr="00580ABA">
        <w:rPr>
          <w:rFonts w:ascii="Book Antiqua" w:eastAsia="MS Mincho" w:hAnsi="Book Antiqua"/>
          <w:sz w:val="24"/>
          <w:szCs w:val="24"/>
          <w:lang w:val="es-PR"/>
        </w:rPr>
        <w:t>el cumplimiento por parte de las agencias, municipios, corporaciones públicas e instrumentalidades adscritas al Gobierno con las disposiciones de la Ley del Banco de Sangre del Centro Médico de Puerto Rico, Ley 98-2013</w:t>
      </w:r>
      <w:r w:rsidRPr="00612BCE">
        <w:rPr>
          <w:rFonts w:ascii="Book Antiqua" w:eastAsia="Times New Roman" w:hAnsi="Book Antiqua" w:cs="AngsanaUPC"/>
          <w:color w:val="0D0D0D"/>
          <w:sz w:val="24"/>
          <w:szCs w:val="24"/>
          <w:lang w:val="es-ES_tradnl"/>
        </w:rPr>
        <w:t>; y para otros fines relacionados.</w:t>
      </w:r>
    </w:p>
    <w:bookmarkEnd w:id="0"/>
    <w:bookmarkEnd w:id="1"/>
    <w:bookmarkEnd w:id="4"/>
    <w:p w14:paraId="1F3D7ED1" w14:textId="77777777" w:rsidR="00C22BBE" w:rsidRPr="00C22BBE" w:rsidRDefault="00C22BBE" w:rsidP="008304FF">
      <w:pPr>
        <w:spacing w:after="0" w:line="240" w:lineRule="auto"/>
        <w:rPr>
          <w:rFonts w:ascii="Book Antiqua" w:eastAsia="Times New Roman" w:hAnsi="Book Antiqua"/>
          <w:color w:val="0D0D0D"/>
          <w:sz w:val="24"/>
          <w:szCs w:val="24"/>
          <w:lang w:val="es-ES_tradnl"/>
        </w:rPr>
      </w:pPr>
    </w:p>
    <w:p w14:paraId="1536E913" w14:textId="77777777" w:rsidR="00C22BBE" w:rsidRPr="00C22BBE" w:rsidRDefault="00C22BBE" w:rsidP="008304FF">
      <w:pPr>
        <w:spacing w:after="0" w:line="240" w:lineRule="auto"/>
        <w:jc w:val="center"/>
        <w:rPr>
          <w:rFonts w:ascii="Book Antiqua" w:eastAsia="Times New Roman" w:hAnsi="Book Antiqua"/>
          <w:color w:val="0D0D0D"/>
          <w:sz w:val="24"/>
          <w:szCs w:val="24"/>
          <w:lang w:val="es-ES_tradnl"/>
        </w:rPr>
      </w:pPr>
      <w:r w:rsidRPr="00C22BBE">
        <w:rPr>
          <w:rFonts w:ascii="Book Antiqua" w:eastAsia="Times New Roman" w:hAnsi="Book Antiqua"/>
          <w:color w:val="0D0D0D"/>
          <w:sz w:val="24"/>
          <w:szCs w:val="24"/>
          <w:lang w:val="es-ES_tradnl"/>
        </w:rPr>
        <w:t>EXPOSICIÓN DE MOTIVOS</w:t>
      </w:r>
    </w:p>
    <w:p w14:paraId="76984CE0" w14:textId="77777777" w:rsidR="00C22BBE" w:rsidRPr="00C22BBE" w:rsidRDefault="00C22BBE" w:rsidP="008304FF">
      <w:pPr>
        <w:spacing w:after="0" w:line="240" w:lineRule="auto"/>
        <w:jc w:val="center"/>
        <w:rPr>
          <w:rFonts w:ascii="Book Antiqua" w:eastAsia="Times New Roman" w:hAnsi="Book Antiqua"/>
          <w:color w:val="0D0D0D"/>
          <w:sz w:val="24"/>
          <w:szCs w:val="24"/>
          <w:lang w:val="es-ES_tradnl"/>
        </w:rPr>
      </w:pPr>
    </w:p>
    <w:p w14:paraId="1D7F226C" w14:textId="77777777" w:rsidR="00324A2A" w:rsidRDefault="00324A2A" w:rsidP="008304FF">
      <w:pPr>
        <w:spacing w:after="0" w:line="240" w:lineRule="auto"/>
        <w:ind w:firstLine="720"/>
        <w:jc w:val="both"/>
        <w:rPr>
          <w:rFonts w:ascii="Book Antiqua" w:eastAsia="Times New Roman" w:hAnsi="Book Antiqua" w:cs="AngsanaUPC"/>
          <w:color w:val="0D0D0D"/>
          <w:sz w:val="24"/>
          <w:szCs w:val="24"/>
          <w:lang w:val="es-ES"/>
        </w:rPr>
      </w:pPr>
      <w:r w:rsidRPr="00324A2A">
        <w:rPr>
          <w:rFonts w:ascii="Book Antiqua" w:eastAsia="Times New Roman" w:hAnsi="Book Antiqua" w:cs="AngsanaUPC"/>
          <w:color w:val="0D0D0D"/>
          <w:sz w:val="24"/>
          <w:szCs w:val="24"/>
          <w:lang w:val="es-ES"/>
        </w:rPr>
        <w:t>El Centro Médico es el centro hospitalario más grande e importante de Puerto Rico y del Caribe. Es allí donde llegan las personas que han sido víctimas de incidentes de violencia, así como aquellos que han sufrido cualquier tipo de accidente, no sólo en Puerto Rico, sino también en las islas caribeñas. El Centro Médico recibe también cientos de pacientes con diagnósticos de cáncer, cuyas vidas, muchas veces, dependen de la transfusión constante de sangre y otros componentes.</w:t>
      </w:r>
    </w:p>
    <w:p w14:paraId="567FE798" w14:textId="77777777" w:rsidR="008304FF" w:rsidRPr="00324A2A" w:rsidRDefault="008304FF" w:rsidP="008304FF">
      <w:pPr>
        <w:spacing w:after="0" w:line="240" w:lineRule="auto"/>
        <w:ind w:firstLine="720"/>
        <w:jc w:val="both"/>
        <w:rPr>
          <w:rFonts w:ascii="Book Antiqua" w:eastAsia="Times New Roman" w:hAnsi="Book Antiqua" w:cs="AngsanaUPC"/>
          <w:color w:val="0D0D0D"/>
          <w:sz w:val="24"/>
          <w:szCs w:val="24"/>
          <w:lang w:val="es-ES"/>
        </w:rPr>
      </w:pPr>
    </w:p>
    <w:p w14:paraId="315848A0" w14:textId="77777777" w:rsidR="00324A2A" w:rsidRDefault="00324A2A" w:rsidP="008304FF">
      <w:pPr>
        <w:spacing w:after="0" w:line="240" w:lineRule="auto"/>
        <w:ind w:firstLine="720"/>
        <w:jc w:val="both"/>
        <w:rPr>
          <w:rFonts w:ascii="Book Antiqua" w:eastAsia="Times New Roman" w:hAnsi="Book Antiqua" w:cs="AngsanaUPC"/>
          <w:color w:val="0D0D0D"/>
          <w:sz w:val="24"/>
          <w:szCs w:val="24"/>
          <w:lang w:val="es-ES"/>
        </w:rPr>
      </w:pPr>
      <w:r w:rsidRPr="00324A2A">
        <w:rPr>
          <w:rFonts w:ascii="Book Antiqua" w:eastAsia="Times New Roman" w:hAnsi="Book Antiqua" w:cs="AngsanaUPC"/>
          <w:color w:val="0D0D0D"/>
          <w:sz w:val="24"/>
          <w:szCs w:val="24"/>
          <w:lang w:val="es-ES"/>
        </w:rPr>
        <w:t xml:space="preserve">El Banco de Sangre de Puerto Rico, en Centro Médico, desempeña un papel fundamental en la atención médica al servir como centro de colección primaria de componentes sanguíneos vitales como células rojas, plasma y plaquetas para satisfacer las necesidades de los pacientes hospitalizados y ambulatorios de los hospitales afiliados al Centro Médico de Puerto Rico.   Entre los hospitales que reciben sangre y plaquetas y otros componentes del Banco de Sangre de Centro Médico se encuentran el Hospital Pediátrico, el Hospital Industrial, el Hospital de Traumas, el Hospital Municipal de San Juan, el Hospital Universitario de Adultos y la Sala de Emergencias de Centro Médico. Éste último, particularmente, tiene una necesidad constante de sangre, plaquetas y otros </w:t>
      </w:r>
      <w:r w:rsidRPr="00324A2A">
        <w:rPr>
          <w:rFonts w:ascii="Book Antiqua" w:eastAsia="Times New Roman" w:hAnsi="Book Antiqua" w:cs="AngsanaUPC"/>
          <w:color w:val="0D0D0D"/>
          <w:sz w:val="24"/>
          <w:szCs w:val="24"/>
          <w:lang w:val="es-ES"/>
        </w:rPr>
        <w:lastRenderedPageBreak/>
        <w:t xml:space="preserve">componentes pues atiende un gran número de pacientes que llegan en condiciones críticas. El Hospital de Trauma que se ubica en el Centro Médico es el único en Puerto Rico con la capacidad y el equipo para atender durante periodos de 24 horas al día, 7 días a la semana, a aquellos pacientes con múltiples traumas corporales. </w:t>
      </w:r>
    </w:p>
    <w:p w14:paraId="75E8BE90" w14:textId="77777777" w:rsidR="008304FF" w:rsidRPr="00324A2A" w:rsidRDefault="008304FF" w:rsidP="008304FF">
      <w:pPr>
        <w:spacing w:after="0" w:line="240" w:lineRule="auto"/>
        <w:ind w:firstLine="720"/>
        <w:jc w:val="both"/>
        <w:rPr>
          <w:rFonts w:ascii="Book Antiqua" w:eastAsia="Times New Roman" w:hAnsi="Book Antiqua" w:cs="AngsanaUPC"/>
          <w:color w:val="0D0D0D"/>
          <w:sz w:val="24"/>
          <w:szCs w:val="24"/>
          <w:lang w:val="es-ES"/>
        </w:rPr>
      </w:pPr>
    </w:p>
    <w:p w14:paraId="22E6EF3A" w14:textId="77777777" w:rsidR="00324A2A" w:rsidRDefault="00324A2A" w:rsidP="008304FF">
      <w:pPr>
        <w:spacing w:after="0" w:line="240" w:lineRule="auto"/>
        <w:ind w:firstLine="720"/>
        <w:jc w:val="both"/>
        <w:rPr>
          <w:rFonts w:ascii="Book Antiqua" w:eastAsia="Times New Roman" w:hAnsi="Book Antiqua" w:cs="AngsanaUPC"/>
          <w:color w:val="0D0D0D"/>
          <w:sz w:val="24"/>
          <w:szCs w:val="24"/>
          <w:lang w:val="es-ES"/>
        </w:rPr>
      </w:pPr>
      <w:r w:rsidRPr="00324A2A">
        <w:rPr>
          <w:rFonts w:ascii="Book Antiqua" w:eastAsia="Times New Roman" w:hAnsi="Book Antiqua" w:cs="AngsanaUPC"/>
          <w:color w:val="0D0D0D"/>
          <w:sz w:val="24"/>
          <w:szCs w:val="24"/>
          <w:lang w:val="es-ES"/>
        </w:rPr>
        <w:t xml:space="preserve">Mediante la Ley 207- 2011 se le brindó reconocimiento legal al Banco de Sangre del Centro Médico de Puerto Rico. Dicha legislación sirvió como base para establecer los parámetros adecuados y la cooperación de las distintas dependencias del Gobierno, en aras de alcanzar niveles óptimos en los abastos del Banco de Sangre para cubrir las necesidades de los miles de pacientes que reciben servicios en el Centro Médico de Puerto Rico.  </w:t>
      </w:r>
    </w:p>
    <w:p w14:paraId="1B2ECBDD" w14:textId="77777777" w:rsidR="008304FF" w:rsidRPr="00324A2A" w:rsidRDefault="008304FF" w:rsidP="008304FF">
      <w:pPr>
        <w:spacing w:after="0" w:line="240" w:lineRule="auto"/>
        <w:ind w:firstLine="720"/>
        <w:jc w:val="both"/>
        <w:rPr>
          <w:rFonts w:ascii="Book Antiqua" w:eastAsia="Times New Roman" w:hAnsi="Book Antiqua" w:cs="AngsanaUPC"/>
          <w:color w:val="0D0D0D"/>
          <w:sz w:val="24"/>
          <w:szCs w:val="24"/>
          <w:lang w:val="es-ES"/>
        </w:rPr>
      </w:pPr>
    </w:p>
    <w:p w14:paraId="10745A64" w14:textId="77777777" w:rsidR="00324A2A" w:rsidRDefault="00324A2A" w:rsidP="008304FF">
      <w:pPr>
        <w:spacing w:after="0" w:line="240" w:lineRule="auto"/>
        <w:ind w:firstLine="720"/>
        <w:jc w:val="both"/>
        <w:rPr>
          <w:rFonts w:ascii="Book Antiqua" w:eastAsia="Times New Roman" w:hAnsi="Book Antiqua" w:cs="AngsanaUPC"/>
          <w:color w:val="0D0D0D"/>
          <w:sz w:val="24"/>
          <w:szCs w:val="24"/>
          <w:lang w:val="es-ES"/>
        </w:rPr>
      </w:pPr>
      <w:r w:rsidRPr="00324A2A">
        <w:rPr>
          <w:rFonts w:ascii="Book Antiqua" w:eastAsia="Times New Roman" w:hAnsi="Book Antiqua" w:cs="AngsanaUPC"/>
          <w:color w:val="0D0D0D"/>
          <w:sz w:val="24"/>
          <w:szCs w:val="24"/>
          <w:lang w:val="es-ES"/>
        </w:rPr>
        <w:t>Posteriormente, mediante la aprobación de la Ley del Banco de Sangre del Centro Médico de Puerto Rico, Ley 98-2013, se reconoció, como función principal del Banco de Sangre, suplir de abastos de sangre al Centro Médico de Puerto Rico.  Véase Artículo 4 de la Ley 98-2013.  Para lograr esta encomienda, se le otorgó preferencia al Banco de Sangre del Centro Médico en toda actividad de donación de sangre que realicen las agencias o entidades del Gobierno, incluyendo a las corporaciones públicas y a los municipios.  Específicamente, el Artículo 5 de la Ley 98-2013 establece:</w:t>
      </w:r>
    </w:p>
    <w:p w14:paraId="23E6B2AE" w14:textId="77777777" w:rsidR="008304FF" w:rsidRPr="00324A2A" w:rsidRDefault="008304FF" w:rsidP="008304FF">
      <w:pPr>
        <w:spacing w:after="0" w:line="240" w:lineRule="auto"/>
        <w:ind w:firstLine="720"/>
        <w:jc w:val="both"/>
        <w:rPr>
          <w:rFonts w:ascii="Book Antiqua" w:eastAsia="Times New Roman" w:hAnsi="Book Antiqua" w:cs="AngsanaUPC"/>
          <w:color w:val="0D0D0D"/>
          <w:sz w:val="24"/>
          <w:szCs w:val="24"/>
          <w:lang w:val="es-ES"/>
        </w:rPr>
      </w:pPr>
    </w:p>
    <w:p w14:paraId="5ABC6B65" w14:textId="2397D28B" w:rsidR="00324A2A" w:rsidRDefault="00324A2A" w:rsidP="008304FF">
      <w:pPr>
        <w:spacing w:after="0" w:line="240" w:lineRule="auto"/>
        <w:ind w:left="720" w:right="720" w:firstLine="720"/>
        <w:jc w:val="both"/>
        <w:rPr>
          <w:rFonts w:ascii="Book Antiqua" w:eastAsia="Times New Roman" w:hAnsi="Book Antiqua" w:cs="AngsanaUPC"/>
          <w:color w:val="0D0D0D"/>
          <w:sz w:val="24"/>
          <w:szCs w:val="24"/>
          <w:lang w:val="es-ES"/>
        </w:rPr>
      </w:pPr>
      <w:r w:rsidRPr="00324A2A">
        <w:rPr>
          <w:rFonts w:ascii="Book Antiqua" w:eastAsia="Times New Roman" w:hAnsi="Book Antiqua" w:cs="AngsanaUPC"/>
          <w:color w:val="0D0D0D"/>
          <w:sz w:val="24"/>
          <w:szCs w:val="24"/>
          <w:lang w:val="es-ES"/>
        </w:rPr>
        <w:t xml:space="preserve"> </w:t>
      </w:r>
      <w:r w:rsidR="0092477E">
        <w:rPr>
          <w:rFonts w:ascii="Book Antiqua" w:eastAsia="Times New Roman" w:hAnsi="Book Antiqua" w:cs="AngsanaUPC"/>
          <w:color w:val="0D0D0D"/>
          <w:sz w:val="24"/>
          <w:szCs w:val="24"/>
          <w:lang w:val="es-ES"/>
        </w:rPr>
        <w:t>“</w:t>
      </w:r>
      <w:r w:rsidRPr="00324A2A">
        <w:rPr>
          <w:rFonts w:ascii="Book Antiqua" w:eastAsia="Times New Roman" w:hAnsi="Book Antiqua" w:cs="AngsanaUPC"/>
          <w:color w:val="0D0D0D"/>
          <w:sz w:val="24"/>
          <w:szCs w:val="24"/>
          <w:lang w:val="es-ES"/>
        </w:rPr>
        <w:t>Artículo 5.-Se dispone que todas las agencias, municipios, corporaciones públicas e instrumentalidades del Gobierno del Estado Libre Asociado de Puerto Rico deberán realizar una (1) actividad de donación de sangre y plaquetas, al menos, dos (2) veces al año. Disponiéndose que como mínimo, una (1) de dichas actividades de donación será exclusivamente para el “Banco de Sangre del Centro Médico de Puerto Rico”. Nada de lo dispuesto en esta Ley impedirá el que las agencias, municipios, corporaciones públicas e instrumentalidades adscritas al Gobierno del Estado Libre Asociado de Puerto Rico puedan participar y realizar campañas de donación de sangre a favor de otras entidades.</w:t>
      </w:r>
      <w:r w:rsidR="00ED09F4">
        <w:rPr>
          <w:rFonts w:ascii="Book Antiqua" w:eastAsia="Times New Roman" w:hAnsi="Book Antiqua" w:cs="AngsanaUPC"/>
          <w:color w:val="0D0D0D"/>
          <w:sz w:val="24"/>
          <w:szCs w:val="24"/>
          <w:lang w:val="es-ES"/>
        </w:rPr>
        <w:t>”</w:t>
      </w:r>
    </w:p>
    <w:p w14:paraId="4C22E606" w14:textId="77777777" w:rsidR="008304FF" w:rsidRPr="00324A2A" w:rsidRDefault="008304FF" w:rsidP="008304FF">
      <w:pPr>
        <w:spacing w:after="0" w:line="240" w:lineRule="auto"/>
        <w:ind w:left="720" w:right="720" w:firstLine="720"/>
        <w:jc w:val="both"/>
        <w:rPr>
          <w:rFonts w:ascii="Book Antiqua" w:eastAsia="Times New Roman" w:hAnsi="Book Antiqua" w:cs="AngsanaUPC"/>
          <w:color w:val="0D0D0D"/>
          <w:sz w:val="24"/>
          <w:szCs w:val="24"/>
          <w:lang w:val="es-ES"/>
        </w:rPr>
      </w:pPr>
    </w:p>
    <w:p w14:paraId="0970DCF5" w14:textId="77777777" w:rsidR="00324A2A" w:rsidRDefault="00324A2A" w:rsidP="008304FF">
      <w:pPr>
        <w:spacing w:after="0" w:line="240" w:lineRule="auto"/>
        <w:ind w:firstLine="720"/>
        <w:jc w:val="both"/>
        <w:rPr>
          <w:rFonts w:ascii="Book Antiqua" w:eastAsia="Times New Roman" w:hAnsi="Book Antiqua" w:cs="AngsanaUPC"/>
          <w:color w:val="0D0D0D"/>
          <w:sz w:val="24"/>
          <w:szCs w:val="24"/>
          <w:lang w:val="es-ES"/>
        </w:rPr>
      </w:pPr>
      <w:r w:rsidRPr="00324A2A">
        <w:rPr>
          <w:rFonts w:ascii="Book Antiqua" w:eastAsia="Times New Roman" w:hAnsi="Book Antiqua" w:cs="AngsanaUPC"/>
          <w:color w:val="0D0D0D"/>
          <w:sz w:val="24"/>
          <w:szCs w:val="24"/>
          <w:lang w:val="es-ES"/>
        </w:rPr>
        <w:t xml:space="preserve">Cabe enfatizar que, cada año en Puerto Rico se necesitan aproximadamente 146,000 unidades de sangre, y una sola transfusión puede requerir hasta 3 unidades de sangre. La sangre no se puede fabricar artificialmente.  La única forma de obtenerla es a través de donaciones voluntarias de personas saludables. Además, la sangre tiene una vida útil limitada y, por tanto, se necesita de forma constante.  De igual manera, se reconoce que los abastos de sangre se encuentran en niveles críticos.  Los suministros actuales están por debajo de los parámetros requeridos para mantener el servicio ininterrumpido a las instituciones hospitalarias.  </w:t>
      </w:r>
    </w:p>
    <w:p w14:paraId="1F030484" w14:textId="77777777" w:rsidR="008304FF" w:rsidRPr="00324A2A" w:rsidRDefault="008304FF" w:rsidP="008304FF">
      <w:pPr>
        <w:spacing w:after="0" w:line="240" w:lineRule="auto"/>
        <w:ind w:firstLine="720"/>
        <w:jc w:val="both"/>
        <w:rPr>
          <w:rFonts w:ascii="Book Antiqua" w:eastAsia="Times New Roman" w:hAnsi="Book Antiqua" w:cs="AngsanaUPC"/>
          <w:color w:val="0D0D0D"/>
          <w:sz w:val="24"/>
          <w:szCs w:val="24"/>
          <w:lang w:val="es-ES"/>
        </w:rPr>
      </w:pPr>
    </w:p>
    <w:p w14:paraId="22284E55" w14:textId="77777777" w:rsidR="00324A2A" w:rsidRDefault="00324A2A" w:rsidP="008304FF">
      <w:pPr>
        <w:spacing w:after="0" w:line="240" w:lineRule="auto"/>
        <w:ind w:firstLine="720"/>
        <w:jc w:val="both"/>
        <w:rPr>
          <w:rFonts w:ascii="Book Antiqua" w:eastAsia="Times New Roman" w:hAnsi="Book Antiqua" w:cs="AngsanaUPC"/>
          <w:color w:val="0D0D0D"/>
          <w:sz w:val="24"/>
          <w:szCs w:val="24"/>
          <w:lang w:val="es-ES"/>
        </w:rPr>
      </w:pPr>
      <w:r w:rsidRPr="00324A2A">
        <w:rPr>
          <w:rFonts w:ascii="Book Antiqua" w:eastAsia="Times New Roman" w:hAnsi="Book Antiqua" w:cs="AngsanaUPC"/>
          <w:color w:val="0D0D0D"/>
          <w:sz w:val="24"/>
          <w:szCs w:val="24"/>
          <w:lang w:val="es-ES"/>
        </w:rPr>
        <w:t xml:space="preserve">Corresponde a esta Cámara de Representantes realizar una investigación abarcadora sobre el cumplimiento por parte de las agencias, municipios, corporaciones </w:t>
      </w:r>
      <w:r w:rsidRPr="00324A2A">
        <w:rPr>
          <w:rFonts w:ascii="Book Antiqua" w:eastAsia="Times New Roman" w:hAnsi="Book Antiqua" w:cs="AngsanaUPC"/>
          <w:color w:val="0D0D0D"/>
          <w:sz w:val="24"/>
          <w:szCs w:val="24"/>
          <w:lang w:val="es-ES"/>
        </w:rPr>
        <w:lastRenderedPageBreak/>
        <w:t xml:space="preserve">públicas e instrumentalidades adscritas al Gobierno con las disposiciones de la Ley del Banco de Sangre del Centro Médico de Puerto Rico, Ley 98-2013. </w:t>
      </w:r>
    </w:p>
    <w:p w14:paraId="541CD1A8" w14:textId="77777777" w:rsidR="008304FF" w:rsidRDefault="008304FF" w:rsidP="008304FF">
      <w:pPr>
        <w:spacing w:after="0" w:line="240" w:lineRule="auto"/>
        <w:ind w:firstLine="720"/>
        <w:jc w:val="both"/>
        <w:rPr>
          <w:rFonts w:ascii="Book Antiqua" w:eastAsia="Times New Roman" w:hAnsi="Book Antiqua" w:cs="AngsanaUPC"/>
          <w:color w:val="0D0D0D"/>
          <w:sz w:val="24"/>
          <w:szCs w:val="24"/>
          <w:lang w:val="es-ES"/>
        </w:rPr>
      </w:pPr>
    </w:p>
    <w:p w14:paraId="5653BDE7" w14:textId="616C9481" w:rsidR="00C22BBE" w:rsidRPr="00612BCE" w:rsidRDefault="00324A2A" w:rsidP="008304FF">
      <w:pPr>
        <w:spacing w:after="0" w:line="240" w:lineRule="auto"/>
        <w:ind w:firstLine="720"/>
        <w:jc w:val="both"/>
        <w:rPr>
          <w:rFonts w:ascii="Book Antiqua" w:eastAsia="Times New Roman" w:hAnsi="Book Antiqua"/>
          <w:i/>
          <w:iCs/>
          <w:color w:val="0D0D0D"/>
          <w:sz w:val="24"/>
          <w:szCs w:val="24"/>
          <w:lang w:val="es-ES_tradnl"/>
        </w:rPr>
      </w:pPr>
      <w:r w:rsidRPr="00324A2A">
        <w:rPr>
          <w:rFonts w:ascii="Book Antiqua" w:eastAsia="Times New Roman" w:hAnsi="Book Antiqua" w:cs="AngsanaUPC"/>
          <w:color w:val="0D0D0D"/>
          <w:sz w:val="24"/>
          <w:szCs w:val="24"/>
          <w:lang w:val="es-ES"/>
        </w:rPr>
        <w:t xml:space="preserve">Fomentar la donación de sangre regularmente es una forma simple y efectiva de contribuir a salvar vidas y marcar una diferencia significativa en la Comunidad.  </w:t>
      </w:r>
      <w:r w:rsidR="00B246E2" w:rsidRPr="00B246E2">
        <w:rPr>
          <w:rFonts w:ascii="Book Antiqua" w:eastAsia="Times New Roman" w:hAnsi="Book Antiqua" w:cs="AngsanaUPC"/>
          <w:color w:val="0D0D0D"/>
          <w:sz w:val="24"/>
          <w:szCs w:val="24"/>
          <w:lang w:val="es-ES"/>
        </w:rPr>
        <w:t>La Cámara de Representantes</w:t>
      </w:r>
      <w:r w:rsidR="0064111D">
        <w:rPr>
          <w:rFonts w:ascii="Book Antiqua" w:eastAsia="Times New Roman" w:hAnsi="Book Antiqua" w:cs="AngsanaUPC"/>
          <w:color w:val="0D0D0D"/>
          <w:sz w:val="24"/>
          <w:szCs w:val="24"/>
          <w:lang w:val="es-ES"/>
        </w:rPr>
        <w:t xml:space="preserve"> de Puerto Rico, mediante esta investigación,</w:t>
      </w:r>
      <w:r w:rsidR="00B246E2" w:rsidRPr="00B246E2">
        <w:rPr>
          <w:rFonts w:ascii="Book Antiqua" w:eastAsia="Times New Roman" w:hAnsi="Book Antiqua" w:cs="AngsanaUPC"/>
          <w:color w:val="0D0D0D"/>
          <w:sz w:val="24"/>
          <w:szCs w:val="24"/>
          <w:lang w:val="es-ES"/>
        </w:rPr>
        <w:t xml:space="preserve"> tiene la oportunidad de liderar un esfuerzo integral para revertir la escasez de sangre mediante legislación, campañas educativas, alianzas estratégicas y datos confiables para la toma de decisiones.</w:t>
      </w:r>
    </w:p>
    <w:p w14:paraId="77FA68A1" w14:textId="77777777" w:rsidR="004349A5" w:rsidRDefault="004349A5" w:rsidP="008304FF">
      <w:pPr>
        <w:spacing w:after="0" w:line="240" w:lineRule="auto"/>
        <w:jc w:val="both"/>
        <w:rPr>
          <w:rFonts w:ascii="Book Antiqua" w:eastAsia="Times New Roman" w:hAnsi="Book Antiqua"/>
          <w:i/>
          <w:iCs/>
          <w:sz w:val="24"/>
          <w:szCs w:val="24"/>
          <w:lang w:val="es-ES_tradnl"/>
        </w:rPr>
      </w:pPr>
    </w:p>
    <w:p w14:paraId="672D5453" w14:textId="0C5839E3" w:rsidR="003E7820" w:rsidRPr="00683111" w:rsidRDefault="003E7820" w:rsidP="008304FF">
      <w:pPr>
        <w:spacing w:after="0" w:line="480" w:lineRule="auto"/>
        <w:jc w:val="both"/>
        <w:rPr>
          <w:rFonts w:ascii="Book Antiqua" w:eastAsia="Times New Roman" w:hAnsi="Book Antiqua"/>
          <w:sz w:val="24"/>
          <w:szCs w:val="24"/>
          <w:lang w:val="es-ES_tradnl"/>
        </w:rPr>
      </w:pPr>
      <w:r w:rsidRPr="00683111">
        <w:rPr>
          <w:rFonts w:ascii="Book Antiqua" w:eastAsia="Times New Roman" w:hAnsi="Book Antiqua"/>
          <w:i/>
          <w:iCs/>
          <w:sz w:val="24"/>
          <w:szCs w:val="24"/>
          <w:lang w:val="es-ES_tradnl"/>
        </w:rPr>
        <w:t xml:space="preserve">RESUÉLVESE POR LA </w:t>
      </w:r>
      <w:r>
        <w:rPr>
          <w:rFonts w:ascii="Book Antiqua" w:eastAsia="Times New Roman" w:hAnsi="Book Antiqua"/>
          <w:i/>
          <w:iCs/>
          <w:sz w:val="24"/>
          <w:szCs w:val="24"/>
          <w:lang w:val="es-ES_tradnl"/>
        </w:rPr>
        <w:t>CÁMARA DE REPRESENTANTES</w:t>
      </w:r>
      <w:r w:rsidRPr="00683111">
        <w:rPr>
          <w:rFonts w:ascii="Book Antiqua" w:eastAsia="Times New Roman" w:hAnsi="Book Antiqua"/>
          <w:i/>
          <w:iCs/>
          <w:sz w:val="24"/>
          <w:szCs w:val="24"/>
          <w:lang w:val="es-ES_tradnl"/>
        </w:rPr>
        <w:t xml:space="preserve"> DE PUERTO RICO:</w:t>
      </w:r>
      <w:r w:rsidRPr="00683111">
        <w:rPr>
          <w:rFonts w:ascii="Book Antiqua" w:eastAsia="Times New Roman" w:hAnsi="Book Antiqua"/>
          <w:i/>
          <w:sz w:val="24"/>
          <w:szCs w:val="24"/>
          <w:lang w:val="es-ES_tradnl"/>
        </w:rPr>
        <w:t xml:space="preserve"> </w:t>
      </w:r>
    </w:p>
    <w:p w14:paraId="5108F28E" w14:textId="77777777" w:rsidR="003E7820" w:rsidRPr="005A7AF4" w:rsidRDefault="003E7820" w:rsidP="003E7820">
      <w:pPr>
        <w:spacing w:after="0" w:line="240" w:lineRule="auto"/>
        <w:jc w:val="both"/>
        <w:rPr>
          <w:rFonts w:ascii="Book Antiqua" w:eastAsia="Times New Roman" w:hAnsi="Book Antiqua"/>
          <w:sz w:val="24"/>
          <w:szCs w:val="24"/>
          <w:highlight w:val="yellow"/>
          <w:lang w:val="es-ES_tradnl"/>
        </w:rPr>
        <w:sectPr w:rsidR="003E7820" w:rsidRPr="005A7AF4" w:rsidSect="003E7820">
          <w:headerReference w:type="even" r:id="rId9"/>
          <w:headerReference w:type="default" r:id="rId10"/>
          <w:headerReference w:type="first" r:id="rId11"/>
          <w:pgSz w:w="12240" w:h="15840" w:code="1"/>
          <w:pgMar w:top="1440" w:right="1440" w:bottom="1440" w:left="1440" w:header="720" w:footer="720" w:gutter="0"/>
          <w:cols w:space="720"/>
          <w:titlePg/>
          <w:docGrid w:linePitch="360"/>
        </w:sectPr>
      </w:pPr>
    </w:p>
    <w:p w14:paraId="2E10195E" w14:textId="0C95C292" w:rsidR="00C22BBE" w:rsidRPr="00612BCE" w:rsidRDefault="00C22BBE" w:rsidP="00C22BBE">
      <w:pPr>
        <w:widowControl w:val="0"/>
        <w:spacing w:after="0" w:line="480" w:lineRule="auto"/>
        <w:ind w:firstLine="720"/>
        <w:jc w:val="both"/>
        <w:rPr>
          <w:rFonts w:ascii="Book Antiqua" w:eastAsia="MS Mincho" w:hAnsi="Book Antiqua"/>
          <w:sz w:val="24"/>
          <w:szCs w:val="24"/>
          <w:lang w:val="es-PR"/>
        </w:rPr>
      </w:pPr>
      <w:r w:rsidRPr="00612BCE">
        <w:rPr>
          <w:rFonts w:ascii="Book Antiqua" w:eastAsia="MS Mincho" w:hAnsi="Book Antiqua"/>
          <w:sz w:val="24"/>
          <w:szCs w:val="24"/>
          <w:lang w:val="es-PR"/>
        </w:rPr>
        <w:t xml:space="preserve">Sección 1.-Se ordena a la Comisión de Salud </w:t>
      </w:r>
      <w:r w:rsidR="0097684F" w:rsidRPr="00612BCE">
        <w:rPr>
          <w:rFonts w:ascii="Book Antiqua" w:eastAsia="MS Mincho" w:hAnsi="Book Antiqua"/>
          <w:sz w:val="24"/>
          <w:szCs w:val="24"/>
          <w:lang w:val="es-PR"/>
        </w:rPr>
        <w:t xml:space="preserve">de </w:t>
      </w:r>
      <w:r w:rsidRPr="00612BCE">
        <w:rPr>
          <w:rFonts w:ascii="Book Antiqua" w:eastAsia="MS Mincho" w:hAnsi="Book Antiqua"/>
          <w:sz w:val="24"/>
          <w:szCs w:val="24"/>
          <w:lang w:val="es-PR"/>
        </w:rPr>
        <w:t xml:space="preserve">la Cámara de Representantes de Puerto Rico, </w:t>
      </w:r>
      <w:r w:rsidR="00ED09F4">
        <w:rPr>
          <w:rFonts w:ascii="Book Antiqua" w:eastAsia="MS Mincho" w:hAnsi="Book Antiqua"/>
          <w:sz w:val="24"/>
          <w:szCs w:val="24"/>
          <w:lang w:val="es-PR"/>
        </w:rPr>
        <w:t>investigar</w:t>
      </w:r>
      <w:r w:rsidR="00B349BC" w:rsidRPr="00B349BC">
        <w:rPr>
          <w:lang w:val="es-PR"/>
        </w:rPr>
        <w:t xml:space="preserve"> </w:t>
      </w:r>
      <w:r w:rsidR="00B349BC" w:rsidRPr="00B349BC">
        <w:rPr>
          <w:rFonts w:ascii="Book Antiqua" w:eastAsia="MS Mincho" w:hAnsi="Book Antiqua"/>
          <w:sz w:val="24"/>
          <w:szCs w:val="24"/>
          <w:lang w:val="es-PR"/>
        </w:rPr>
        <w:t xml:space="preserve">el cumplimiento por parte de las agencias, municipios, corporaciones públicas e instrumentalidades adscritas al Gobierno con las disposiciones de la Ley del Banco de Sangre del Centro Médico de Puerto Rico, Ley 98-2013. </w:t>
      </w:r>
      <w:r w:rsidR="002D44E9" w:rsidRPr="002D44E9">
        <w:rPr>
          <w:rFonts w:ascii="Book Antiqua" w:eastAsia="MS Mincho" w:hAnsi="Book Antiqua"/>
          <w:sz w:val="24"/>
          <w:szCs w:val="24"/>
          <w:lang w:val="es-PR"/>
        </w:rPr>
        <w:t xml:space="preserve">  </w:t>
      </w:r>
    </w:p>
    <w:p w14:paraId="3AAA06C9" w14:textId="365B2E00" w:rsidR="00C22BBE" w:rsidRPr="00612BCE" w:rsidRDefault="00C22BBE" w:rsidP="00C22BBE">
      <w:pPr>
        <w:widowControl w:val="0"/>
        <w:spacing w:after="0" w:line="480" w:lineRule="auto"/>
        <w:ind w:firstLine="720"/>
        <w:jc w:val="both"/>
        <w:rPr>
          <w:rFonts w:ascii="Book Antiqua" w:eastAsia="MS Mincho" w:hAnsi="Book Antiqua"/>
          <w:sz w:val="24"/>
          <w:szCs w:val="24"/>
          <w:lang w:val="es-PR"/>
        </w:rPr>
      </w:pPr>
      <w:r w:rsidRPr="00612BCE">
        <w:rPr>
          <w:rFonts w:ascii="Book Antiqua" w:eastAsia="MS Mincho" w:hAnsi="Book Antiqua"/>
          <w:sz w:val="24"/>
          <w:szCs w:val="24"/>
          <w:lang w:val="es-PR"/>
        </w:rPr>
        <w:t xml:space="preserve">Sección 2.-La Comisión rendirá un Informe con sus hallazgos, conclusiones y recomendaciones, </w:t>
      </w:r>
      <w:r w:rsidR="009F54BF" w:rsidRPr="00612BCE">
        <w:rPr>
          <w:rFonts w:ascii="Book Antiqua" w:eastAsia="MS Mincho" w:hAnsi="Book Antiqua"/>
          <w:sz w:val="24"/>
          <w:szCs w:val="24"/>
          <w:lang w:val="es-PR"/>
        </w:rPr>
        <w:t xml:space="preserve">dentro del término de ciento ochenta (180) días, contados a partir de la aprobación de esta </w:t>
      </w:r>
      <w:r w:rsidR="00404A06" w:rsidRPr="00612BCE">
        <w:rPr>
          <w:rFonts w:ascii="Book Antiqua" w:eastAsia="MS Mincho" w:hAnsi="Book Antiqua"/>
          <w:sz w:val="24"/>
          <w:szCs w:val="24"/>
          <w:lang w:val="es-PR"/>
        </w:rPr>
        <w:t>Resolución</w:t>
      </w:r>
      <w:r w:rsidRPr="00612BCE">
        <w:rPr>
          <w:rFonts w:ascii="Book Antiqua" w:eastAsia="MS Mincho" w:hAnsi="Book Antiqua"/>
          <w:sz w:val="24"/>
          <w:szCs w:val="24"/>
          <w:lang w:val="es-PR"/>
        </w:rPr>
        <w:t>.</w:t>
      </w:r>
    </w:p>
    <w:p w14:paraId="714746C8" w14:textId="27D32C7B" w:rsidR="00D056D7" w:rsidRPr="00612BCE" w:rsidRDefault="00C22BBE" w:rsidP="00C22BBE">
      <w:pPr>
        <w:widowControl w:val="0"/>
        <w:spacing w:after="0" w:line="480" w:lineRule="auto"/>
        <w:ind w:firstLine="720"/>
        <w:jc w:val="both"/>
        <w:rPr>
          <w:rFonts w:ascii="Book Antiqua" w:eastAsia="MS Mincho" w:hAnsi="Book Antiqua"/>
          <w:sz w:val="24"/>
          <w:szCs w:val="24"/>
          <w:lang w:val="es-ES_tradnl"/>
        </w:rPr>
      </w:pPr>
      <w:r w:rsidRPr="00612BCE">
        <w:rPr>
          <w:rFonts w:ascii="Book Antiqua" w:eastAsia="MS Mincho" w:hAnsi="Book Antiqua"/>
          <w:sz w:val="24"/>
          <w:szCs w:val="24"/>
          <w:lang w:val="es-PR"/>
        </w:rPr>
        <w:t>Sección 3.-Esta Resolución comenzará a regir inmediatamente después de su aprobación.</w:t>
      </w:r>
    </w:p>
    <w:sectPr w:rsidR="00D056D7" w:rsidRPr="00612BCE" w:rsidSect="003E7820">
      <w:headerReference w:type="even" r:id="rId12"/>
      <w:headerReference w:type="default" r:id="rId13"/>
      <w:footnotePr>
        <w:numRestart w:val="eachPage"/>
      </w:footnotePr>
      <w:endnotePr>
        <w:numFmt w:val="decimal"/>
      </w:endnotePr>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14F394" w14:textId="77777777" w:rsidR="00BC5CCF" w:rsidRDefault="00BC5CCF">
      <w:pPr>
        <w:spacing w:after="0" w:line="240" w:lineRule="auto"/>
      </w:pPr>
      <w:r>
        <w:separator/>
      </w:r>
    </w:p>
  </w:endnote>
  <w:endnote w:type="continuationSeparator" w:id="0">
    <w:p w14:paraId="6742E7AB" w14:textId="77777777" w:rsidR="00BC5CCF" w:rsidRDefault="00BC5C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ngsanaUPC">
    <w:charset w:val="DE"/>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7529ED" w14:textId="77777777" w:rsidR="00BC5CCF" w:rsidRDefault="00BC5CCF">
      <w:pPr>
        <w:spacing w:after="0" w:line="240" w:lineRule="auto"/>
      </w:pPr>
      <w:r>
        <w:separator/>
      </w:r>
    </w:p>
  </w:footnote>
  <w:footnote w:type="continuationSeparator" w:id="0">
    <w:p w14:paraId="5D90D158" w14:textId="77777777" w:rsidR="00BC5CCF" w:rsidRDefault="00BC5C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03924" w14:textId="77777777" w:rsidR="00002690" w:rsidRDefault="00002690" w:rsidP="00D03BD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D5CBB7F" w14:textId="77777777" w:rsidR="00002690" w:rsidRDefault="0000269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C17B7" w14:textId="77777777" w:rsidR="00002690" w:rsidRDefault="00002690" w:rsidP="00D03BD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22C6AE82" w14:textId="77777777" w:rsidR="00002690" w:rsidRDefault="0000269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608473" w14:textId="7DA1E78E" w:rsidR="00F365F8" w:rsidRPr="00F365F8" w:rsidRDefault="00F365F8" w:rsidP="00F365F8">
    <w:pPr>
      <w:pStyle w:val="Header"/>
      <w:jc w:val="center"/>
      <w:rPr>
        <w:rFonts w:ascii="Book Antiqua" w:hAnsi="Book Antiqua"/>
        <w:sz w:val="24"/>
        <w:szCs w:val="2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8FC759" w14:textId="13DC07D2" w:rsidR="00002690" w:rsidRDefault="0000269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22BBE">
      <w:rPr>
        <w:rStyle w:val="PageNumber"/>
        <w:noProof/>
      </w:rPr>
      <w:t>3</w:t>
    </w:r>
    <w:r>
      <w:rPr>
        <w:rStyle w:val="PageNumber"/>
      </w:rPr>
      <w:fldChar w:fldCharType="end"/>
    </w:r>
  </w:p>
  <w:p w14:paraId="60DF59C0" w14:textId="77777777" w:rsidR="00002690" w:rsidRDefault="0000269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35A31" w14:textId="77777777" w:rsidR="00002690" w:rsidRDefault="0000269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2C87C179" w14:textId="68CAA78D" w:rsidR="00002690" w:rsidRDefault="003E7820">
    <w:r>
      <w:rPr>
        <w:noProof/>
      </w:rPr>
      <mc:AlternateContent>
        <mc:Choice Requires="wps">
          <w:drawing>
            <wp:anchor distT="0" distB="0" distL="114300" distR="114300" simplePos="0" relativeHeight="251659264" behindDoc="0" locked="0" layoutInCell="0" allowOverlap="1" wp14:anchorId="0F7C6CE3" wp14:editId="590D282A">
              <wp:simplePos x="0" y="0"/>
              <wp:positionH relativeFrom="margin">
                <wp:posOffset>0</wp:posOffset>
              </wp:positionH>
              <wp:positionV relativeFrom="paragraph">
                <wp:posOffset>-914400</wp:posOffset>
              </wp:positionV>
              <wp:extent cx="5943600" cy="152400"/>
              <wp:effectExtent l="0" t="0" r="0" b="0"/>
              <wp:wrapNone/>
              <wp:docPr id="209714925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52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69FFC8" w14:textId="77777777" w:rsidR="00002690" w:rsidRDefault="00002690">
                          <w:pPr>
                            <w:rPr>
                              <w:sz w:val="24"/>
                            </w:rPr>
                          </w:pPr>
                        </w:p>
                        <w:p w14:paraId="048661CB" w14:textId="77777777" w:rsidR="00002690" w:rsidRDefault="00002690">
                          <w:pPr>
                            <w:tabs>
                              <w:tab w:val="left" w:pos="0"/>
                              <w:tab w:val="center" w:pos="4680"/>
                              <w:tab w:val="right" w:pos="9360"/>
                            </w:tabs>
                            <w:rPr>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7C6CE3" id="_x0000_t202" coordsize="21600,21600" o:spt="202" path="m,l,21600r21600,l21600,xe">
              <v:stroke joinstyle="miter"/>
              <v:path gradientshapeok="t" o:connecttype="rect"/>
            </v:shapetype>
            <v:shape id="Text Box 1" o:spid="_x0000_s1026" type="#_x0000_t202" style="position:absolute;margin-left:0;margin-top:-1in;width:468pt;height:1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" o:allowincell="f" stroked="f">
              <v:textbox>
                <w:txbxContent>
                  <w:p w14:paraId="3369FFC8" w14:textId="77777777" w:rsidR="00002690" w:rsidRDefault="00002690">
                    <w:pPr>
                      <w:rPr>
                        <w:sz w:val="24"/>
                      </w:rPr>
                    </w:pPr>
                  </w:p>
                  <w:p w14:paraId="048661CB" w14:textId="77777777" w:rsidR="00002690" w:rsidRDefault="00002690">
                    <w:pPr>
                      <w:tabs>
                        <w:tab w:val="left" w:pos="0"/>
                        <w:tab w:val="center" w:pos="4680"/>
                        <w:tab w:val="right" w:pos="9360"/>
                      </w:tabs>
                      <w:rPr>
                        <w:sz w:val="24"/>
                      </w:rPr>
                    </w:pPr>
                  </w:p>
                </w:txbxContent>
              </v:textbox>
              <w10:wrap anchorx="margin"/>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1FBC"/>
    <w:rsid w:val="00002690"/>
    <w:rsid w:val="00044E58"/>
    <w:rsid w:val="00066438"/>
    <w:rsid w:val="0010413C"/>
    <w:rsid w:val="00140BBA"/>
    <w:rsid w:val="00247D30"/>
    <w:rsid w:val="002D44E9"/>
    <w:rsid w:val="003164CA"/>
    <w:rsid w:val="00324A2A"/>
    <w:rsid w:val="003612D4"/>
    <w:rsid w:val="003C1366"/>
    <w:rsid w:val="003C65C8"/>
    <w:rsid w:val="003D68CC"/>
    <w:rsid w:val="003E7820"/>
    <w:rsid w:val="00404A06"/>
    <w:rsid w:val="00431397"/>
    <w:rsid w:val="004349A5"/>
    <w:rsid w:val="00466652"/>
    <w:rsid w:val="0049745A"/>
    <w:rsid w:val="004C7202"/>
    <w:rsid w:val="00521E8B"/>
    <w:rsid w:val="005253C3"/>
    <w:rsid w:val="0054505E"/>
    <w:rsid w:val="0055262D"/>
    <w:rsid w:val="00580ABA"/>
    <w:rsid w:val="00592027"/>
    <w:rsid w:val="00612BCE"/>
    <w:rsid w:val="0064111D"/>
    <w:rsid w:val="00654081"/>
    <w:rsid w:val="00654548"/>
    <w:rsid w:val="006C05FD"/>
    <w:rsid w:val="006D7F2B"/>
    <w:rsid w:val="00721FBC"/>
    <w:rsid w:val="00752FAF"/>
    <w:rsid w:val="0075695E"/>
    <w:rsid w:val="00774512"/>
    <w:rsid w:val="007C6FED"/>
    <w:rsid w:val="007F537A"/>
    <w:rsid w:val="008304FF"/>
    <w:rsid w:val="00907DEC"/>
    <w:rsid w:val="0092477E"/>
    <w:rsid w:val="0097684F"/>
    <w:rsid w:val="00995861"/>
    <w:rsid w:val="009D768D"/>
    <w:rsid w:val="009F447A"/>
    <w:rsid w:val="009F54BF"/>
    <w:rsid w:val="00A27D28"/>
    <w:rsid w:val="00A47AFF"/>
    <w:rsid w:val="00A6433F"/>
    <w:rsid w:val="00A64923"/>
    <w:rsid w:val="00AA36FD"/>
    <w:rsid w:val="00AC1DBC"/>
    <w:rsid w:val="00B246E2"/>
    <w:rsid w:val="00B25EEC"/>
    <w:rsid w:val="00B30458"/>
    <w:rsid w:val="00B349BC"/>
    <w:rsid w:val="00B96B8F"/>
    <w:rsid w:val="00BB28E4"/>
    <w:rsid w:val="00BC5CCF"/>
    <w:rsid w:val="00BE0CF7"/>
    <w:rsid w:val="00BE347E"/>
    <w:rsid w:val="00C22BBE"/>
    <w:rsid w:val="00C46478"/>
    <w:rsid w:val="00C6401A"/>
    <w:rsid w:val="00C67D94"/>
    <w:rsid w:val="00C912E5"/>
    <w:rsid w:val="00CD6646"/>
    <w:rsid w:val="00D056D7"/>
    <w:rsid w:val="00D41374"/>
    <w:rsid w:val="00D52354"/>
    <w:rsid w:val="00D76276"/>
    <w:rsid w:val="00DA4FF8"/>
    <w:rsid w:val="00DC0980"/>
    <w:rsid w:val="00DF1EE2"/>
    <w:rsid w:val="00DF3963"/>
    <w:rsid w:val="00E029BD"/>
    <w:rsid w:val="00E21FE6"/>
    <w:rsid w:val="00E4126E"/>
    <w:rsid w:val="00E43A92"/>
    <w:rsid w:val="00E60313"/>
    <w:rsid w:val="00EC61EE"/>
    <w:rsid w:val="00ED09F4"/>
    <w:rsid w:val="00F23242"/>
    <w:rsid w:val="00F365F8"/>
    <w:rsid w:val="00F92E41"/>
    <w:rsid w:val="00FA25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1511BF"/>
  <w15:chartTrackingRefBased/>
  <w15:docId w15:val="{84AF0D26-0CD3-46A6-BD52-B463C2ED8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7820"/>
    <w:rPr>
      <w:rFonts w:ascii="Calibri" w:eastAsia="Calibri" w:hAnsi="Calibri" w:cs="Times New Roman"/>
      <w:kern w:val="0"/>
      <w14:ligatures w14:val="none"/>
    </w:rPr>
  </w:style>
  <w:style w:type="paragraph" w:styleId="Heading1">
    <w:name w:val="heading 1"/>
    <w:basedOn w:val="Normal"/>
    <w:next w:val="Normal"/>
    <w:link w:val="Heading1Char"/>
    <w:uiPriority w:val="9"/>
    <w:qFormat/>
    <w:rsid w:val="00721F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1F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1F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1F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1F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1F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1F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1F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1F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1F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1F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1F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1F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1F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1F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1F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1F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1FBC"/>
    <w:rPr>
      <w:rFonts w:eastAsiaTheme="majorEastAsia" w:cstheme="majorBidi"/>
      <w:color w:val="272727" w:themeColor="text1" w:themeTint="D8"/>
    </w:rPr>
  </w:style>
  <w:style w:type="paragraph" w:styleId="Title">
    <w:name w:val="Title"/>
    <w:basedOn w:val="Normal"/>
    <w:next w:val="Normal"/>
    <w:link w:val="TitleChar"/>
    <w:uiPriority w:val="10"/>
    <w:qFormat/>
    <w:rsid w:val="00721F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1F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1F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1F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1FBC"/>
    <w:pPr>
      <w:spacing w:before="160"/>
      <w:jc w:val="center"/>
    </w:pPr>
    <w:rPr>
      <w:i/>
      <w:iCs/>
      <w:color w:val="404040" w:themeColor="text1" w:themeTint="BF"/>
    </w:rPr>
  </w:style>
  <w:style w:type="character" w:customStyle="1" w:styleId="QuoteChar">
    <w:name w:val="Quote Char"/>
    <w:basedOn w:val="DefaultParagraphFont"/>
    <w:link w:val="Quote"/>
    <w:uiPriority w:val="29"/>
    <w:rsid w:val="00721FBC"/>
    <w:rPr>
      <w:i/>
      <w:iCs/>
      <w:color w:val="404040" w:themeColor="text1" w:themeTint="BF"/>
    </w:rPr>
  </w:style>
  <w:style w:type="paragraph" w:styleId="ListParagraph">
    <w:name w:val="List Paragraph"/>
    <w:basedOn w:val="Normal"/>
    <w:uiPriority w:val="34"/>
    <w:qFormat/>
    <w:rsid w:val="00721FBC"/>
    <w:pPr>
      <w:ind w:left="720"/>
      <w:contextualSpacing/>
    </w:pPr>
  </w:style>
  <w:style w:type="character" w:styleId="IntenseEmphasis">
    <w:name w:val="Intense Emphasis"/>
    <w:basedOn w:val="DefaultParagraphFont"/>
    <w:uiPriority w:val="21"/>
    <w:qFormat/>
    <w:rsid w:val="00721FBC"/>
    <w:rPr>
      <w:i/>
      <w:iCs/>
      <w:color w:val="0F4761" w:themeColor="accent1" w:themeShade="BF"/>
    </w:rPr>
  </w:style>
  <w:style w:type="paragraph" w:styleId="IntenseQuote">
    <w:name w:val="Intense Quote"/>
    <w:basedOn w:val="Normal"/>
    <w:next w:val="Normal"/>
    <w:link w:val="IntenseQuoteChar"/>
    <w:uiPriority w:val="30"/>
    <w:qFormat/>
    <w:rsid w:val="00721F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1FBC"/>
    <w:rPr>
      <w:i/>
      <w:iCs/>
      <w:color w:val="0F4761" w:themeColor="accent1" w:themeShade="BF"/>
    </w:rPr>
  </w:style>
  <w:style w:type="character" w:styleId="IntenseReference">
    <w:name w:val="Intense Reference"/>
    <w:basedOn w:val="DefaultParagraphFont"/>
    <w:uiPriority w:val="32"/>
    <w:qFormat/>
    <w:rsid w:val="00721FBC"/>
    <w:rPr>
      <w:b/>
      <w:bCs/>
      <w:smallCaps/>
      <w:color w:val="0F4761" w:themeColor="accent1" w:themeShade="BF"/>
      <w:spacing w:val="5"/>
    </w:rPr>
  </w:style>
  <w:style w:type="paragraph" w:styleId="Header">
    <w:name w:val="header"/>
    <w:basedOn w:val="Normal"/>
    <w:link w:val="HeaderChar"/>
    <w:uiPriority w:val="99"/>
    <w:unhideWhenUsed/>
    <w:rsid w:val="003E78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7820"/>
    <w:rPr>
      <w:rFonts w:ascii="Calibri" w:eastAsia="Calibri" w:hAnsi="Calibri" w:cs="Times New Roman"/>
      <w:kern w:val="0"/>
      <w:lang w:val="en-US"/>
      <w14:ligatures w14:val="none"/>
    </w:rPr>
  </w:style>
  <w:style w:type="character" w:styleId="PageNumber">
    <w:name w:val="page number"/>
    <w:basedOn w:val="DefaultParagraphFont"/>
    <w:rsid w:val="003E7820"/>
  </w:style>
  <w:style w:type="paragraph" w:styleId="BodyTextIndent2">
    <w:name w:val="Body Text Indent 2"/>
    <w:basedOn w:val="Normal"/>
    <w:link w:val="BodyTextIndent2Char"/>
    <w:uiPriority w:val="99"/>
    <w:rsid w:val="003E7820"/>
    <w:pPr>
      <w:widowControl w:val="0"/>
      <w:spacing w:after="120" w:line="480" w:lineRule="auto"/>
      <w:ind w:left="360"/>
    </w:pPr>
    <w:rPr>
      <w:rFonts w:ascii="Times New Roman" w:eastAsia="MS Mincho" w:hAnsi="Times New Roman"/>
      <w:sz w:val="20"/>
      <w:szCs w:val="20"/>
    </w:rPr>
  </w:style>
  <w:style w:type="character" w:customStyle="1" w:styleId="BodyTextIndent2Char">
    <w:name w:val="Body Text Indent 2 Char"/>
    <w:basedOn w:val="DefaultParagraphFont"/>
    <w:link w:val="BodyTextIndent2"/>
    <w:uiPriority w:val="99"/>
    <w:rsid w:val="003E7820"/>
    <w:rPr>
      <w:rFonts w:ascii="Times New Roman" w:eastAsia="MS Mincho" w:hAnsi="Times New Roman" w:cs="Times New Roman"/>
      <w:kern w:val="0"/>
      <w:sz w:val="20"/>
      <w:szCs w:val="20"/>
      <w:lang w:val="en-US"/>
      <w14:ligatures w14:val="none"/>
    </w:rPr>
  </w:style>
  <w:style w:type="character" w:styleId="LineNumber">
    <w:name w:val="line number"/>
    <w:basedOn w:val="DefaultParagraphFont"/>
    <w:uiPriority w:val="99"/>
    <w:semiHidden/>
    <w:unhideWhenUsed/>
    <w:rsid w:val="003E7820"/>
  </w:style>
  <w:style w:type="paragraph" w:styleId="Footer">
    <w:name w:val="footer"/>
    <w:basedOn w:val="Normal"/>
    <w:link w:val="FooterChar"/>
    <w:uiPriority w:val="99"/>
    <w:unhideWhenUsed/>
    <w:rsid w:val="00F365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65F8"/>
    <w:rPr>
      <w:rFonts w:ascii="Calibri" w:eastAsia="Calibri" w:hAnsi="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0980592">
      <w:bodyDiv w:val="1"/>
      <w:marLeft w:val="0"/>
      <w:marRight w:val="0"/>
      <w:marTop w:val="0"/>
      <w:marBottom w:val="0"/>
      <w:divBdr>
        <w:top w:val="none" w:sz="0" w:space="0" w:color="auto"/>
        <w:left w:val="none" w:sz="0" w:space="0" w:color="auto"/>
        <w:bottom w:val="none" w:sz="0" w:space="0" w:color="auto"/>
        <w:right w:val="none" w:sz="0" w:space="0" w:color="auto"/>
      </w:divBdr>
    </w:div>
    <w:div w:id="2013097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5.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4.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6EC4548D9B7A147ACBF4A48EC93BABF" ma:contentTypeVersion="8" ma:contentTypeDescription="Create a new document." ma:contentTypeScope="" ma:versionID="03ebc2ffddcd6250518ab00d16c8fb59">
  <xsd:schema xmlns:xsd="http://www.w3.org/2001/XMLSchema" xmlns:xs="http://www.w3.org/2001/XMLSchema" xmlns:p="http://schemas.microsoft.com/office/2006/metadata/properties" xmlns:ns3="92f57704-3039-4ebf-ac81-f8b12810bd0e" xmlns:ns4="f98376c4-2382-4917-8550-2b1a451c8c43" targetNamespace="http://schemas.microsoft.com/office/2006/metadata/properties" ma:root="true" ma:fieldsID="480b3c1d65600d7d982767bfad0b80c8" ns3:_="" ns4:_="">
    <xsd:import namespace="92f57704-3039-4ebf-ac81-f8b12810bd0e"/>
    <xsd:import namespace="f98376c4-2382-4917-8550-2b1a451c8c43"/>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f57704-3039-4ebf-ac81-f8b12810bd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8376c4-2382-4917-8550-2b1a451c8c43"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92f57704-3039-4ebf-ac81-f8b12810bd0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E20EE6D-A2AF-441A-AA88-CC25581959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f57704-3039-4ebf-ac81-f8b12810bd0e"/>
    <ds:schemaRef ds:uri="f98376c4-2382-4917-8550-2b1a451c8c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9915B40-49BB-4ED5-9BA2-554F091D4320}">
  <ds:schemaRefs>
    <ds:schemaRef ds:uri="http://schemas.microsoft.com/office/2006/metadata/properties"/>
    <ds:schemaRef ds:uri="http://schemas.microsoft.com/office/infopath/2007/PartnerControls"/>
    <ds:schemaRef ds:uri="92f57704-3039-4ebf-ac81-f8b12810bd0e"/>
  </ds:schemaRefs>
</ds:datastoreItem>
</file>

<file path=customXml/itemProps3.xml><?xml version="1.0" encoding="utf-8"?>
<ds:datastoreItem xmlns:ds="http://schemas.openxmlformats.org/officeDocument/2006/customXml" ds:itemID="{52AD1D2F-092B-4EEE-BB3A-86FA04B859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921</Words>
  <Characters>5261</Characters>
  <Application>Microsoft Office Word</Application>
  <DocSecurity>0</DocSecurity>
  <Lines>43</Lines>
  <Paragraphs>12</Paragraphs>
  <ScaleCrop>false</ScaleCrop>
  <Company/>
  <LinksUpToDate>false</LinksUpToDate>
  <CharactersWithSpaces>6170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LCDO JEZER MULERO</dc:creator>
  <cp:keywords/>
  <dc:description/>
  <cp:lastModifiedBy>Gladys J. Burgos Torres</cp:lastModifiedBy>
  <cp:revision>3</cp:revision>
  <cp:lastPrinted>2025-03-24T15:35:00Z</cp:lastPrinted>
  <dcterms:created xsi:type="dcterms:W3CDTF">2025-09-10T15:21:00Z</dcterms:created>
  <dcterms:modified xsi:type="dcterms:W3CDTF">2025-09-10T17:02:00Z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a227dc49de915c331059888da39a5fbb9b67f65eef6d7327ae78be6a28671bf3</vt:lpwstr>
  </property>
  <property fmtid="{D5CDD505-2E9C-101B-9397-08002B2CF9AE}" pid="3" name="ContentTypeId">
    <vt:lpwstr>0x01010066EC4548D9B7A147ACBF4A48EC93BABF</vt:lpwstr>
  </property>
</Properties>
</file>