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265B5E2"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0B4DDF">
        <w:rPr>
          <w:rFonts w:ascii="Book Antiqua" w:eastAsia="Times New Roman" w:hAnsi="Book Antiqua"/>
        </w:rPr>
        <w:t>2d</w:t>
      </w:r>
      <w:r w:rsidR="0088762E" w:rsidRPr="009B07A7">
        <w:rPr>
          <w:rFonts w:ascii="Book Antiqua" w:eastAsia="Times New Roman" w:hAnsi="Book Antiqua"/>
        </w:rPr>
        <w:t xml:space="preserve">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210DAFE3"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A21350">
        <w:rPr>
          <w:rFonts w:ascii="Book Antiqua" w:eastAsia="Times New Roman" w:hAnsi="Book Antiqua"/>
          <w:b/>
          <w:sz w:val="52"/>
          <w:szCs w:val="52"/>
        </w:rPr>
        <w:t xml:space="preserve"> 433</w:t>
      </w:r>
    </w:p>
    <w:p w14:paraId="3E9B2539" w14:textId="77777777" w:rsidR="0088762E" w:rsidRPr="009B07A7" w:rsidRDefault="0088762E" w:rsidP="00A80A24">
      <w:pPr>
        <w:jc w:val="center"/>
        <w:rPr>
          <w:rFonts w:ascii="Book Antiqua" w:eastAsia="Times New Roman" w:hAnsi="Book Antiqua"/>
          <w:szCs w:val="24"/>
        </w:rPr>
      </w:pPr>
    </w:p>
    <w:p w14:paraId="60EFCF7A" w14:textId="37EDEDBB" w:rsidR="0088762E" w:rsidRPr="009B07A7" w:rsidRDefault="000B4DDF" w:rsidP="00A80A24">
      <w:pPr>
        <w:jc w:val="center"/>
        <w:rPr>
          <w:rFonts w:ascii="Book Antiqua" w:eastAsia="Times New Roman" w:hAnsi="Book Antiqua"/>
        </w:rPr>
      </w:pPr>
      <w:r>
        <w:rPr>
          <w:rFonts w:ascii="Book Antiqua" w:eastAsia="Times New Roman" w:hAnsi="Book Antiqua"/>
        </w:rPr>
        <w:t xml:space="preserve">15 </w:t>
      </w:r>
      <w:r w:rsidR="00BD5B62" w:rsidRPr="009B07A7">
        <w:rPr>
          <w:rFonts w:ascii="Book Antiqua" w:eastAsia="Times New Roman" w:hAnsi="Book Antiqua"/>
        </w:rPr>
        <w:t xml:space="preserve">DE </w:t>
      </w:r>
      <w:r>
        <w:rPr>
          <w:rFonts w:ascii="Book Antiqua" w:eastAsia="Times New Roman" w:hAnsi="Book Antiqua"/>
        </w:rPr>
        <w:t>SEPTIEMBRE</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39AEEEC3"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895ED8">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23547C" w:rsidRDefault="00A80A24" w:rsidP="00A80A24">
      <w:pPr>
        <w:jc w:val="center"/>
        <w:rPr>
          <w:rFonts w:ascii="Book Antiqua" w:eastAsia="Times New Roman" w:hAnsi="Book Antiqua"/>
          <w:b/>
          <w:szCs w:val="24"/>
        </w:rPr>
      </w:pPr>
    </w:p>
    <w:p w14:paraId="037E66EC" w14:textId="78F08241" w:rsidR="00A80A24" w:rsidRPr="00F51C84" w:rsidRDefault="000F5746" w:rsidP="00F51C84">
      <w:pPr>
        <w:ind w:left="600" w:hanging="60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0F5746">
        <w:rPr>
          <w:rFonts w:ascii="Book Antiqua" w:hAnsi="Book Antiqua"/>
        </w:rPr>
        <w:t xml:space="preserve">Para ordenar a la Comisión de Turismo y a la Comisión </w:t>
      </w:r>
      <w:r w:rsidR="001A0CCB">
        <w:rPr>
          <w:rFonts w:ascii="Book Antiqua" w:hAnsi="Book Antiqua"/>
        </w:rPr>
        <w:t>de Recursos Naturales</w:t>
      </w:r>
      <w:r w:rsidRPr="000F5746">
        <w:rPr>
          <w:rFonts w:ascii="Book Antiqua" w:hAnsi="Book Antiqua"/>
        </w:rPr>
        <w:t xml:space="preserve"> de la Cámara de Representantes de Puerto Rico realizar una investigación sobre el estado actual del islote Caja de Muertos y su impacto en el desarrollo turístico sostenible de</w:t>
      </w:r>
      <w:r>
        <w:rPr>
          <w:rFonts w:ascii="Book Antiqua" w:hAnsi="Book Antiqua"/>
        </w:rPr>
        <w:t xml:space="preserve"> </w:t>
      </w:r>
      <w:r w:rsidRPr="000F5746">
        <w:rPr>
          <w:rFonts w:ascii="Book Antiqua" w:hAnsi="Book Antiqua"/>
        </w:rPr>
        <w:t>Ponce</w:t>
      </w:r>
      <w:r>
        <w:rPr>
          <w:rFonts w:ascii="Book Antiqua" w:hAnsi="Book Antiqua"/>
        </w:rPr>
        <w:t xml:space="preserve"> y la región sur</w:t>
      </w:r>
      <w:r w:rsidRPr="000F5746">
        <w:rPr>
          <w:rFonts w:ascii="Book Antiqua" w:hAnsi="Book Antiqua"/>
        </w:rPr>
        <w:t>; y para otros fines relacionados.</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33941E59" w14:textId="515E9EC6" w:rsidR="000F5746" w:rsidRPr="000F5746" w:rsidRDefault="000F5746" w:rsidP="000F5746">
      <w:pPr>
        <w:ind w:firstLine="600"/>
        <w:jc w:val="both"/>
        <w:rPr>
          <w:rFonts w:ascii="Book Antiqua" w:hAnsi="Book Antiqua"/>
        </w:rPr>
      </w:pPr>
      <w:r w:rsidRPr="000F5746">
        <w:rPr>
          <w:rFonts w:ascii="Book Antiqua" w:hAnsi="Book Antiqua"/>
        </w:rPr>
        <w:t>Caja de Muertos, un islote de aproximadamente 412 cuerdas, se encuentra a ocho (8) millas náuticas al sur de la costa de Ponce y forma parte de las reservas naturales que administra el Departamento de Recursos Naturales y Ambientales (DRNA). Su alto valor ecológico incluye la presencia de especies en peligro de extinción como el manatí antillano, tortugas marinas y aves migratorias, así como arrecifes de coral, bosques secos, praderas de hierbas marinas y un faro histórico construido en 1887.</w:t>
      </w:r>
    </w:p>
    <w:p w14:paraId="545D186B" w14:textId="77777777" w:rsidR="000F5746" w:rsidRPr="000F5746" w:rsidRDefault="000F5746" w:rsidP="000F5746">
      <w:pPr>
        <w:ind w:firstLine="600"/>
        <w:jc w:val="both"/>
        <w:rPr>
          <w:rFonts w:ascii="Book Antiqua" w:hAnsi="Book Antiqua"/>
        </w:rPr>
      </w:pPr>
    </w:p>
    <w:p w14:paraId="127EA3C8" w14:textId="3169C6A0" w:rsidR="000F5746" w:rsidRPr="000F5746" w:rsidRDefault="000F5746" w:rsidP="000F5746">
      <w:pPr>
        <w:ind w:firstLine="600"/>
        <w:jc w:val="both"/>
        <w:rPr>
          <w:rFonts w:ascii="Book Antiqua" w:hAnsi="Book Antiqua"/>
        </w:rPr>
      </w:pPr>
      <w:r w:rsidRPr="000F5746">
        <w:rPr>
          <w:rFonts w:ascii="Book Antiqua" w:hAnsi="Book Antiqua"/>
        </w:rPr>
        <w:t xml:space="preserve">Además de su importancia ambiental, Caja de Muertos representa un atractivo turístico de calibre internacional, en especial por la playa Pelícano, reconocida en el pasado con la clasificación de Bandera Azul por su limpieza y calidad ambiental. Durante años, la isla fue escenario de excursiones recreativas y visitas coordinadas desde el </w:t>
      </w:r>
      <w:r>
        <w:rPr>
          <w:rFonts w:ascii="Book Antiqua" w:hAnsi="Book Antiqua"/>
        </w:rPr>
        <w:t>M</w:t>
      </w:r>
      <w:r w:rsidRPr="000F5746">
        <w:rPr>
          <w:rFonts w:ascii="Book Antiqua" w:hAnsi="Book Antiqua"/>
        </w:rPr>
        <w:t>unicipio de Ponce, promoviendo así su integración al desarrollo económico y turístico del sur.</w:t>
      </w:r>
    </w:p>
    <w:p w14:paraId="1F5DDA25" w14:textId="77777777" w:rsidR="000F5746" w:rsidRPr="000F5746" w:rsidRDefault="000F5746" w:rsidP="000F5746">
      <w:pPr>
        <w:ind w:firstLine="600"/>
        <w:jc w:val="both"/>
        <w:rPr>
          <w:rFonts w:ascii="Book Antiqua" w:hAnsi="Book Antiqua"/>
        </w:rPr>
      </w:pPr>
    </w:p>
    <w:p w14:paraId="6E86708A" w14:textId="77777777" w:rsidR="000F5746" w:rsidRPr="000F5746" w:rsidRDefault="000F5746" w:rsidP="000F5746">
      <w:pPr>
        <w:ind w:firstLine="600"/>
        <w:jc w:val="both"/>
        <w:rPr>
          <w:rFonts w:ascii="Book Antiqua" w:hAnsi="Book Antiqua"/>
        </w:rPr>
      </w:pPr>
      <w:r w:rsidRPr="000F5746">
        <w:rPr>
          <w:rFonts w:ascii="Book Antiqua" w:hAnsi="Book Antiqua"/>
        </w:rPr>
        <w:t xml:space="preserve">No obstante, tras los eventos atmosféricos y sísmicos ocurridos en 2017 y 2020, la isla ha sufrido deterioro y abandono. Denuncias recientes apuntan a la falta de vigilancia efectiva, el deterioro de instalaciones, el uso indebido de embarcaciones, actos de </w:t>
      </w:r>
      <w:r w:rsidRPr="000F5746">
        <w:rPr>
          <w:rFonts w:ascii="Book Antiqua" w:hAnsi="Book Antiqua"/>
        </w:rPr>
        <w:lastRenderedPageBreak/>
        <w:t>vandalismo, pesca ilegal, acampamientos no autorizados, y otros incidentes que comprometen tanto la conservación del recurso como su potencial turístico.</w:t>
      </w:r>
    </w:p>
    <w:p w14:paraId="369859B1" w14:textId="77777777" w:rsidR="000F5746" w:rsidRPr="000F5746" w:rsidRDefault="000F5746" w:rsidP="000F5746">
      <w:pPr>
        <w:ind w:firstLine="600"/>
        <w:jc w:val="both"/>
        <w:rPr>
          <w:rFonts w:ascii="Book Antiqua" w:hAnsi="Book Antiqua"/>
        </w:rPr>
      </w:pPr>
    </w:p>
    <w:p w14:paraId="0DB5A303" w14:textId="6599F4F9" w:rsidR="000F5746" w:rsidRPr="000F5746" w:rsidRDefault="000F5746" w:rsidP="000F5746">
      <w:pPr>
        <w:ind w:firstLine="600"/>
        <w:jc w:val="both"/>
        <w:rPr>
          <w:rFonts w:ascii="Book Antiqua" w:hAnsi="Book Antiqua"/>
        </w:rPr>
      </w:pPr>
      <w:r w:rsidRPr="000F5746">
        <w:rPr>
          <w:rFonts w:ascii="Book Antiqua" w:hAnsi="Book Antiqua"/>
        </w:rPr>
        <w:t xml:space="preserve">La falta de acción concreta por parte de las agencias estatales responsables, sumado a la ausencia de un plan coordinado para su reactivación como destino ecoturístico sostenible, agrava la situación. Esto contrasta con el crecimiento del turismo en Ponce, reflejado en la llegada de </w:t>
      </w:r>
      <w:r>
        <w:rPr>
          <w:rFonts w:ascii="Book Antiqua" w:hAnsi="Book Antiqua"/>
        </w:rPr>
        <w:t xml:space="preserve">mega </w:t>
      </w:r>
      <w:r w:rsidRPr="000F5746">
        <w:rPr>
          <w:rFonts w:ascii="Book Antiqua" w:hAnsi="Book Antiqua"/>
        </w:rPr>
        <w:t>cruceros al puerto, vuelos directos a la ciudad y los esfuerzos municipales para atraer visitantes. Integrar nuevamente a Caja de Muertos como parte de esa visión de desarrollo turístico requiere evaluar su estado actual, las gestiones realizadas y los desafíos pendientes.</w:t>
      </w:r>
    </w:p>
    <w:p w14:paraId="0C3B570D" w14:textId="77777777" w:rsidR="000F5746" w:rsidRPr="000F5746" w:rsidRDefault="000F5746" w:rsidP="000F5746">
      <w:pPr>
        <w:ind w:firstLine="600"/>
        <w:jc w:val="both"/>
        <w:rPr>
          <w:rFonts w:ascii="Book Antiqua" w:hAnsi="Book Antiqua"/>
        </w:rPr>
      </w:pPr>
    </w:p>
    <w:p w14:paraId="6F227BCF" w14:textId="32C2CD92" w:rsidR="00BD5B62" w:rsidRDefault="000F5746" w:rsidP="0023547C">
      <w:pPr>
        <w:ind w:firstLine="600"/>
        <w:jc w:val="both"/>
        <w:rPr>
          <w:rFonts w:ascii="Book Antiqua" w:hAnsi="Book Antiqua"/>
        </w:rPr>
      </w:pPr>
      <w:r w:rsidRPr="000F5746">
        <w:rPr>
          <w:rFonts w:ascii="Book Antiqua" w:hAnsi="Book Antiqua"/>
        </w:rPr>
        <w:t>Corresponde entonces a este Cuerpo Legislativo, mediante la Comisión de Turismo</w:t>
      </w:r>
      <w:r w:rsidR="00302D62">
        <w:rPr>
          <w:rFonts w:ascii="Book Antiqua" w:hAnsi="Book Antiqua"/>
        </w:rPr>
        <w:t xml:space="preserve"> y la Comisión de Recursos Naturales</w:t>
      </w:r>
      <w:r w:rsidRPr="000F5746">
        <w:rPr>
          <w:rFonts w:ascii="Book Antiqua" w:hAnsi="Book Antiqua"/>
        </w:rPr>
        <w:t>, ejercer su deber ministerial de fiscalizar, indagar y proponer acciones para proteger este valioso recurso natural y garantizar su aprovechamiento turístico de forma ordenada, segura y sostenible</w:t>
      </w:r>
      <w:r w:rsidR="002E421B" w:rsidRPr="002E421B">
        <w:rPr>
          <w:rFonts w:ascii="Book Antiqua" w:hAnsi="Book Antiqua"/>
        </w:rPr>
        <w:t>.</w:t>
      </w:r>
    </w:p>
    <w:p w14:paraId="33E2DCA0" w14:textId="77777777" w:rsidR="0023547C" w:rsidRPr="009B07A7" w:rsidRDefault="0023547C" w:rsidP="0023547C">
      <w:pPr>
        <w:ind w:firstLine="600"/>
        <w:jc w:val="both"/>
        <w:rPr>
          <w:rFonts w:ascii="Book Antiqua" w:hAnsi="Book Antiqua"/>
        </w:rPr>
      </w:pPr>
    </w:p>
    <w:p w14:paraId="18F4A558" w14:textId="77777777" w:rsidR="00AA3517" w:rsidRPr="009B07A7" w:rsidRDefault="00AA3517" w:rsidP="0023547C">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rsidP="0023547C">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2F3845D6" w:rsidR="00AD67C2" w:rsidRDefault="00AA3517" w:rsidP="0023547C">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457F42" w:rsidRPr="00457F42">
        <w:rPr>
          <w:rFonts w:ascii="Book Antiqua" w:hAnsi="Book Antiqua"/>
        </w:rPr>
        <w:t xml:space="preserve">Se ordena a la Comisión de Turismo y a la Comisión </w:t>
      </w:r>
      <w:r w:rsidR="00C95A91">
        <w:rPr>
          <w:rFonts w:ascii="Book Antiqua" w:hAnsi="Book Antiqua"/>
        </w:rPr>
        <w:t>de Recursos Naturales</w:t>
      </w:r>
      <w:r w:rsidR="00457F42" w:rsidRPr="00457F42">
        <w:rPr>
          <w:rFonts w:ascii="Book Antiqua" w:hAnsi="Book Antiqua"/>
        </w:rPr>
        <w:t xml:space="preserve"> de la Cámara de Representantes de Puerto Rico a realizar una investigación sobre las condiciones actuales del islote Caja de Muertos, con el fin de:</w:t>
      </w:r>
    </w:p>
    <w:p w14:paraId="5EC559FA" w14:textId="77777777" w:rsidR="00457F42" w:rsidRPr="00457F42" w:rsidRDefault="00457F42" w:rsidP="0023547C">
      <w:pPr>
        <w:pStyle w:val="ListParagraph"/>
        <w:numPr>
          <w:ilvl w:val="0"/>
          <w:numId w:val="13"/>
        </w:numPr>
        <w:spacing w:line="480" w:lineRule="auto"/>
        <w:jc w:val="both"/>
        <w:rPr>
          <w:rFonts w:ascii="Book Antiqua" w:hAnsi="Book Antiqua"/>
        </w:rPr>
      </w:pPr>
      <w:r w:rsidRPr="00457F42">
        <w:rPr>
          <w:rFonts w:ascii="Book Antiqua" w:hAnsi="Book Antiqua"/>
        </w:rPr>
        <w:t>Evaluar el estado físico y ecológico de sus instalaciones e infraestructura.</w:t>
      </w:r>
    </w:p>
    <w:p w14:paraId="5419ADFA" w14:textId="77777777" w:rsidR="00457F42" w:rsidRPr="00457F42" w:rsidRDefault="00457F42" w:rsidP="0023547C">
      <w:pPr>
        <w:pStyle w:val="ListParagraph"/>
        <w:numPr>
          <w:ilvl w:val="0"/>
          <w:numId w:val="13"/>
        </w:numPr>
        <w:spacing w:line="480" w:lineRule="auto"/>
        <w:jc w:val="both"/>
        <w:rPr>
          <w:rFonts w:ascii="Book Antiqua" w:hAnsi="Book Antiqua"/>
        </w:rPr>
      </w:pPr>
      <w:r w:rsidRPr="00457F42">
        <w:rPr>
          <w:rFonts w:ascii="Book Antiqua" w:hAnsi="Book Antiqua"/>
        </w:rPr>
        <w:t>Indagar sobre la gestión del DRNA, el cumplimiento de vigilancia y conservación.</w:t>
      </w:r>
    </w:p>
    <w:p w14:paraId="783427B5" w14:textId="77777777" w:rsidR="00457F42" w:rsidRPr="00457F42" w:rsidRDefault="00457F42" w:rsidP="0023547C">
      <w:pPr>
        <w:pStyle w:val="ListParagraph"/>
        <w:numPr>
          <w:ilvl w:val="0"/>
          <w:numId w:val="13"/>
        </w:numPr>
        <w:spacing w:line="480" w:lineRule="auto"/>
        <w:jc w:val="both"/>
        <w:rPr>
          <w:rFonts w:ascii="Book Antiqua" w:hAnsi="Book Antiqua"/>
        </w:rPr>
      </w:pPr>
      <w:r w:rsidRPr="00457F42">
        <w:rPr>
          <w:rFonts w:ascii="Book Antiqua" w:hAnsi="Book Antiqua"/>
        </w:rPr>
        <w:t>Examinar el historial de concesiones turísticas otorgadas y su estatus actual.</w:t>
      </w:r>
    </w:p>
    <w:p w14:paraId="03E44D6F" w14:textId="77777777" w:rsidR="00457F42" w:rsidRPr="00457F42" w:rsidRDefault="00457F42" w:rsidP="0023547C">
      <w:pPr>
        <w:pStyle w:val="ListParagraph"/>
        <w:numPr>
          <w:ilvl w:val="0"/>
          <w:numId w:val="13"/>
        </w:numPr>
        <w:spacing w:line="480" w:lineRule="auto"/>
        <w:jc w:val="both"/>
        <w:rPr>
          <w:rFonts w:ascii="Book Antiqua" w:hAnsi="Book Antiqua"/>
        </w:rPr>
      </w:pPr>
      <w:r w:rsidRPr="00457F42">
        <w:rPr>
          <w:rFonts w:ascii="Book Antiqua" w:hAnsi="Book Antiqua"/>
        </w:rPr>
        <w:t>Identificar acciones administrativas, legislativas o presupuestarias necesarias para rehabilitar su potencial turístico sin comprometer su valor ambiental.</w:t>
      </w:r>
    </w:p>
    <w:p w14:paraId="70A337AE" w14:textId="2A38D3FF" w:rsidR="00457F42" w:rsidRPr="00457F42" w:rsidRDefault="00457F42" w:rsidP="0023547C">
      <w:pPr>
        <w:pStyle w:val="ListParagraph"/>
        <w:numPr>
          <w:ilvl w:val="0"/>
          <w:numId w:val="13"/>
        </w:numPr>
        <w:spacing w:line="480" w:lineRule="auto"/>
        <w:jc w:val="both"/>
        <w:rPr>
          <w:rFonts w:ascii="Book Antiqua" w:hAnsi="Book Antiqua"/>
        </w:rPr>
      </w:pPr>
      <w:r w:rsidRPr="00457F42">
        <w:rPr>
          <w:rFonts w:ascii="Book Antiqua" w:hAnsi="Book Antiqua"/>
        </w:rPr>
        <w:t xml:space="preserve">Explorar opciones para su integración segura al plan de desarrollo turístico del </w:t>
      </w:r>
      <w:r w:rsidR="002D1EDF">
        <w:rPr>
          <w:rFonts w:ascii="Book Antiqua" w:hAnsi="Book Antiqua"/>
        </w:rPr>
        <w:t>M</w:t>
      </w:r>
      <w:r w:rsidRPr="00457F42">
        <w:rPr>
          <w:rFonts w:ascii="Book Antiqua" w:hAnsi="Book Antiqua"/>
        </w:rPr>
        <w:t>unicipio de Ponce.</w:t>
      </w:r>
    </w:p>
    <w:p w14:paraId="4A6C14C9" w14:textId="4EBB118A" w:rsidR="00AA3517" w:rsidRDefault="00AA3517" w:rsidP="0023547C">
      <w:pPr>
        <w:spacing w:line="480" w:lineRule="auto"/>
        <w:ind w:firstLine="720"/>
        <w:jc w:val="both"/>
        <w:rPr>
          <w:rFonts w:ascii="Book Antiqua" w:hAnsi="Book Antiqua"/>
        </w:rPr>
      </w:pPr>
      <w:r w:rsidRPr="009B07A7">
        <w:rPr>
          <w:rFonts w:ascii="Book Antiqua" w:hAnsi="Book Antiqua"/>
        </w:rPr>
        <w:lastRenderedPageBreak/>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00FF1219" w:rsidRPr="00FF1219">
        <w:rPr>
          <w:rFonts w:ascii="Book Antiqua" w:hAnsi="Book Antiqua"/>
        </w:rPr>
        <w:t>La</w:t>
      </w:r>
      <w:r w:rsidR="00FF1219">
        <w:rPr>
          <w:rFonts w:ascii="Book Antiqua" w:hAnsi="Book Antiqua"/>
        </w:rPr>
        <w:t>s</w:t>
      </w:r>
      <w:r w:rsidR="00FF1219" w:rsidRPr="00FF1219">
        <w:rPr>
          <w:rFonts w:ascii="Book Antiqua" w:hAnsi="Book Antiqua"/>
        </w:rPr>
        <w:t xml:space="preserve"> Comision</w:t>
      </w:r>
      <w:r w:rsidR="00FF1219">
        <w:rPr>
          <w:rFonts w:ascii="Book Antiqua" w:hAnsi="Book Antiqua"/>
        </w:rPr>
        <w:t>es</w:t>
      </w:r>
      <w:r w:rsidR="00FF1219" w:rsidRPr="00FF1219">
        <w:rPr>
          <w:rFonts w:ascii="Book Antiqua" w:hAnsi="Book Antiqua"/>
        </w:rPr>
        <w:t xml:space="preserve"> podrá</w:t>
      </w:r>
      <w:r w:rsidR="005220D5">
        <w:rPr>
          <w:rFonts w:ascii="Book Antiqua" w:hAnsi="Book Antiqua"/>
        </w:rPr>
        <w:t>n</w:t>
      </w:r>
      <w:r w:rsidR="00FF1219" w:rsidRPr="00FF1219">
        <w:rPr>
          <w:rFonts w:ascii="Book Antiqua" w:hAnsi="Book Antiqua"/>
        </w:rPr>
        <w:t xml:space="preserve"> recomendar cualquier acción legislativa, administrativa o gubernamental que estime pertinente tras la investigación.</w:t>
      </w:r>
    </w:p>
    <w:p w14:paraId="60645771" w14:textId="077BD559" w:rsidR="00C34978" w:rsidRDefault="00AA3517" w:rsidP="0023547C">
      <w:pPr>
        <w:spacing w:line="480" w:lineRule="auto"/>
        <w:ind w:firstLine="720"/>
        <w:jc w:val="both"/>
        <w:rPr>
          <w:rFonts w:ascii="Book Antiqua" w:hAnsi="Book Antiqua"/>
        </w:rPr>
      </w:pPr>
      <w:r w:rsidRPr="000B251A">
        <w:rPr>
          <w:rFonts w:ascii="Book Antiqua" w:hAnsi="Book Antiqua"/>
        </w:rPr>
        <w:t>Sección 3.-</w:t>
      </w:r>
      <w:r w:rsidR="00DE02C3" w:rsidRPr="000B251A">
        <w:rPr>
          <w:rFonts w:ascii="Book Antiqua" w:hAnsi="Book Antiqua"/>
        </w:rPr>
        <w:t xml:space="preserve"> </w:t>
      </w:r>
      <w:r w:rsidR="001346B2" w:rsidRPr="001346B2">
        <w:rPr>
          <w:rFonts w:ascii="Book Antiqua" w:hAnsi="Book Antiqua"/>
        </w:rPr>
        <w:t>La</w:t>
      </w:r>
      <w:r w:rsidR="001346B2">
        <w:rPr>
          <w:rFonts w:ascii="Book Antiqua" w:hAnsi="Book Antiqua"/>
        </w:rPr>
        <w:t>s</w:t>
      </w:r>
      <w:r w:rsidR="001346B2" w:rsidRPr="001346B2">
        <w:rPr>
          <w:rFonts w:ascii="Book Antiqua" w:hAnsi="Book Antiqua"/>
        </w:rPr>
        <w:t xml:space="preserve"> Comision</w:t>
      </w:r>
      <w:r w:rsidR="001346B2">
        <w:rPr>
          <w:rFonts w:ascii="Book Antiqua" w:hAnsi="Book Antiqua"/>
        </w:rPr>
        <w:t>es</w:t>
      </w:r>
      <w:r w:rsidR="001346B2" w:rsidRPr="001346B2">
        <w:rPr>
          <w:rFonts w:ascii="Book Antiqua" w:hAnsi="Book Antiqua"/>
        </w:rPr>
        <w:t xml:space="preserve"> rendirá</w:t>
      </w:r>
      <w:r w:rsidR="001346B2">
        <w:rPr>
          <w:rFonts w:ascii="Book Antiqua" w:hAnsi="Book Antiqua"/>
        </w:rPr>
        <w:t>n</w:t>
      </w:r>
      <w:r w:rsidR="001346B2" w:rsidRPr="001346B2">
        <w:rPr>
          <w:rFonts w:ascii="Book Antiqua" w:hAnsi="Book Antiqua"/>
        </w:rPr>
        <w:t xml:space="preserve"> un informe con sus hallazgos, conclusiones y recomendaciones no más tarde de los noventa (90) días siguientes a la aprobación de esta Resolución.</w:t>
      </w:r>
    </w:p>
    <w:p w14:paraId="42C587ED" w14:textId="3BF4EE4F" w:rsidR="00C34978" w:rsidRPr="0088762E" w:rsidRDefault="00C34978" w:rsidP="0023547C">
      <w:pPr>
        <w:spacing w:line="480" w:lineRule="auto"/>
        <w:jc w:val="both"/>
        <w:rPr>
          <w:rFonts w:ascii="Book Antiqua" w:hAnsi="Book Antiqua"/>
          <w:lang w:val="es-ES_tradnl"/>
        </w:rPr>
      </w:pPr>
      <w:r>
        <w:rPr>
          <w:rFonts w:ascii="Book Antiqua" w:hAnsi="Book Antiqua"/>
        </w:rPr>
        <w:tab/>
        <w:t xml:space="preserve">Sección </w:t>
      </w:r>
      <w:r w:rsidR="00DB78F3">
        <w:rPr>
          <w:rFonts w:ascii="Book Antiqua" w:hAnsi="Book Antiqua"/>
        </w:rPr>
        <w:t>4</w:t>
      </w:r>
      <w:r>
        <w:rPr>
          <w:rFonts w:ascii="Book Antiqua" w:hAnsi="Book Antiqua"/>
        </w:rPr>
        <w:t xml:space="preserve">.- </w:t>
      </w:r>
      <w:r w:rsidRPr="00C34978">
        <w:rPr>
          <w:rFonts w:ascii="Book Antiqua" w:hAnsi="Book Antiqua"/>
        </w:rPr>
        <w:t>Esta Resolución comenzará a regir inmediatamente después de su aprobación.</w:t>
      </w:r>
    </w:p>
    <w:sectPr w:rsidR="00C34978"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2357A" w14:textId="77777777" w:rsidR="0046343C" w:rsidRPr="009B07A7" w:rsidRDefault="0046343C">
      <w:r w:rsidRPr="009B07A7">
        <w:separator/>
      </w:r>
    </w:p>
  </w:endnote>
  <w:endnote w:type="continuationSeparator" w:id="0">
    <w:p w14:paraId="0F75CB51" w14:textId="77777777" w:rsidR="0046343C" w:rsidRPr="009B07A7" w:rsidRDefault="0046343C">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D6CC" w14:textId="77777777" w:rsidR="0046343C" w:rsidRPr="009B07A7" w:rsidRDefault="0046343C">
      <w:r w:rsidRPr="009B07A7">
        <w:separator/>
      </w:r>
    </w:p>
  </w:footnote>
  <w:footnote w:type="continuationSeparator" w:id="0">
    <w:p w14:paraId="22D8A9B0" w14:textId="77777777" w:rsidR="0046343C" w:rsidRPr="009B07A7" w:rsidRDefault="0046343C">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Header"/>
      <w:jc w:val="center"/>
    </w:pPr>
    <w:r w:rsidRPr="009B07A7">
      <w:rPr>
        <w:rStyle w:val="PageNumber"/>
      </w:rPr>
      <w:fldChar w:fldCharType="begin"/>
    </w:r>
    <w:r w:rsidR="00F36FDC" w:rsidRPr="009B07A7">
      <w:rPr>
        <w:rStyle w:val="PageNumber"/>
      </w:rPr>
      <w:instrText xml:space="preserve"> </w:instrText>
    </w:r>
    <w:r w:rsidR="00496A33" w:rsidRPr="009B07A7">
      <w:rPr>
        <w:rStyle w:val="PageNumber"/>
      </w:rPr>
      <w:instrText>PAGE</w:instrText>
    </w:r>
    <w:r w:rsidR="00F36FDC" w:rsidRPr="009B07A7">
      <w:rPr>
        <w:rStyle w:val="PageNumber"/>
      </w:rPr>
      <w:instrText xml:space="preserve"> </w:instrText>
    </w:r>
    <w:r w:rsidRPr="009B07A7">
      <w:rPr>
        <w:rStyle w:val="PageNumber"/>
      </w:rPr>
      <w:fldChar w:fldCharType="separate"/>
    </w:r>
    <w:r w:rsidR="001373E3" w:rsidRPr="009B07A7">
      <w:rPr>
        <w:rStyle w:val="PageNumber"/>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Header"/>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12"/>
  </w:num>
  <w:num w:numId="2" w16cid:durableId="2004894203">
    <w:abstractNumId w:val="1"/>
  </w:num>
  <w:num w:numId="3" w16cid:durableId="1609510521">
    <w:abstractNumId w:val="6"/>
  </w:num>
  <w:num w:numId="4" w16cid:durableId="1011494208">
    <w:abstractNumId w:val="7"/>
  </w:num>
  <w:num w:numId="5" w16cid:durableId="1770925831">
    <w:abstractNumId w:val="11"/>
  </w:num>
  <w:num w:numId="6" w16cid:durableId="142622212">
    <w:abstractNumId w:val="10"/>
  </w:num>
  <w:num w:numId="7" w16cid:durableId="2138911750">
    <w:abstractNumId w:val="4"/>
  </w:num>
  <w:num w:numId="8" w16cid:durableId="462968849">
    <w:abstractNumId w:val="5"/>
  </w:num>
  <w:num w:numId="9" w16cid:durableId="388652236">
    <w:abstractNumId w:val="8"/>
  </w:num>
  <w:num w:numId="10" w16cid:durableId="1662462281">
    <w:abstractNumId w:val="0"/>
  </w:num>
  <w:num w:numId="11" w16cid:durableId="1187716047">
    <w:abstractNumId w:val="2"/>
  </w:num>
  <w:num w:numId="12" w16cid:durableId="1640379086">
    <w:abstractNumId w:val="9"/>
  </w:num>
  <w:num w:numId="13" w16cid:durableId="1582181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3944"/>
    <w:rsid w:val="001346B2"/>
    <w:rsid w:val="001373E3"/>
    <w:rsid w:val="001553D5"/>
    <w:rsid w:val="0019661A"/>
    <w:rsid w:val="001A0CCB"/>
    <w:rsid w:val="001A4436"/>
    <w:rsid w:val="001B436F"/>
    <w:rsid w:val="001B63C4"/>
    <w:rsid w:val="001C242F"/>
    <w:rsid w:val="001E51F3"/>
    <w:rsid w:val="00206FDA"/>
    <w:rsid w:val="00210337"/>
    <w:rsid w:val="00217C71"/>
    <w:rsid w:val="00220FCC"/>
    <w:rsid w:val="00230E64"/>
    <w:rsid w:val="00232EAB"/>
    <w:rsid w:val="00232EF4"/>
    <w:rsid w:val="00234F4A"/>
    <w:rsid w:val="002351D6"/>
    <w:rsid w:val="0023547C"/>
    <w:rsid w:val="002373A9"/>
    <w:rsid w:val="00245225"/>
    <w:rsid w:val="00253095"/>
    <w:rsid w:val="002723A7"/>
    <w:rsid w:val="00280C7C"/>
    <w:rsid w:val="00286BE2"/>
    <w:rsid w:val="002878BD"/>
    <w:rsid w:val="002905A4"/>
    <w:rsid w:val="00292003"/>
    <w:rsid w:val="002A068D"/>
    <w:rsid w:val="002A12EB"/>
    <w:rsid w:val="002C0919"/>
    <w:rsid w:val="002D1EDF"/>
    <w:rsid w:val="002E0FC3"/>
    <w:rsid w:val="002E421B"/>
    <w:rsid w:val="002E69D6"/>
    <w:rsid w:val="002F7EDC"/>
    <w:rsid w:val="00302D62"/>
    <w:rsid w:val="00337F68"/>
    <w:rsid w:val="00347D9F"/>
    <w:rsid w:val="00372251"/>
    <w:rsid w:val="00380AA3"/>
    <w:rsid w:val="003A015B"/>
    <w:rsid w:val="003A7175"/>
    <w:rsid w:val="003B56A6"/>
    <w:rsid w:val="003C359B"/>
    <w:rsid w:val="003E0A0A"/>
    <w:rsid w:val="003E4C80"/>
    <w:rsid w:val="003E78F2"/>
    <w:rsid w:val="003F44AD"/>
    <w:rsid w:val="00423BE7"/>
    <w:rsid w:val="0043568D"/>
    <w:rsid w:val="004361F9"/>
    <w:rsid w:val="00456C45"/>
    <w:rsid w:val="00457F42"/>
    <w:rsid w:val="0046343C"/>
    <w:rsid w:val="0047433D"/>
    <w:rsid w:val="004772A0"/>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31445"/>
    <w:rsid w:val="006636DA"/>
    <w:rsid w:val="00681A38"/>
    <w:rsid w:val="00685441"/>
    <w:rsid w:val="006B5E22"/>
    <w:rsid w:val="006C0A89"/>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8762E"/>
    <w:rsid w:val="00895ED8"/>
    <w:rsid w:val="008A23EA"/>
    <w:rsid w:val="008A4C2F"/>
    <w:rsid w:val="008B605A"/>
    <w:rsid w:val="008C1DB8"/>
    <w:rsid w:val="008F132E"/>
    <w:rsid w:val="008F4394"/>
    <w:rsid w:val="00927A64"/>
    <w:rsid w:val="00973722"/>
    <w:rsid w:val="00984A3C"/>
    <w:rsid w:val="009B07A7"/>
    <w:rsid w:val="009C21E3"/>
    <w:rsid w:val="009E77BF"/>
    <w:rsid w:val="00A075C6"/>
    <w:rsid w:val="00A21350"/>
    <w:rsid w:val="00A33407"/>
    <w:rsid w:val="00A3499E"/>
    <w:rsid w:val="00A364D7"/>
    <w:rsid w:val="00A44A82"/>
    <w:rsid w:val="00A4773A"/>
    <w:rsid w:val="00A67CE9"/>
    <w:rsid w:val="00A80A24"/>
    <w:rsid w:val="00A87AD9"/>
    <w:rsid w:val="00AA3517"/>
    <w:rsid w:val="00AC0CAE"/>
    <w:rsid w:val="00AC0E57"/>
    <w:rsid w:val="00AD5CFD"/>
    <w:rsid w:val="00AD67C2"/>
    <w:rsid w:val="00AF4CAC"/>
    <w:rsid w:val="00B06B5C"/>
    <w:rsid w:val="00B30C30"/>
    <w:rsid w:val="00B36FDE"/>
    <w:rsid w:val="00B46A26"/>
    <w:rsid w:val="00B56B2E"/>
    <w:rsid w:val="00B765BF"/>
    <w:rsid w:val="00B80B3D"/>
    <w:rsid w:val="00B848F2"/>
    <w:rsid w:val="00BA2B00"/>
    <w:rsid w:val="00BA7E80"/>
    <w:rsid w:val="00BD5B62"/>
    <w:rsid w:val="00BD61D3"/>
    <w:rsid w:val="00BF498B"/>
    <w:rsid w:val="00BF64EB"/>
    <w:rsid w:val="00C01124"/>
    <w:rsid w:val="00C3296F"/>
    <w:rsid w:val="00C34978"/>
    <w:rsid w:val="00C95A91"/>
    <w:rsid w:val="00CA4C9A"/>
    <w:rsid w:val="00CB13CF"/>
    <w:rsid w:val="00CD057A"/>
    <w:rsid w:val="00D06558"/>
    <w:rsid w:val="00D30B02"/>
    <w:rsid w:val="00D3545E"/>
    <w:rsid w:val="00D41EF6"/>
    <w:rsid w:val="00D47D2B"/>
    <w:rsid w:val="00D5556F"/>
    <w:rsid w:val="00D63AEE"/>
    <w:rsid w:val="00D8130A"/>
    <w:rsid w:val="00D90B6A"/>
    <w:rsid w:val="00DA0E11"/>
    <w:rsid w:val="00DB2079"/>
    <w:rsid w:val="00DB5F2E"/>
    <w:rsid w:val="00DB6547"/>
    <w:rsid w:val="00DB78F3"/>
    <w:rsid w:val="00DB7CFF"/>
    <w:rsid w:val="00DE02C3"/>
    <w:rsid w:val="00DE3DAF"/>
    <w:rsid w:val="00DE4CFE"/>
    <w:rsid w:val="00DF2A6A"/>
    <w:rsid w:val="00E02ACA"/>
    <w:rsid w:val="00E07576"/>
    <w:rsid w:val="00E54C8A"/>
    <w:rsid w:val="00E669F1"/>
    <w:rsid w:val="00E75E35"/>
    <w:rsid w:val="00E77E34"/>
    <w:rsid w:val="00E91B64"/>
    <w:rsid w:val="00ED51B3"/>
    <w:rsid w:val="00ED64BC"/>
    <w:rsid w:val="00F00060"/>
    <w:rsid w:val="00F160A6"/>
    <w:rsid w:val="00F36FDC"/>
    <w:rsid w:val="00F37309"/>
    <w:rsid w:val="00F40513"/>
    <w:rsid w:val="00F51C84"/>
    <w:rsid w:val="00F553A6"/>
    <w:rsid w:val="00F6409C"/>
    <w:rsid w:val="00F65FA0"/>
    <w:rsid w:val="00F80406"/>
    <w:rsid w:val="00F95DE0"/>
    <w:rsid w:val="00FC1D10"/>
    <w:rsid w:val="00FC25E9"/>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3">
    <w:name w:val="heading 3"/>
    <w:basedOn w:val="Normal"/>
    <w:next w:val="Normal"/>
    <w:link w:val="Heading3Ch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 w:type="paragraph" w:styleId="FootnoteText">
    <w:name w:val="footnote text"/>
    <w:basedOn w:val="Normal"/>
    <w:link w:val="FootnoteTextChar"/>
    <w:rsid w:val="00F51C84"/>
    <w:rPr>
      <w:sz w:val="20"/>
    </w:rPr>
  </w:style>
  <w:style w:type="character" w:customStyle="1" w:styleId="FootnoteTextChar">
    <w:name w:val="Footnote Text Char"/>
    <w:basedOn w:val="DefaultParagraphFont"/>
    <w:link w:val="FootnoteText"/>
    <w:rsid w:val="00F51C84"/>
    <w:rPr>
      <w:lang w:val="es-PR"/>
    </w:rPr>
  </w:style>
  <w:style w:type="character" w:styleId="FootnoteReference">
    <w:name w:val="footnote reference"/>
    <w:basedOn w:val="DefaultParagraphFont"/>
    <w:rsid w:val="00F51C84"/>
    <w:rPr>
      <w:vertAlign w:val="superscript"/>
    </w:rPr>
  </w:style>
  <w:style w:type="character" w:customStyle="1" w:styleId="Heading3Char">
    <w:name w:val="Heading 3 Char"/>
    <w:basedOn w:val="DefaultParagraphFont"/>
    <w:link w:val="Heading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6</TotalTime>
  <Pages>3</Pages>
  <Words>602</Words>
  <Characters>3528</Characters>
  <Application>Microsoft Office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Bárbara Sierra Nieves</cp:lastModifiedBy>
  <cp:revision>5</cp:revision>
  <cp:lastPrinted>2025-09-15T14:51:00Z</cp:lastPrinted>
  <dcterms:created xsi:type="dcterms:W3CDTF">2025-09-15T19:25:00Z</dcterms:created>
  <dcterms:modified xsi:type="dcterms:W3CDTF">2025-09-16T13:58:00Z</dcterms:modified>
</cp:coreProperties>
</file>