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B4179A" w:rsidRDefault="002905BE" w:rsidP="009852EB">
      <w:pPr>
        <w:jc w:val="center"/>
        <w:outlineLvl w:val="0"/>
        <w:rPr>
          <w:rFonts w:ascii="Book Antiqua" w:hAnsi="Book Antiqua"/>
          <w:b/>
          <w:sz w:val="28"/>
          <w:szCs w:val="28"/>
          <w:lang w:val="es-ES_tradnl"/>
        </w:rPr>
      </w:pPr>
      <w:r w:rsidRPr="00B4179A">
        <w:rPr>
          <w:rFonts w:ascii="Book Antiqua" w:hAnsi="Book Antiqua"/>
          <w:b/>
          <w:sz w:val="28"/>
          <w:szCs w:val="28"/>
          <w:lang w:val="es-ES_tradnl"/>
        </w:rPr>
        <w:t>GOBIERNO</w:t>
      </w:r>
      <w:r w:rsidR="002670C1" w:rsidRPr="00B4179A">
        <w:rPr>
          <w:rFonts w:ascii="Book Antiqua" w:hAnsi="Book Antiqua"/>
          <w:b/>
          <w:sz w:val="28"/>
          <w:szCs w:val="28"/>
          <w:lang w:val="es-ES_tradnl"/>
        </w:rPr>
        <w:t xml:space="preserve"> DE PUERTO RICO</w:t>
      </w:r>
    </w:p>
    <w:p w14:paraId="356118BB" w14:textId="77777777" w:rsidR="002670C1" w:rsidRPr="00B4179A" w:rsidRDefault="002670C1" w:rsidP="002670C1">
      <w:pPr>
        <w:tabs>
          <w:tab w:val="left" w:pos="5080"/>
        </w:tabs>
        <w:jc w:val="center"/>
        <w:rPr>
          <w:rFonts w:ascii="Book Antiqua" w:hAnsi="Book Antiqua"/>
          <w:lang w:val="es-ES_tradnl"/>
        </w:rPr>
      </w:pPr>
    </w:p>
    <w:p w14:paraId="68FE966C" w14:textId="2F339FFC" w:rsidR="002670C1" w:rsidRPr="00B4179A" w:rsidRDefault="002905BE" w:rsidP="00632DBA">
      <w:pPr>
        <w:pStyle w:val="Title2"/>
        <w:tabs>
          <w:tab w:val="clear" w:pos="7776"/>
          <w:tab w:val="clear" w:pos="7848"/>
          <w:tab w:val="right" w:pos="8640"/>
          <w:tab w:val="left" w:pos="9180"/>
        </w:tabs>
        <w:rPr>
          <w:rFonts w:ascii="Book Antiqua" w:hAnsi="Book Antiqua"/>
          <w:szCs w:val="24"/>
          <w:lang w:val="es-ES_tradnl"/>
        </w:rPr>
      </w:pPr>
      <w:r w:rsidRPr="00B4179A">
        <w:rPr>
          <w:rFonts w:ascii="Book Antiqua" w:hAnsi="Book Antiqua"/>
          <w:szCs w:val="24"/>
          <w:lang w:val="es-ES_tradnl"/>
        </w:rPr>
        <w:t>20m</w:t>
      </w:r>
      <w:r w:rsidR="002670C1" w:rsidRPr="00B4179A">
        <w:rPr>
          <w:rFonts w:ascii="Book Antiqua" w:hAnsi="Book Antiqua"/>
          <w:szCs w:val="24"/>
          <w:lang w:val="es-ES_tradnl"/>
        </w:rPr>
        <w:t>a. Asamblea</w:t>
      </w:r>
      <w:r w:rsidR="002670C1" w:rsidRPr="00B4179A">
        <w:rPr>
          <w:rFonts w:ascii="Book Antiqua" w:hAnsi="Book Antiqua"/>
          <w:szCs w:val="24"/>
          <w:lang w:val="es-ES_tradnl"/>
        </w:rPr>
        <w:tab/>
        <w:t xml:space="preserve">    </w:t>
      </w:r>
      <w:r w:rsidR="00445CFE" w:rsidRPr="00B4179A">
        <w:rPr>
          <w:rFonts w:ascii="Book Antiqua" w:hAnsi="Book Antiqua"/>
          <w:szCs w:val="24"/>
          <w:lang w:val="es-ES_tradnl"/>
        </w:rPr>
        <w:t xml:space="preserve">       </w:t>
      </w:r>
      <w:r w:rsidR="00632DBA" w:rsidRPr="00B4179A">
        <w:rPr>
          <w:rFonts w:ascii="Book Antiqua" w:hAnsi="Book Antiqua"/>
          <w:szCs w:val="24"/>
          <w:lang w:val="es-ES_tradnl"/>
        </w:rPr>
        <w:t xml:space="preserve">  </w:t>
      </w:r>
      <w:r w:rsidR="003D1498" w:rsidRPr="00B4179A">
        <w:rPr>
          <w:rFonts w:ascii="Book Antiqua" w:hAnsi="Book Antiqua"/>
          <w:szCs w:val="24"/>
          <w:lang w:val="es-ES_tradnl"/>
        </w:rPr>
        <w:t>2d</w:t>
      </w:r>
      <w:r w:rsidR="002670C1" w:rsidRPr="00B4179A">
        <w:rPr>
          <w:rFonts w:ascii="Book Antiqua" w:hAnsi="Book Antiqua"/>
          <w:szCs w:val="24"/>
          <w:lang w:val="es-ES_tradnl"/>
        </w:rPr>
        <w:t>a. Sesión</w:t>
      </w:r>
    </w:p>
    <w:p w14:paraId="158D734E" w14:textId="4A7AA8DB" w:rsidR="002670C1" w:rsidRPr="00B4179A" w:rsidRDefault="002670C1" w:rsidP="001A14B6">
      <w:pPr>
        <w:pStyle w:val="Title2"/>
        <w:tabs>
          <w:tab w:val="clear" w:pos="648"/>
          <w:tab w:val="left" w:pos="540"/>
          <w:tab w:val="left" w:pos="6930"/>
        </w:tabs>
        <w:rPr>
          <w:rFonts w:ascii="Book Antiqua" w:hAnsi="Book Antiqua"/>
          <w:szCs w:val="24"/>
          <w:lang w:val="es-ES_tradnl"/>
        </w:rPr>
      </w:pPr>
      <w:r w:rsidRPr="00B4179A">
        <w:rPr>
          <w:rFonts w:ascii="Book Antiqua" w:hAnsi="Book Antiqua"/>
          <w:szCs w:val="24"/>
          <w:lang w:val="es-ES_tradnl"/>
        </w:rPr>
        <w:tab/>
        <w:t>Legislativa</w:t>
      </w:r>
      <w:r w:rsidRPr="00B4179A">
        <w:rPr>
          <w:rFonts w:ascii="Book Antiqua" w:hAnsi="Book Antiqua"/>
          <w:szCs w:val="24"/>
          <w:lang w:val="es-ES_tradnl"/>
        </w:rPr>
        <w:tab/>
        <w:t xml:space="preserve">   </w:t>
      </w:r>
      <w:r w:rsidR="00632DBA" w:rsidRPr="00B4179A">
        <w:rPr>
          <w:rFonts w:ascii="Book Antiqua" w:hAnsi="Book Antiqua"/>
          <w:szCs w:val="24"/>
          <w:lang w:val="es-ES_tradnl"/>
        </w:rPr>
        <w:t xml:space="preserve">       </w:t>
      </w:r>
      <w:r w:rsidRPr="00B4179A">
        <w:rPr>
          <w:rFonts w:ascii="Book Antiqua" w:hAnsi="Book Antiqua"/>
          <w:szCs w:val="24"/>
          <w:lang w:val="es-ES_tradnl"/>
        </w:rPr>
        <w:t xml:space="preserve"> </w:t>
      </w:r>
      <w:r w:rsidR="00632DBA" w:rsidRPr="00B4179A">
        <w:rPr>
          <w:rFonts w:ascii="Book Antiqua" w:hAnsi="Book Antiqua"/>
          <w:szCs w:val="24"/>
          <w:lang w:val="es-ES_tradnl"/>
        </w:rPr>
        <w:t xml:space="preserve"> </w:t>
      </w:r>
      <w:r w:rsidRPr="00B4179A">
        <w:rPr>
          <w:rFonts w:ascii="Book Antiqua" w:hAnsi="Book Antiqua"/>
          <w:szCs w:val="24"/>
          <w:lang w:val="es-ES_tradnl"/>
        </w:rPr>
        <w:t>Ordinaria</w:t>
      </w:r>
    </w:p>
    <w:p w14:paraId="6E8D3ED1" w14:textId="77777777" w:rsidR="002670C1" w:rsidRPr="00B4179A" w:rsidRDefault="002670C1" w:rsidP="002670C1">
      <w:pPr>
        <w:rPr>
          <w:rFonts w:ascii="Book Antiqua" w:hAnsi="Book Antiqua"/>
          <w:lang w:val="es-ES_tradnl"/>
        </w:rPr>
      </w:pPr>
    </w:p>
    <w:p w14:paraId="3BAFBCB4" w14:textId="77777777" w:rsidR="002670C1" w:rsidRPr="00B4179A" w:rsidRDefault="002670C1" w:rsidP="009852EB">
      <w:pPr>
        <w:jc w:val="center"/>
        <w:outlineLvl w:val="0"/>
        <w:rPr>
          <w:rFonts w:ascii="Book Antiqua" w:hAnsi="Book Antiqua"/>
          <w:smallCaps/>
          <w:sz w:val="36"/>
          <w:szCs w:val="36"/>
          <w:lang w:val="es-ES_tradnl"/>
        </w:rPr>
      </w:pPr>
      <w:r w:rsidRPr="00B4179A">
        <w:rPr>
          <w:rFonts w:ascii="Book Antiqua" w:hAnsi="Book Antiqua"/>
          <w:b/>
          <w:caps/>
          <w:sz w:val="36"/>
          <w:szCs w:val="36"/>
          <w:lang w:val="es-ES_tradnl"/>
        </w:rPr>
        <w:t>CÁMARA DE REPRESENTANTES</w:t>
      </w:r>
    </w:p>
    <w:p w14:paraId="5FE72B11" w14:textId="77777777" w:rsidR="002670C1" w:rsidRPr="00B4179A" w:rsidRDefault="002670C1" w:rsidP="002670C1">
      <w:pPr>
        <w:jc w:val="center"/>
        <w:rPr>
          <w:rFonts w:ascii="Book Antiqua" w:hAnsi="Book Antiqua" w:cs="Tahoma"/>
          <w:b/>
          <w:sz w:val="20"/>
          <w:szCs w:val="20"/>
          <w:lang w:val="es-ES_tradnl"/>
        </w:rPr>
      </w:pPr>
    </w:p>
    <w:p w14:paraId="426C17AC" w14:textId="77777777" w:rsidR="002670C1" w:rsidRPr="00B4179A" w:rsidRDefault="002670C1" w:rsidP="002670C1">
      <w:pPr>
        <w:jc w:val="center"/>
        <w:rPr>
          <w:rFonts w:ascii="Book Antiqua" w:hAnsi="Book Antiqua" w:cs="Tahoma"/>
          <w:b/>
          <w:sz w:val="20"/>
          <w:szCs w:val="20"/>
          <w:lang w:val="es-ES_tradnl"/>
        </w:rPr>
      </w:pPr>
    </w:p>
    <w:p w14:paraId="50D16FCA" w14:textId="5728DA48" w:rsidR="002670C1" w:rsidRPr="00B4179A" w:rsidRDefault="002670C1" w:rsidP="009852EB">
      <w:pPr>
        <w:jc w:val="center"/>
        <w:outlineLvl w:val="0"/>
        <w:rPr>
          <w:rFonts w:ascii="Book Antiqua" w:hAnsi="Book Antiqua" w:cs="Tahoma"/>
          <w:b/>
          <w:sz w:val="52"/>
          <w:szCs w:val="52"/>
          <w:lang w:val="es-ES_tradnl"/>
        </w:rPr>
      </w:pPr>
      <w:r w:rsidRPr="00B4179A">
        <w:rPr>
          <w:rFonts w:ascii="Book Antiqua" w:hAnsi="Book Antiqua" w:cs="Tahoma"/>
          <w:b/>
          <w:sz w:val="52"/>
          <w:szCs w:val="52"/>
          <w:lang w:val="es-ES_tradnl"/>
        </w:rPr>
        <w:t xml:space="preserve">R. DE LA C. </w:t>
      </w:r>
      <w:r w:rsidR="00A16119" w:rsidRPr="00B4179A">
        <w:rPr>
          <w:rFonts w:ascii="Book Antiqua" w:hAnsi="Book Antiqua" w:cs="Tahoma"/>
          <w:b/>
          <w:sz w:val="52"/>
          <w:szCs w:val="52"/>
          <w:lang w:val="es-ES_tradnl"/>
        </w:rPr>
        <w:t>435</w:t>
      </w:r>
    </w:p>
    <w:p w14:paraId="2AB71EBC" w14:textId="77777777" w:rsidR="001A14B6" w:rsidRPr="00B4179A" w:rsidRDefault="001A14B6" w:rsidP="001A14B6">
      <w:pPr>
        <w:jc w:val="center"/>
        <w:rPr>
          <w:rFonts w:ascii="Book Antiqua" w:hAnsi="Book Antiqua" w:cs="Tahoma"/>
          <w:b/>
          <w:sz w:val="52"/>
          <w:szCs w:val="52"/>
          <w:lang w:val="es-ES_tradnl"/>
        </w:rPr>
      </w:pPr>
    </w:p>
    <w:p w14:paraId="0DBA772C" w14:textId="77777777" w:rsidR="002670C1" w:rsidRPr="00B4179A" w:rsidRDefault="002670C1" w:rsidP="009852EB">
      <w:pPr>
        <w:jc w:val="center"/>
        <w:outlineLvl w:val="0"/>
        <w:rPr>
          <w:rFonts w:ascii="Book Antiqua" w:hAnsi="Book Antiqua" w:cs="Tahoma"/>
          <w:b/>
          <w:sz w:val="28"/>
          <w:szCs w:val="28"/>
          <w:lang w:val="es-ES_tradnl"/>
        </w:rPr>
      </w:pPr>
      <w:r w:rsidRPr="00B4179A">
        <w:rPr>
          <w:rFonts w:ascii="Book Antiqua" w:hAnsi="Book Antiqua" w:cs="Tahoma"/>
          <w:b/>
          <w:sz w:val="28"/>
          <w:szCs w:val="28"/>
          <w:lang w:val="es-ES_tradnl"/>
        </w:rPr>
        <w:t>INFORME</w:t>
      </w:r>
      <w:r w:rsidR="00632DBA" w:rsidRPr="00B4179A">
        <w:rPr>
          <w:rFonts w:ascii="Book Antiqua" w:hAnsi="Book Antiqua" w:cs="Tahoma"/>
          <w:b/>
          <w:sz w:val="28"/>
          <w:szCs w:val="28"/>
          <w:lang w:val="es-ES_tradnl"/>
        </w:rPr>
        <w:t xml:space="preserve"> POSITIVO</w:t>
      </w:r>
    </w:p>
    <w:p w14:paraId="457A7DD8" w14:textId="77777777" w:rsidR="002670C1" w:rsidRPr="00B4179A" w:rsidRDefault="002670C1" w:rsidP="002670C1">
      <w:pPr>
        <w:jc w:val="center"/>
        <w:rPr>
          <w:rFonts w:ascii="Book Antiqua" w:hAnsi="Book Antiqua" w:cs="Tahoma"/>
          <w:b/>
          <w:sz w:val="28"/>
          <w:szCs w:val="28"/>
          <w:lang w:val="es-ES_tradnl"/>
        </w:rPr>
      </w:pPr>
    </w:p>
    <w:p w14:paraId="073A9D6A" w14:textId="2B929C89" w:rsidR="002670C1" w:rsidRPr="00B4179A" w:rsidRDefault="00687C44" w:rsidP="002670C1">
      <w:pPr>
        <w:jc w:val="center"/>
        <w:rPr>
          <w:rFonts w:ascii="Book Antiqua" w:hAnsi="Book Antiqua" w:cs="Tahoma"/>
          <w:lang w:val="es-ES_tradnl"/>
        </w:rPr>
      </w:pPr>
      <w:r>
        <w:rPr>
          <w:rFonts w:ascii="Book Antiqua" w:hAnsi="Book Antiqua" w:cs="Tahoma"/>
          <w:lang w:val="es-ES_tradnl"/>
        </w:rPr>
        <w:t>1</w:t>
      </w:r>
      <w:r w:rsidR="002670C1" w:rsidRPr="00B4179A">
        <w:rPr>
          <w:rFonts w:ascii="Book Antiqua" w:hAnsi="Book Antiqua" w:cs="Tahoma"/>
          <w:lang w:val="es-ES_tradnl"/>
        </w:rPr>
        <w:t xml:space="preserve"> de </w:t>
      </w:r>
      <w:r>
        <w:rPr>
          <w:rFonts w:ascii="Book Antiqua" w:hAnsi="Book Antiqua" w:cs="Tahoma"/>
          <w:lang w:val="es-ES_tradnl"/>
        </w:rPr>
        <w:t xml:space="preserve">octubre </w:t>
      </w:r>
      <w:r w:rsidR="002670C1" w:rsidRPr="00B4179A">
        <w:rPr>
          <w:rFonts w:ascii="Book Antiqua" w:hAnsi="Book Antiqua" w:cs="Tahoma"/>
          <w:lang w:val="es-ES_tradnl"/>
        </w:rPr>
        <w:t xml:space="preserve">de </w:t>
      </w:r>
      <w:r w:rsidR="00333864" w:rsidRPr="00B4179A">
        <w:rPr>
          <w:rFonts w:ascii="Book Antiqua" w:hAnsi="Book Antiqua" w:cs="Tahoma"/>
          <w:lang w:val="es-ES_tradnl"/>
        </w:rPr>
        <w:t>2025</w:t>
      </w:r>
    </w:p>
    <w:p w14:paraId="4A980496" w14:textId="77777777" w:rsidR="002670C1" w:rsidRPr="00B4179A" w:rsidRDefault="002670C1" w:rsidP="002670C1">
      <w:pPr>
        <w:jc w:val="both"/>
        <w:rPr>
          <w:rFonts w:ascii="Book Antiqua" w:hAnsi="Book Antiqua" w:cs="Tahoma"/>
          <w:sz w:val="20"/>
          <w:szCs w:val="20"/>
          <w:lang w:val="es-ES_tradnl"/>
        </w:rPr>
      </w:pPr>
    </w:p>
    <w:p w14:paraId="44F4CFAD" w14:textId="77777777" w:rsidR="00EF143E" w:rsidRPr="00B4179A" w:rsidRDefault="00EF143E" w:rsidP="002670C1">
      <w:pPr>
        <w:jc w:val="both"/>
        <w:rPr>
          <w:rFonts w:ascii="Book Antiqua" w:hAnsi="Book Antiqua" w:cs="Tahoma"/>
          <w:sz w:val="20"/>
          <w:szCs w:val="20"/>
          <w:lang w:val="es-ES_tradnl"/>
        </w:rPr>
      </w:pPr>
    </w:p>
    <w:p w14:paraId="7ECFE9E0" w14:textId="77777777" w:rsidR="002670C1" w:rsidRPr="00B4179A" w:rsidRDefault="002670C1" w:rsidP="002670C1">
      <w:pPr>
        <w:jc w:val="both"/>
        <w:rPr>
          <w:rFonts w:ascii="Book Antiqua" w:hAnsi="Book Antiqua" w:cs="Tahoma"/>
          <w:b/>
          <w:lang w:val="es-ES_tradnl"/>
        </w:rPr>
      </w:pPr>
      <w:r w:rsidRPr="00B4179A">
        <w:rPr>
          <w:rFonts w:ascii="Book Antiqua" w:hAnsi="Book Antiqua" w:cs="Tahoma"/>
          <w:b/>
          <w:lang w:val="es-ES_tradnl"/>
        </w:rPr>
        <w:t>A LA CÁMARA DE REPRESENTANTES DE PUERTO RICO:</w:t>
      </w:r>
    </w:p>
    <w:p w14:paraId="094C21E7" w14:textId="77777777" w:rsidR="002670C1" w:rsidRPr="00B4179A" w:rsidRDefault="002670C1" w:rsidP="002670C1">
      <w:pPr>
        <w:jc w:val="both"/>
        <w:rPr>
          <w:rFonts w:ascii="Book Antiqua" w:hAnsi="Book Antiqua" w:cs="Tahoma"/>
          <w:lang w:val="es-ES_tradnl"/>
        </w:rPr>
      </w:pPr>
    </w:p>
    <w:p w14:paraId="37CB50E6" w14:textId="6D2501B9" w:rsidR="00682883" w:rsidRPr="00B4179A" w:rsidRDefault="002670C1" w:rsidP="00682883">
      <w:pPr>
        <w:jc w:val="both"/>
        <w:rPr>
          <w:rFonts w:ascii="Book Antiqua" w:hAnsi="Book Antiqua" w:cs="Tahoma"/>
          <w:lang w:val="es-ES_tradnl"/>
        </w:rPr>
      </w:pPr>
      <w:r w:rsidRPr="00B4179A">
        <w:rPr>
          <w:rFonts w:ascii="Book Antiqua" w:hAnsi="Book Antiqua" w:cs="Tahoma"/>
          <w:lang w:val="es-ES_tradnl"/>
        </w:rPr>
        <w:tab/>
      </w:r>
      <w:r w:rsidR="008A4022" w:rsidRPr="00B4179A">
        <w:rPr>
          <w:rFonts w:ascii="Book Antiqua" w:hAnsi="Book Antiqua" w:cs="Tahoma"/>
          <w:lang w:val="es-ES_tradnl"/>
        </w:rPr>
        <w:t>La Comisión de Asuntos Internos de la Cámara de Representantes, previo estudio y con</w:t>
      </w:r>
      <w:r w:rsidR="00062F39" w:rsidRPr="00B4179A">
        <w:rPr>
          <w:rFonts w:ascii="Book Antiqua" w:hAnsi="Book Antiqua" w:cs="Tahoma"/>
          <w:lang w:val="es-ES_tradnl"/>
        </w:rPr>
        <w:t>sideración de la R. de la C.</w:t>
      </w:r>
      <w:r w:rsidR="00B4179A" w:rsidRPr="00B4179A">
        <w:rPr>
          <w:rFonts w:ascii="Book Antiqua" w:hAnsi="Book Antiqua" w:cs="Tahoma"/>
          <w:lang w:val="es-ES_tradnl"/>
        </w:rPr>
        <w:t xml:space="preserve"> 435</w:t>
      </w:r>
      <w:r w:rsidR="00FA5F29" w:rsidRPr="00B4179A">
        <w:rPr>
          <w:rFonts w:ascii="Book Antiqua" w:hAnsi="Book Antiqua" w:cs="Tahoma"/>
          <w:lang w:val="es-ES_tradnl"/>
        </w:rPr>
        <w:t xml:space="preserve">, </w:t>
      </w:r>
      <w:r w:rsidR="00682883" w:rsidRPr="00B4179A">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31C593C5" w14:textId="77777777" w:rsidR="00BC1CB2" w:rsidRPr="00B4179A" w:rsidRDefault="00BC1CB2" w:rsidP="007F3B99">
      <w:pPr>
        <w:jc w:val="both"/>
        <w:rPr>
          <w:rFonts w:ascii="Book Antiqua" w:hAnsi="Book Antiqua" w:cs="Tahoma"/>
          <w:lang w:val="es-ES_tradnl"/>
        </w:rPr>
      </w:pPr>
    </w:p>
    <w:p w14:paraId="716A98FC" w14:textId="0E3264DC" w:rsidR="008D4A0A" w:rsidRPr="00B4179A" w:rsidRDefault="00BC1CB2" w:rsidP="00B4179A">
      <w:pPr>
        <w:ind w:left="567" w:hanging="567"/>
        <w:jc w:val="both"/>
        <w:rPr>
          <w:rFonts w:ascii="Book Antiqua" w:hAnsi="Book Antiqua"/>
          <w:lang w:val="es-ES_tradnl"/>
        </w:rPr>
      </w:pPr>
      <w:r w:rsidRPr="00B4179A">
        <w:rPr>
          <w:rFonts w:ascii="Book Antiqua" w:hAnsi="Book Antiqua" w:cs="Tahoma"/>
          <w:lang w:val="es-ES_tradnl"/>
        </w:rPr>
        <w:t xml:space="preserve"> </w:t>
      </w:r>
      <w:r w:rsidR="00E86FF9" w:rsidRPr="00B4179A">
        <w:rPr>
          <w:rFonts w:ascii="Book Antiqua" w:hAnsi="Book Antiqua" w:cs="Tahoma"/>
          <w:lang w:val="es-ES_tradnl"/>
        </w:rPr>
        <w:t>“</w:t>
      </w:r>
      <w:r w:rsidR="00E86FF9" w:rsidRPr="00B4179A">
        <w:rPr>
          <w:rFonts w:ascii="Book Antiqua" w:hAnsi="Book Antiqua"/>
          <w:lang w:val="es-ES_tradnl"/>
        </w:rPr>
        <w:t>Para</w:t>
      </w:r>
      <w:r w:rsidR="00E86FF9" w:rsidRPr="00B4179A">
        <w:rPr>
          <w:lang w:val="es-ES_tradnl"/>
        </w:rPr>
        <w:t xml:space="preserve"> </w:t>
      </w:r>
      <w:bookmarkStart w:id="0" w:name="_Hlk481777822"/>
      <w:bookmarkStart w:id="1" w:name="_Hlk481778563"/>
      <w:bookmarkStart w:id="2" w:name="_Hlk188016072"/>
      <w:r w:rsidR="00272823" w:rsidRPr="00B4179A">
        <w:rPr>
          <w:rFonts w:ascii="Book Antiqua" w:hAnsi="Book Antiqua"/>
          <w:lang w:val="es-ES_tradnl"/>
        </w:rPr>
        <w:t xml:space="preserve">ordenar </w:t>
      </w:r>
      <w:bookmarkStart w:id="3" w:name="_Hlk481775927"/>
      <w:r w:rsidR="00272823" w:rsidRPr="00B4179A">
        <w:rPr>
          <w:rFonts w:ascii="Book Antiqua" w:hAnsi="Book Antiqua"/>
          <w:lang w:val="es-ES_tradnl"/>
        </w:rPr>
        <w:t xml:space="preserve">a la Comisión </w:t>
      </w:r>
      <w:r w:rsidR="00C321E8" w:rsidRPr="00B4179A">
        <w:rPr>
          <w:rFonts w:ascii="Book Antiqua" w:hAnsi="Book Antiqua"/>
          <w:lang w:val="es-ES_tradnl"/>
        </w:rPr>
        <w:t>de</w:t>
      </w:r>
      <w:r w:rsidR="00DF3E6F" w:rsidRPr="00B4179A">
        <w:rPr>
          <w:rFonts w:ascii="Book Antiqua" w:hAnsi="Book Antiqua"/>
          <w:lang w:val="es-ES_tradnl"/>
        </w:rPr>
        <w:t xml:space="preserve"> </w:t>
      </w:r>
      <w:bookmarkEnd w:id="0"/>
      <w:bookmarkEnd w:id="3"/>
      <w:bookmarkEnd w:id="1"/>
      <w:bookmarkEnd w:id="2"/>
      <w:r w:rsidR="00B4179A" w:rsidRPr="00B4179A">
        <w:rPr>
          <w:rFonts w:ascii="Book Antiqua" w:hAnsi="Book Antiqua"/>
          <w:lang w:val="es-ES_tradnl"/>
        </w:rPr>
        <w:t>Banca, Seguros y Comercio de la Cámara de Representantes del Gobierno de Puerto Rico, realizar una investigación exhaustiva sobre las operaciones de Futucare, LLC (proveedora contratada para administrar la plataforma digital del Programa de Cannabis Medicinal del Departamento de Salud) y Vank, LLC (</w:t>
      </w:r>
      <w:r w:rsidR="00B4179A" w:rsidRPr="00B4179A">
        <w:rPr>
          <w:rFonts w:ascii="Book Antiqua" w:hAnsi="Book Antiqua"/>
          <w:bCs/>
          <w:iCs/>
          <w:lang w:val="es-ES_tradnl"/>
        </w:rPr>
        <w:t>operadora de la plataforma Vankpay, intermediaria tecnológica de pagos electrónicos entre pacientes y dispensarios</w:t>
      </w:r>
      <w:r w:rsidR="00B4179A" w:rsidRPr="00B4179A">
        <w:rPr>
          <w:rFonts w:ascii="Book Antiqua" w:hAnsi="Book Antiqua"/>
          <w:lang w:val="es-ES_tradnl"/>
        </w:rPr>
        <w:t>)</w:t>
      </w:r>
      <w:r w:rsidR="00F20B98">
        <w:rPr>
          <w:rFonts w:ascii="Book Antiqua" w:hAnsi="Book Antiqua"/>
          <w:lang w:val="es-ES_tradnl"/>
        </w:rPr>
        <w:t>,</w:t>
      </w:r>
      <w:r w:rsidR="00B4179A" w:rsidRPr="00B4179A">
        <w:rPr>
          <w:rFonts w:ascii="Book Antiqua" w:hAnsi="Book Antiqua"/>
          <w:lang w:val="es-ES_tradnl"/>
        </w:rPr>
        <w:t xml:space="preserve"> con especial énfasis en el cumplimiento de las leyes y reglamentos financieros federales y estatales que rigen las transacciones bancarias en la industria del cannabis medicinal, incluyendo la Ley de Secreto Bancario (Bank Secrecy Act, BSA), las directrices de la Red de Control de Delitos Financieros (Financial Crimes Enforcement Network, FinCEN) y las regulaciones de la Oficina del Comisionado de Instituciones Financieras (OCIF).</w:t>
      </w:r>
      <w:r w:rsidR="00FA5F29" w:rsidRPr="00B4179A">
        <w:rPr>
          <w:rFonts w:ascii="Book Antiqua" w:hAnsi="Book Antiqua"/>
          <w:bCs/>
          <w:lang w:val="es-ES_tradnl"/>
        </w:rPr>
        <w:t>”</w:t>
      </w:r>
    </w:p>
    <w:p w14:paraId="0066EB36" w14:textId="77777777" w:rsidR="00AD4702" w:rsidRPr="00B4179A" w:rsidRDefault="00AD4702" w:rsidP="00AF186C">
      <w:pPr>
        <w:jc w:val="both"/>
        <w:rPr>
          <w:rFonts w:ascii="Book Antiqua" w:hAnsi="Book Antiqua" w:cs="Tahoma"/>
          <w:lang w:val="es-ES_tradnl"/>
        </w:rPr>
      </w:pPr>
    </w:p>
    <w:p w14:paraId="5331B0D5" w14:textId="77777777" w:rsidR="008A1F08" w:rsidRPr="00B4179A" w:rsidRDefault="008A1F08" w:rsidP="009852EB">
      <w:pPr>
        <w:jc w:val="center"/>
        <w:outlineLvl w:val="0"/>
        <w:rPr>
          <w:rFonts w:ascii="Book Antiqua" w:hAnsi="Book Antiqua" w:cs="Tahoma"/>
          <w:b/>
          <w:u w:val="single"/>
          <w:lang w:val="es-ES_tradnl"/>
        </w:rPr>
      </w:pPr>
      <w:r w:rsidRPr="00B4179A">
        <w:rPr>
          <w:rFonts w:ascii="Book Antiqua" w:hAnsi="Book Antiqua" w:cs="Tahoma"/>
          <w:b/>
          <w:u w:val="single"/>
          <w:lang w:val="es-ES_tradnl"/>
        </w:rPr>
        <w:t>ALCANCE Y ANÁLISIS DE LA MEDIDA</w:t>
      </w:r>
    </w:p>
    <w:p w14:paraId="553B3D6B" w14:textId="77777777" w:rsidR="00DE02EB" w:rsidRPr="00B4179A" w:rsidRDefault="00DE02EB" w:rsidP="009852EB">
      <w:pPr>
        <w:jc w:val="center"/>
        <w:outlineLvl w:val="0"/>
        <w:rPr>
          <w:rFonts w:ascii="Book Antiqua" w:hAnsi="Book Antiqua" w:cs="Tahoma"/>
          <w:b/>
          <w:u w:val="single"/>
          <w:lang w:val="es-ES_tradnl"/>
        </w:rPr>
      </w:pPr>
    </w:p>
    <w:p w14:paraId="0CE59528" w14:textId="3B63CF80" w:rsidR="00B4179A" w:rsidRPr="00B4179A" w:rsidRDefault="00DE02EB" w:rsidP="00F20B98">
      <w:pPr>
        <w:ind w:firstLine="708"/>
        <w:jc w:val="both"/>
        <w:rPr>
          <w:rFonts w:ascii="Book Antiqua" w:hAnsi="Book Antiqua"/>
          <w:lang w:val="es-ES_tradnl"/>
        </w:rPr>
      </w:pPr>
      <w:r w:rsidRPr="00B4179A">
        <w:rPr>
          <w:rFonts w:ascii="Book Antiqua" w:hAnsi="Book Antiqua"/>
          <w:lang w:val="es-ES_tradnl"/>
        </w:rPr>
        <w:t>La</w:t>
      </w:r>
      <w:r w:rsidR="00194744" w:rsidRPr="00B4179A">
        <w:rPr>
          <w:rFonts w:ascii="Book Antiqua" w:hAnsi="Book Antiqua"/>
          <w:lang w:val="es-ES_tradnl"/>
        </w:rPr>
        <w:t xml:space="preserve"> Resolución de la Cámara Núm.</w:t>
      </w:r>
      <w:r w:rsidR="000F1167" w:rsidRPr="00B4179A">
        <w:rPr>
          <w:rFonts w:ascii="Book Antiqua" w:hAnsi="Book Antiqua"/>
          <w:lang w:val="es-ES_tradnl"/>
        </w:rPr>
        <w:t xml:space="preserve"> </w:t>
      </w:r>
      <w:r w:rsidR="00B4179A" w:rsidRPr="00B4179A">
        <w:rPr>
          <w:rFonts w:ascii="Book Antiqua" w:hAnsi="Book Antiqua"/>
          <w:lang w:val="es-ES_tradnl"/>
        </w:rPr>
        <w:t>435 persigue investigar el marco de operaciones de Futucare, LLC y Vank, LLC, dos entidades vinculadas al ecosistema del cannabis medicinal en Puerto Rico, en particular por su rol en la administración de datos sensibles de pacientes y en la facilitación de transacciones electrónicas de pago.</w:t>
      </w:r>
    </w:p>
    <w:p w14:paraId="5E97E2F7" w14:textId="77777777" w:rsidR="00B4179A" w:rsidRPr="00B4179A" w:rsidRDefault="00B4179A" w:rsidP="00F20B98">
      <w:pPr>
        <w:pStyle w:val="NormalWeb"/>
        <w:ind w:firstLine="708"/>
        <w:jc w:val="both"/>
        <w:rPr>
          <w:rFonts w:ascii="Book Antiqua" w:hAnsi="Book Antiqua"/>
          <w:sz w:val="24"/>
          <w:szCs w:val="24"/>
          <w:lang w:val="es-ES_tradnl"/>
        </w:rPr>
      </w:pPr>
      <w:r w:rsidRPr="00B4179A">
        <w:rPr>
          <w:rFonts w:ascii="Book Antiqua" w:hAnsi="Book Antiqua"/>
          <w:sz w:val="24"/>
          <w:szCs w:val="24"/>
          <w:lang w:val="es-ES_tradnl"/>
        </w:rPr>
        <w:lastRenderedPageBreak/>
        <w:t>En la Exposición de Motivos se detalla que Futucare, LLC administra la plataforma digital contratada por el Departamento de Salud y que Vank, LLC, mediante su plataforma Vankpay, ha entrado en la cadena de pagos entre pacientes y dispensarios. La posible interrelación corporativa de ambas entidades genera preocupaciones en torno a la transparencia, la debida diligencia financiera y la protección de datos confidenciales.</w:t>
      </w:r>
    </w:p>
    <w:p w14:paraId="3526B78F" w14:textId="5ACAA45A" w:rsidR="00B4179A" w:rsidRPr="00B4179A" w:rsidRDefault="00B4179A" w:rsidP="00F20B98">
      <w:pPr>
        <w:pStyle w:val="NormalWeb"/>
        <w:ind w:firstLine="708"/>
        <w:jc w:val="both"/>
        <w:rPr>
          <w:rFonts w:ascii="Book Antiqua" w:hAnsi="Book Antiqua"/>
          <w:sz w:val="24"/>
          <w:szCs w:val="24"/>
          <w:lang w:val="es-ES_tradnl"/>
        </w:rPr>
      </w:pPr>
      <w:r w:rsidRPr="00B4179A">
        <w:rPr>
          <w:rFonts w:ascii="Book Antiqua" w:hAnsi="Book Antiqua"/>
          <w:sz w:val="24"/>
          <w:szCs w:val="24"/>
          <w:lang w:val="es-ES_tradnl"/>
        </w:rPr>
        <w:t xml:space="preserve">La medida dispone que la investigación se concentre en varios aspectos medulares. En primer lugar, se debe examinar el cumplimiento con las disposiciones de la </w:t>
      </w:r>
      <w:r w:rsidRPr="00B4179A">
        <w:rPr>
          <w:rFonts w:ascii="Book Antiqua" w:hAnsi="Book Antiqua"/>
          <w:bCs/>
          <w:sz w:val="24"/>
          <w:szCs w:val="24"/>
          <w:lang w:val="es-ES_tradnl"/>
        </w:rPr>
        <w:t>Bank Secrecy Act (BSA, 31 U.S.C. §§ 5311–5336)</w:t>
      </w:r>
      <w:r w:rsidRPr="00B4179A">
        <w:rPr>
          <w:rFonts w:ascii="Book Antiqua" w:hAnsi="Book Antiqua"/>
          <w:sz w:val="24"/>
          <w:szCs w:val="24"/>
          <w:lang w:val="es-ES_tradnl"/>
        </w:rPr>
        <w:t xml:space="preserve">, así como las directrices emitidas por la </w:t>
      </w:r>
      <w:r w:rsidRPr="00B4179A">
        <w:rPr>
          <w:rFonts w:ascii="Book Antiqua" w:hAnsi="Book Antiqua"/>
          <w:bCs/>
          <w:sz w:val="24"/>
          <w:szCs w:val="24"/>
          <w:lang w:val="es-ES_tradnl"/>
        </w:rPr>
        <w:t>Financial Crimes Enforcement Network (FinCEN, 31 U.S.C. § 310; 31 C.F.R. Capítulo X)</w:t>
      </w:r>
      <w:r w:rsidRPr="00B4179A">
        <w:rPr>
          <w:rFonts w:ascii="Book Antiqua" w:hAnsi="Book Antiqua"/>
          <w:sz w:val="24"/>
          <w:szCs w:val="24"/>
          <w:lang w:val="es-ES_tradnl"/>
        </w:rPr>
        <w:t xml:space="preserve"> y con las leyes antilavado de dinero (AML), que constituyen la base del marco regulatorio financiero. También resulta indispensable evaluar la estructura de </w:t>
      </w:r>
      <w:r w:rsidRPr="00B4179A">
        <w:rPr>
          <w:rFonts w:ascii="Book Antiqua" w:hAnsi="Book Antiqua"/>
          <w:bCs/>
          <w:sz w:val="24"/>
          <w:szCs w:val="24"/>
          <w:lang w:val="es-ES_tradnl"/>
        </w:rPr>
        <w:t>Vank, LLC</w:t>
      </w:r>
      <w:r w:rsidRPr="00B4179A">
        <w:rPr>
          <w:rFonts w:ascii="Book Antiqua" w:hAnsi="Book Antiqua"/>
          <w:sz w:val="24"/>
          <w:szCs w:val="24"/>
          <w:lang w:val="es-ES_tradnl"/>
        </w:rPr>
        <w:t xml:space="preserve"> como intermediario tecnológico dentro de la cadena de pagos, a fin de determinar si sus operaciones requieren licencia o supervisión directa de la </w:t>
      </w:r>
      <w:r w:rsidRPr="00B4179A">
        <w:rPr>
          <w:rFonts w:ascii="Book Antiqua" w:hAnsi="Book Antiqua"/>
          <w:bCs/>
          <w:sz w:val="24"/>
          <w:szCs w:val="24"/>
          <w:lang w:val="es-ES_tradnl"/>
        </w:rPr>
        <w:t>Oficina del Comisionado de Instituciones Financieras (OCIF)</w:t>
      </w:r>
      <w:r w:rsidRPr="00B4179A">
        <w:rPr>
          <w:rFonts w:ascii="Book Antiqua" w:hAnsi="Book Antiqua"/>
          <w:sz w:val="24"/>
          <w:szCs w:val="24"/>
          <w:lang w:val="es-ES_tradnl"/>
        </w:rPr>
        <w:t>.</w:t>
      </w:r>
    </w:p>
    <w:p w14:paraId="05E78832" w14:textId="216FEF87" w:rsidR="00DF3E6F" w:rsidRPr="00B4179A" w:rsidRDefault="00B4179A" w:rsidP="00F20B98">
      <w:pPr>
        <w:pStyle w:val="NormalWeb"/>
        <w:ind w:firstLine="708"/>
        <w:jc w:val="both"/>
        <w:rPr>
          <w:rFonts w:ascii="Book Antiqua" w:hAnsi="Book Antiqua"/>
          <w:sz w:val="24"/>
          <w:szCs w:val="24"/>
          <w:lang w:val="es-ES_tradnl"/>
        </w:rPr>
      </w:pPr>
      <w:r w:rsidRPr="00B4179A">
        <w:rPr>
          <w:rFonts w:ascii="Book Antiqua" w:hAnsi="Book Antiqua"/>
          <w:sz w:val="24"/>
          <w:szCs w:val="24"/>
          <w:lang w:val="es-ES_tradnl"/>
        </w:rPr>
        <w:t xml:space="preserve">Del mismo modo, la investigación debe atender la existencia y efectividad de protocolos de prevención de lavado de dinero en las transacciones procesadas mediante la plataforma Vankpay, considerando los estándares federales y estatales en materia de cumplimiento financiero. Finalmente, corresponde analizar si la relación estructural y de personal entre </w:t>
      </w:r>
      <w:r w:rsidRPr="00B4179A">
        <w:rPr>
          <w:rFonts w:ascii="Book Antiqua" w:hAnsi="Book Antiqua"/>
          <w:bCs/>
          <w:sz w:val="24"/>
          <w:szCs w:val="24"/>
          <w:lang w:val="es-ES_tradnl"/>
        </w:rPr>
        <w:t>Futucare, LLC</w:t>
      </w:r>
      <w:r w:rsidRPr="00B4179A">
        <w:rPr>
          <w:rFonts w:ascii="Book Antiqua" w:hAnsi="Book Antiqua"/>
          <w:sz w:val="24"/>
          <w:szCs w:val="24"/>
          <w:lang w:val="es-ES_tradnl"/>
        </w:rPr>
        <w:t xml:space="preserve"> y </w:t>
      </w:r>
      <w:r w:rsidRPr="00B4179A">
        <w:rPr>
          <w:rFonts w:ascii="Book Antiqua" w:hAnsi="Book Antiqua"/>
          <w:bCs/>
          <w:sz w:val="24"/>
          <w:szCs w:val="24"/>
          <w:lang w:val="es-ES_tradnl"/>
        </w:rPr>
        <w:t>Vank, LLC</w:t>
      </w:r>
      <w:r w:rsidRPr="00B4179A">
        <w:rPr>
          <w:rFonts w:ascii="Book Antiqua" w:hAnsi="Book Antiqua"/>
          <w:sz w:val="24"/>
          <w:szCs w:val="24"/>
          <w:lang w:val="es-ES_tradnl"/>
        </w:rPr>
        <w:t xml:space="preserve"> compromete la transparencia y la trazabilidad de las transacciones financieras, así como la posible utilización indebida de información confidencial de pacientes para fines ajenos a los autorizados.</w:t>
      </w:r>
    </w:p>
    <w:p w14:paraId="7645A4CC" w14:textId="77777777" w:rsidR="006150BB" w:rsidRPr="00B4179A" w:rsidRDefault="006150BB" w:rsidP="006150BB">
      <w:pPr>
        <w:pStyle w:val="NormalWeb"/>
        <w:jc w:val="center"/>
        <w:outlineLvl w:val="0"/>
        <w:rPr>
          <w:rFonts w:ascii="Book Antiqua" w:hAnsi="Book Antiqua"/>
          <w:b/>
          <w:sz w:val="24"/>
          <w:szCs w:val="24"/>
          <w:u w:val="single"/>
          <w:lang w:val="es-ES_tradnl"/>
        </w:rPr>
      </w:pPr>
      <w:r w:rsidRPr="00B4179A">
        <w:rPr>
          <w:rFonts w:ascii="Book Antiqua" w:hAnsi="Book Antiqua"/>
          <w:b/>
          <w:sz w:val="24"/>
          <w:szCs w:val="24"/>
          <w:u w:val="single"/>
          <w:lang w:val="es-ES_tradnl"/>
        </w:rPr>
        <w:t>CONCLUSIÓN Y RECOMENDACIÓN</w:t>
      </w:r>
    </w:p>
    <w:p w14:paraId="284E870A" w14:textId="5127D781" w:rsidR="001A02E8" w:rsidRPr="00B4179A" w:rsidRDefault="008B1E7C" w:rsidP="00F20B98">
      <w:pPr>
        <w:pStyle w:val="NormalWeb"/>
        <w:ind w:firstLine="708"/>
        <w:jc w:val="both"/>
        <w:rPr>
          <w:rFonts w:ascii="Book Antiqua" w:hAnsi="Book Antiqua"/>
          <w:sz w:val="24"/>
          <w:szCs w:val="24"/>
          <w:lang w:val="es-ES_tradnl"/>
        </w:rPr>
      </w:pPr>
      <w:r w:rsidRPr="00B4179A">
        <w:rPr>
          <w:rFonts w:ascii="Book Antiqua" w:hAnsi="Book Antiqua"/>
          <w:sz w:val="24"/>
          <w:szCs w:val="24"/>
          <w:lang w:val="es-ES_tradnl"/>
        </w:rPr>
        <w:t>En atención a lo expuesto, la Comisión de Asuntos Internos concluye que la medida propuesta persigue un fin apremiante y cumple con los requisitos necesarios para su aprobación. Por tal razón, se recomienda la aprobación d</w:t>
      </w:r>
      <w:r w:rsidR="001A02E8" w:rsidRPr="00B4179A">
        <w:rPr>
          <w:rFonts w:ascii="Book Antiqua" w:hAnsi="Book Antiqua"/>
          <w:sz w:val="24"/>
          <w:szCs w:val="24"/>
          <w:lang w:val="es-ES_tradnl"/>
        </w:rPr>
        <w:t>e l</w:t>
      </w:r>
      <w:r w:rsidR="00B4179A" w:rsidRPr="00B4179A">
        <w:rPr>
          <w:rFonts w:ascii="Book Antiqua" w:hAnsi="Book Antiqua"/>
          <w:sz w:val="24"/>
          <w:szCs w:val="24"/>
          <w:lang w:val="es-ES_tradnl"/>
        </w:rPr>
        <w:t>a Resolución de la Cámara 435</w:t>
      </w:r>
      <w:r w:rsidRPr="00B4179A">
        <w:rPr>
          <w:rFonts w:ascii="Book Antiqua" w:hAnsi="Book Antiqua"/>
          <w:sz w:val="24"/>
          <w:szCs w:val="24"/>
          <w:lang w:val="es-ES_tradnl"/>
        </w:rPr>
        <w:t>, con las enmiendas contenidas en el entirillado electrónico que acompaña este informe.</w:t>
      </w:r>
    </w:p>
    <w:p w14:paraId="50FFCE58" w14:textId="77777777" w:rsidR="006150BB" w:rsidRPr="00B4179A" w:rsidRDefault="006150BB" w:rsidP="006150BB">
      <w:pPr>
        <w:jc w:val="both"/>
        <w:rPr>
          <w:rFonts w:ascii="Book Antiqua" w:hAnsi="Book Antiqua" w:cs="Tahoma"/>
          <w:lang w:val="es-ES_tradnl"/>
        </w:rPr>
      </w:pPr>
      <w:r w:rsidRPr="00B4179A">
        <w:rPr>
          <w:rFonts w:ascii="Book Antiqua" w:hAnsi="Book Antiqua" w:cs="Tahoma"/>
          <w:lang w:val="es-ES_tradnl"/>
        </w:rPr>
        <w:t>Respetuosamente sometido,</w:t>
      </w:r>
    </w:p>
    <w:p w14:paraId="788BD5EC" w14:textId="77777777" w:rsidR="00DF3E6F" w:rsidRPr="00B4179A" w:rsidRDefault="00DF3E6F" w:rsidP="00DF3E6F">
      <w:pPr>
        <w:jc w:val="both"/>
        <w:rPr>
          <w:rFonts w:ascii="Book Antiqua" w:hAnsi="Book Antiqua"/>
          <w:lang w:val="es-ES_tradnl"/>
        </w:rPr>
      </w:pPr>
    </w:p>
    <w:p w14:paraId="3F4BB2E4" w14:textId="591E7D20" w:rsidR="00F27289" w:rsidRPr="00B4179A" w:rsidRDefault="000F1167" w:rsidP="000F1167">
      <w:pPr>
        <w:jc w:val="both"/>
        <w:rPr>
          <w:rFonts w:ascii="Book Antiqua" w:hAnsi="Book Antiqua"/>
          <w:b/>
          <w:u w:val="single"/>
          <w:lang w:val="es-ES_tradnl"/>
        </w:rPr>
      </w:pPr>
      <w:r w:rsidRPr="00B4179A">
        <w:rPr>
          <w:rFonts w:ascii="Book Antiqua" w:hAnsi="Book Antiqua"/>
          <w:lang w:val="es-ES_tradnl"/>
        </w:rPr>
        <w:t xml:space="preserve">    </w:t>
      </w:r>
    </w:p>
    <w:p w14:paraId="0D4A074B" w14:textId="77777777" w:rsidR="003F3D8D" w:rsidRPr="00B4179A" w:rsidRDefault="003F3D8D" w:rsidP="003F3D8D">
      <w:pPr>
        <w:jc w:val="both"/>
        <w:rPr>
          <w:rFonts w:ascii="Book Antiqua" w:hAnsi="Book Antiqua" w:cs="Tahoma"/>
          <w:b/>
          <w:bCs/>
          <w:lang w:val="es-ES_tradnl"/>
        </w:rPr>
      </w:pPr>
    </w:p>
    <w:p w14:paraId="6C06768D" w14:textId="77777777" w:rsidR="003F3D8D" w:rsidRPr="00B4179A" w:rsidRDefault="003F3D8D" w:rsidP="003F3D8D">
      <w:pPr>
        <w:rPr>
          <w:rFonts w:ascii="Book Antiqua" w:hAnsi="Book Antiqua" w:cs="Tahoma"/>
          <w:lang w:val="es-ES_tradnl"/>
        </w:rPr>
      </w:pPr>
    </w:p>
    <w:p w14:paraId="7DC33FC3" w14:textId="4F4319C4" w:rsidR="00307416" w:rsidRPr="00B4179A" w:rsidRDefault="003F3D8D" w:rsidP="008A4022">
      <w:pPr>
        <w:rPr>
          <w:rFonts w:ascii="Book Antiqua" w:hAnsi="Book Antiqua"/>
          <w:b/>
          <w:smallCaps/>
          <w:lang w:val="es-ES_tradnl"/>
        </w:rPr>
      </w:pPr>
      <w:r w:rsidRPr="00B4179A">
        <w:rPr>
          <w:rFonts w:ascii="Book Antiqua" w:hAnsi="Book Antiqua" w:cs="Tahoma"/>
          <w:b/>
          <w:bCs/>
          <w:lang w:val="es-ES_tradnl"/>
        </w:rPr>
        <w:t>PEDRO JULIO SANTIAGO GUZMÁN</w:t>
      </w:r>
      <w:r w:rsidRPr="00B4179A">
        <w:rPr>
          <w:rFonts w:ascii="Book Antiqua" w:hAnsi="Book Antiqua" w:cs="Tahoma"/>
          <w:lang w:val="es-ES_tradnl"/>
        </w:rPr>
        <w:br/>
        <w:t>Presidente</w:t>
      </w:r>
      <w:r w:rsidRPr="00B4179A">
        <w:rPr>
          <w:rFonts w:ascii="Book Antiqua" w:hAnsi="Book Antiqua" w:cs="Tahoma"/>
          <w:lang w:val="es-ES_tradnl"/>
        </w:rPr>
        <w:br/>
        <w:t>Comisión de Asuntos Internos</w:t>
      </w:r>
    </w:p>
    <w:sectPr w:rsidR="00307416" w:rsidRPr="00B4179A"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80EEE" w14:textId="77777777" w:rsidR="009E2C2B" w:rsidRDefault="009E2C2B" w:rsidP="00614C2C">
      <w:r>
        <w:separator/>
      </w:r>
    </w:p>
  </w:endnote>
  <w:endnote w:type="continuationSeparator" w:id="0">
    <w:p w14:paraId="483CD127" w14:textId="77777777" w:rsidR="009E2C2B" w:rsidRDefault="009E2C2B"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E2C2B" w:rsidRDefault="009E2C2B">
        <w:pPr>
          <w:pStyle w:val="Footer"/>
          <w:jc w:val="center"/>
        </w:pPr>
        <w:r>
          <w:fldChar w:fldCharType="begin"/>
        </w:r>
        <w:r>
          <w:instrText xml:space="preserve"> PAGE   \* MERGEFORMAT </w:instrText>
        </w:r>
        <w:r>
          <w:fldChar w:fldCharType="separate"/>
        </w:r>
        <w:r w:rsidR="00B4179A">
          <w:rPr>
            <w:noProof/>
          </w:rPr>
          <w:t>2</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224CF" w14:textId="77777777" w:rsidR="009E2C2B" w:rsidRDefault="009E2C2B" w:rsidP="00614C2C">
      <w:r>
        <w:separator/>
      </w:r>
    </w:p>
  </w:footnote>
  <w:footnote w:type="continuationSeparator" w:id="0">
    <w:p w14:paraId="6D8415B7" w14:textId="77777777" w:rsidR="009E2C2B" w:rsidRDefault="009E2C2B"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D81128"/>
    <w:multiLevelType w:val="multilevel"/>
    <w:tmpl w:val="E2A6A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76462994">
    <w:abstractNumId w:val="7"/>
  </w:num>
  <w:num w:numId="2" w16cid:durableId="331420502">
    <w:abstractNumId w:val="13"/>
  </w:num>
  <w:num w:numId="3" w16cid:durableId="445806945">
    <w:abstractNumId w:val="3"/>
  </w:num>
  <w:num w:numId="4" w16cid:durableId="54745477">
    <w:abstractNumId w:val="1"/>
  </w:num>
  <w:num w:numId="5" w16cid:durableId="955604711">
    <w:abstractNumId w:val="8"/>
  </w:num>
  <w:num w:numId="6" w16cid:durableId="126557064">
    <w:abstractNumId w:val="4"/>
  </w:num>
  <w:num w:numId="7" w16cid:durableId="742265536">
    <w:abstractNumId w:val="6"/>
  </w:num>
  <w:num w:numId="8" w16cid:durableId="45570230">
    <w:abstractNumId w:val="9"/>
  </w:num>
  <w:num w:numId="9" w16cid:durableId="135952963">
    <w:abstractNumId w:val="10"/>
  </w:num>
  <w:num w:numId="10" w16cid:durableId="655305773">
    <w:abstractNumId w:val="0"/>
  </w:num>
  <w:num w:numId="11" w16cid:durableId="1443039817">
    <w:abstractNumId w:val="2"/>
  </w:num>
  <w:num w:numId="12" w16cid:durableId="2135129567">
    <w:abstractNumId w:val="12"/>
  </w:num>
  <w:num w:numId="13" w16cid:durableId="1412118676">
    <w:abstractNumId w:val="11"/>
  </w:num>
  <w:num w:numId="14" w16cid:durableId="15421346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21116"/>
    <w:rsid w:val="000219DE"/>
    <w:rsid w:val="00031006"/>
    <w:rsid w:val="000606B3"/>
    <w:rsid w:val="000608DB"/>
    <w:rsid w:val="00062F39"/>
    <w:rsid w:val="00075A15"/>
    <w:rsid w:val="000836CB"/>
    <w:rsid w:val="00083DFD"/>
    <w:rsid w:val="000A3CD4"/>
    <w:rsid w:val="000C6264"/>
    <w:rsid w:val="000E15AD"/>
    <w:rsid w:val="000F1167"/>
    <w:rsid w:val="00133986"/>
    <w:rsid w:val="0014288C"/>
    <w:rsid w:val="00173884"/>
    <w:rsid w:val="001763F4"/>
    <w:rsid w:val="00181B70"/>
    <w:rsid w:val="00194744"/>
    <w:rsid w:val="001A02E8"/>
    <w:rsid w:val="001A14B6"/>
    <w:rsid w:val="001A7203"/>
    <w:rsid w:val="001D3E64"/>
    <w:rsid w:val="001E38DF"/>
    <w:rsid w:val="001E5575"/>
    <w:rsid w:val="00220B04"/>
    <w:rsid w:val="00224DE4"/>
    <w:rsid w:val="002252A6"/>
    <w:rsid w:val="002345C3"/>
    <w:rsid w:val="0023528E"/>
    <w:rsid w:val="00247790"/>
    <w:rsid w:val="002670C1"/>
    <w:rsid w:val="00272823"/>
    <w:rsid w:val="0028725D"/>
    <w:rsid w:val="00287E61"/>
    <w:rsid w:val="002905BE"/>
    <w:rsid w:val="0029076F"/>
    <w:rsid w:val="00295113"/>
    <w:rsid w:val="002954B6"/>
    <w:rsid w:val="002A5F77"/>
    <w:rsid w:val="002C39FD"/>
    <w:rsid w:val="002E3557"/>
    <w:rsid w:val="00307416"/>
    <w:rsid w:val="003139DC"/>
    <w:rsid w:val="00323444"/>
    <w:rsid w:val="00333864"/>
    <w:rsid w:val="00334D8A"/>
    <w:rsid w:val="003474D4"/>
    <w:rsid w:val="00350550"/>
    <w:rsid w:val="0037030F"/>
    <w:rsid w:val="00373892"/>
    <w:rsid w:val="00377037"/>
    <w:rsid w:val="00382273"/>
    <w:rsid w:val="0038556D"/>
    <w:rsid w:val="003976DE"/>
    <w:rsid w:val="003B03D6"/>
    <w:rsid w:val="003D1498"/>
    <w:rsid w:val="003E29B3"/>
    <w:rsid w:val="003F3D8D"/>
    <w:rsid w:val="00410C54"/>
    <w:rsid w:val="004129D2"/>
    <w:rsid w:val="0043389C"/>
    <w:rsid w:val="00445CFE"/>
    <w:rsid w:val="004552A8"/>
    <w:rsid w:val="00455A9A"/>
    <w:rsid w:val="004761BE"/>
    <w:rsid w:val="00476691"/>
    <w:rsid w:val="00494052"/>
    <w:rsid w:val="004C1BC6"/>
    <w:rsid w:val="004C217E"/>
    <w:rsid w:val="004C29A4"/>
    <w:rsid w:val="004C5BCE"/>
    <w:rsid w:val="004D42C2"/>
    <w:rsid w:val="004E3952"/>
    <w:rsid w:val="00506C85"/>
    <w:rsid w:val="00525E8D"/>
    <w:rsid w:val="0053434B"/>
    <w:rsid w:val="00580E90"/>
    <w:rsid w:val="00582242"/>
    <w:rsid w:val="005930E2"/>
    <w:rsid w:val="005A5DF4"/>
    <w:rsid w:val="005A7E47"/>
    <w:rsid w:val="005D0B8C"/>
    <w:rsid w:val="005D3224"/>
    <w:rsid w:val="005D51AC"/>
    <w:rsid w:val="005F6537"/>
    <w:rsid w:val="00601225"/>
    <w:rsid w:val="00606351"/>
    <w:rsid w:val="00614C2C"/>
    <w:rsid w:val="006150BB"/>
    <w:rsid w:val="0062204F"/>
    <w:rsid w:val="00624D05"/>
    <w:rsid w:val="00632DBA"/>
    <w:rsid w:val="00644454"/>
    <w:rsid w:val="006456B8"/>
    <w:rsid w:val="006469A2"/>
    <w:rsid w:val="00680F2A"/>
    <w:rsid w:val="00682883"/>
    <w:rsid w:val="00687C44"/>
    <w:rsid w:val="006973F9"/>
    <w:rsid w:val="006B0997"/>
    <w:rsid w:val="007106D1"/>
    <w:rsid w:val="00712D94"/>
    <w:rsid w:val="007156BD"/>
    <w:rsid w:val="0076703E"/>
    <w:rsid w:val="00774628"/>
    <w:rsid w:val="00776B6F"/>
    <w:rsid w:val="00780620"/>
    <w:rsid w:val="00781922"/>
    <w:rsid w:val="0079275C"/>
    <w:rsid w:val="007B31DC"/>
    <w:rsid w:val="007B6091"/>
    <w:rsid w:val="007C5A2C"/>
    <w:rsid w:val="007D7209"/>
    <w:rsid w:val="007F0E20"/>
    <w:rsid w:val="007F3B99"/>
    <w:rsid w:val="00812C0F"/>
    <w:rsid w:val="008171E8"/>
    <w:rsid w:val="00846B7C"/>
    <w:rsid w:val="00851127"/>
    <w:rsid w:val="00854624"/>
    <w:rsid w:val="008A1F08"/>
    <w:rsid w:val="008A4022"/>
    <w:rsid w:val="008B1E7C"/>
    <w:rsid w:val="008B6BF6"/>
    <w:rsid w:val="008C4EC6"/>
    <w:rsid w:val="008C757B"/>
    <w:rsid w:val="008D4A0A"/>
    <w:rsid w:val="008E0870"/>
    <w:rsid w:val="008E310D"/>
    <w:rsid w:val="008E31FE"/>
    <w:rsid w:val="00927065"/>
    <w:rsid w:val="00935128"/>
    <w:rsid w:val="009757CC"/>
    <w:rsid w:val="0098035D"/>
    <w:rsid w:val="00981986"/>
    <w:rsid w:val="009852EB"/>
    <w:rsid w:val="00987BD8"/>
    <w:rsid w:val="0099466E"/>
    <w:rsid w:val="009A622B"/>
    <w:rsid w:val="009A6A71"/>
    <w:rsid w:val="009A7DF3"/>
    <w:rsid w:val="009E27AD"/>
    <w:rsid w:val="009E2C2B"/>
    <w:rsid w:val="009E7623"/>
    <w:rsid w:val="00A012A2"/>
    <w:rsid w:val="00A14380"/>
    <w:rsid w:val="00A15740"/>
    <w:rsid w:val="00A16119"/>
    <w:rsid w:val="00A16A73"/>
    <w:rsid w:val="00A21C7C"/>
    <w:rsid w:val="00A365D9"/>
    <w:rsid w:val="00A4759F"/>
    <w:rsid w:val="00A53279"/>
    <w:rsid w:val="00A55420"/>
    <w:rsid w:val="00A84A3B"/>
    <w:rsid w:val="00AB0555"/>
    <w:rsid w:val="00AB099D"/>
    <w:rsid w:val="00AC06D5"/>
    <w:rsid w:val="00AC35C0"/>
    <w:rsid w:val="00AD4702"/>
    <w:rsid w:val="00AF186C"/>
    <w:rsid w:val="00B0402B"/>
    <w:rsid w:val="00B16CF6"/>
    <w:rsid w:val="00B2058B"/>
    <w:rsid w:val="00B26882"/>
    <w:rsid w:val="00B30114"/>
    <w:rsid w:val="00B330A4"/>
    <w:rsid w:val="00B34E25"/>
    <w:rsid w:val="00B4179A"/>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E6F7F"/>
    <w:rsid w:val="00BF384D"/>
    <w:rsid w:val="00C05FA6"/>
    <w:rsid w:val="00C20404"/>
    <w:rsid w:val="00C211F8"/>
    <w:rsid w:val="00C321E8"/>
    <w:rsid w:val="00C456AB"/>
    <w:rsid w:val="00C52FD2"/>
    <w:rsid w:val="00C83EB5"/>
    <w:rsid w:val="00CA370E"/>
    <w:rsid w:val="00CB0A0E"/>
    <w:rsid w:val="00CB1E5A"/>
    <w:rsid w:val="00CC4336"/>
    <w:rsid w:val="00CC5AB6"/>
    <w:rsid w:val="00CD5EE6"/>
    <w:rsid w:val="00CD69DB"/>
    <w:rsid w:val="00D42962"/>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273B"/>
    <w:rsid w:val="00E8699D"/>
    <w:rsid w:val="00E86FF9"/>
    <w:rsid w:val="00EB0209"/>
    <w:rsid w:val="00EB3FFE"/>
    <w:rsid w:val="00ED37CF"/>
    <w:rsid w:val="00EF143E"/>
    <w:rsid w:val="00EF4A8F"/>
    <w:rsid w:val="00F059A3"/>
    <w:rsid w:val="00F06902"/>
    <w:rsid w:val="00F20B98"/>
    <w:rsid w:val="00F21532"/>
    <w:rsid w:val="00F226DF"/>
    <w:rsid w:val="00F27289"/>
    <w:rsid w:val="00F36705"/>
    <w:rsid w:val="00F533D4"/>
    <w:rsid w:val="00F8240A"/>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3F07B170-90CE-431B-BA70-9E150EB82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9634037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18463755">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3743597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5945050">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685589719">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590</Words>
  <Characters>3367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5</cp:revision>
  <cp:lastPrinted>2025-02-17T12:55:00Z</cp:lastPrinted>
  <dcterms:created xsi:type="dcterms:W3CDTF">2025-09-30T03:38:00Z</dcterms:created>
  <dcterms:modified xsi:type="dcterms:W3CDTF">2025-10-01T14:00:00Z</dcterms:modified>
</cp:coreProperties>
</file>