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265B5E2"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0B4DDF">
        <w:rPr>
          <w:rFonts w:ascii="Book Antiqua" w:eastAsia="Times New Roman" w:hAnsi="Book Antiqua"/>
        </w:rPr>
        <w:t>2d</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02889D84"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221F18">
        <w:rPr>
          <w:rFonts w:ascii="Book Antiqua" w:eastAsia="Times New Roman" w:hAnsi="Book Antiqua"/>
          <w:b/>
          <w:sz w:val="52"/>
          <w:szCs w:val="52"/>
        </w:rPr>
        <w:t xml:space="preserve"> </w:t>
      </w:r>
      <w:r w:rsidR="008945E9">
        <w:rPr>
          <w:rFonts w:ascii="Book Antiqua" w:eastAsia="Times New Roman" w:hAnsi="Book Antiqua"/>
          <w:b/>
          <w:sz w:val="52"/>
          <w:szCs w:val="52"/>
        </w:rPr>
        <w:t xml:space="preserve">439 </w:t>
      </w:r>
    </w:p>
    <w:p w14:paraId="3E9B2539" w14:textId="77777777" w:rsidR="0088762E" w:rsidRPr="009B07A7" w:rsidRDefault="0088762E" w:rsidP="00A80A24">
      <w:pPr>
        <w:jc w:val="center"/>
        <w:rPr>
          <w:rFonts w:ascii="Book Antiqua" w:eastAsia="Times New Roman" w:hAnsi="Book Antiqua"/>
          <w:szCs w:val="24"/>
        </w:rPr>
      </w:pPr>
    </w:p>
    <w:p w14:paraId="60EFCF7A" w14:textId="12790E6E" w:rsidR="0088762E" w:rsidRPr="009B07A7" w:rsidRDefault="00A12C96" w:rsidP="00A80A24">
      <w:pPr>
        <w:jc w:val="center"/>
        <w:rPr>
          <w:rFonts w:ascii="Book Antiqua" w:eastAsia="Times New Roman" w:hAnsi="Book Antiqua"/>
        </w:rPr>
      </w:pPr>
      <w:r>
        <w:rPr>
          <w:rFonts w:ascii="Book Antiqua" w:eastAsia="Times New Roman" w:hAnsi="Book Antiqua"/>
        </w:rPr>
        <w:t>1</w:t>
      </w:r>
      <w:r w:rsidR="00A17FF2">
        <w:rPr>
          <w:rFonts w:ascii="Book Antiqua" w:eastAsia="Times New Roman" w:hAnsi="Book Antiqua"/>
        </w:rPr>
        <w:t>8</w:t>
      </w:r>
      <w:r w:rsidR="000B4DDF">
        <w:rPr>
          <w:rFonts w:ascii="Book Antiqua" w:eastAsia="Times New Roman" w:hAnsi="Book Antiqua"/>
        </w:rPr>
        <w:t xml:space="preserve"> </w:t>
      </w:r>
      <w:r w:rsidR="00BD5B62" w:rsidRPr="009B07A7">
        <w:rPr>
          <w:rFonts w:ascii="Book Antiqua" w:eastAsia="Times New Roman" w:hAnsi="Book Antiqua"/>
        </w:rPr>
        <w:t xml:space="preserve">DE </w:t>
      </w:r>
      <w:r w:rsidR="000B4DDF">
        <w:rPr>
          <w:rFonts w:ascii="Book Antiqua" w:eastAsia="Times New Roman" w:hAnsi="Book Antiqua"/>
        </w:rPr>
        <w:t>SEPTIEMBRE</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053C3B91"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B9348F">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B9348F" w:rsidRDefault="00A80A24" w:rsidP="00A80A24">
      <w:pPr>
        <w:jc w:val="center"/>
        <w:rPr>
          <w:rFonts w:ascii="Book Antiqua" w:eastAsia="Times New Roman" w:hAnsi="Book Antiqua"/>
          <w:b/>
          <w:szCs w:val="24"/>
        </w:rPr>
      </w:pPr>
    </w:p>
    <w:p w14:paraId="037E66EC" w14:textId="3A48BE06" w:rsidR="00A80A24" w:rsidRPr="00F51C84" w:rsidRDefault="00BA2B00" w:rsidP="00F51C84">
      <w:pPr>
        <w:ind w:left="600" w:hanging="60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BA2B00">
        <w:rPr>
          <w:rFonts w:ascii="Book Antiqua" w:hAnsi="Book Antiqua"/>
        </w:rPr>
        <w:t xml:space="preserve">Para ordenar a la Comisión de </w:t>
      </w:r>
      <w:r w:rsidR="005E5133">
        <w:rPr>
          <w:rFonts w:ascii="Book Antiqua" w:hAnsi="Book Antiqua"/>
        </w:rPr>
        <w:t xml:space="preserve">Transportación e Infraestructura </w:t>
      </w:r>
      <w:r w:rsidRPr="00BA2B00">
        <w:rPr>
          <w:rFonts w:ascii="Book Antiqua" w:hAnsi="Book Antiqua"/>
        </w:rPr>
        <w:t xml:space="preserve">y a la Comisión de la Región Sur de la Cámara de Representantes de Puerto Rico a </w:t>
      </w:r>
      <w:r w:rsidR="0046502B" w:rsidRPr="0046502B">
        <w:rPr>
          <w:rFonts w:ascii="Book Antiqua" w:hAnsi="Book Antiqua"/>
        </w:rPr>
        <w:t>realizar una investigación sobre los procesos de facturación, sobrefacturación y mecanismos de objeción de la Autoridad de Acueductos y Alcantarillados (AAA), en el Distrito Representativo 24 y en todo Puerto Rico</w:t>
      </w:r>
      <w:r w:rsidRPr="00BA2B00">
        <w:rPr>
          <w:rFonts w:ascii="Book Antiqua" w:hAnsi="Book Antiqua"/>
        </w:rPr>
        <w:t>; y para otros fines relacionados</w:t>
      </w:r>
      <w:r w:rsidR="000F5746" w:rsidRPr="000F5746">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61DC4F0A" w14:textId="2A200724" w:rsidR="0046502B" w:rsidRPr="0046502B" w:rsidRDefault="00DE3DAF" w:rsidP="0046502B">
      <w:pPr>
        <w:ind w:firstLine="600"/>
        <w:jc w:val="both"/>
        <w:rPr>
          <w:rFonts w:ascii="Book Antiqua" w:hAnsi="Book Antiqua"/>
        </w:rPr>
      </w:pPr>
      <w:r w:rsidRPr="00DE3DAF">
        <w:rPr>
          <w:rFonts w:ascii="Book Antiqua" w:hAnsi="Book Antiqua"/>
        </w:rPr>
        <w:t>E</w:t>
      </w:r>
      <w:r w:rsidR="0046502B" w:rsidRPr="0046502B">
        <w:rPr>
          <w:rFonts w:ascii="Book Antiqua" w:hAnsi="Book Antiqua"/>
        </w:rPr>
        <w:t>n los pasados meses se han reportado múltiples denuncias públicas sobre supuestas irregularidades en el proceso de facturación de la Autoridad de Acueductos y Alcantarillados (AAA), incluyendo aumentos súbitos y desproporcionados en las tarifas mensuales que pagan los abonados. Residentes que históricamente pagaban facturas de entre treinta y cuarenta dólares, ahora alegan haber recibido facturas de cien, doscientos e incluso miles de dólares, sin explicación clara ni base lógica evidente en su consumo regular.</w:t>
      </w:r>
    </w:p>
    <w:p w14:paraId="5BD127AB" w14:textId="77777777" w:rsidR="0046502B" w:rsidRPr="0046502B" w:rsidRDefault="0046502B" w:rsidP="0046502B">
      <w:pPr>
        <w:ind w:firstLine="600"/>
        <w:jc w:val="both"/>
        <w:rPr>
          <w:rFonts w:ascii="Book Antiqua" w:hAnsi="Book Antiqua"/>
        </w:rPr>
      </w:pPr>
    </w:p>
    <w:p w14:paraId="01EBC0B0" w14:textId="6D6A857F" w:rsidR="0046502B" w:rsidRPr="0046502B" w:rsidRDefault="0046502B" w:rsidP="0046502B">
      <w:pPr>
        <w:ind w:firstLine="600"/>
        <w:jc w:val="both"/>
        <w:rPr>
          <w:rFonts w:ascii="Book Antiqua" w:hAnsi="Book Antiqua"/>
        </w:rPr>
      </w:pPr>
      <w:r w:rsidRPr="0046502B">
        <w:rPr>
          <w:rFonts w:ascii="Book Antiqua" w:hAnsi="Book Antiqua"/>
        </w:rPr>
        <w:t>Este patrón ha sido identificado en distintas regiones del país, incluyendo el área sur y el Distrito Representativo 24, que comprende gran parte de</w:t>
      </w:r>
      <w:r>
        <w:rPr>
          <w:rFonts w:ascii="Book Antiqua" w:hAnsi="Book Antiqua"/>
        </w:rPr>
        <w:t xml:space="preserve"> la Ciudad </w:t>
      </w:r>
      <w:r w:rsidRPr="0046502B">
        <w:rPr>
          <w:rFonts w:ascii="Book Antiqua" w:hAnsi="Book Antiqua"/>
        </w:rPr>
        <w:t>de Ponce. Las quejas no solo apuntan a errores de lectura o falta de verificación en los sistemas de medición, sino también a la falta de acceso a una atención eficiente por parte de la AAA cuando se solicita revisión o explicación sobre la factura emitida.</w:t>
      </w:r>
    </w:p>
    <w:p w14:paraId="4C4BD330" w14:textId="77777777" w:rsidR="0046502B" w:rsidRPr="0046502B" w:rsidRDefault="0046502B" w:rsidP="0046502B">
      <w:pPr>
        <w:ind w:firstLine="600"/>
        <w:jc w:val="both"/>
        <w:rPr>
          <w:rFonts w:ascii="Book Antiqua" w:hAnsi="Book Antiqua"/>
        </w:rPr>
      </w:pPr>
    </w:p>
    <w:p w14:paraId="13F1BB93" w14:textId="733C74CB" w:rsidR="0046502B" w:rsidRPr="0046502B" w:rsidRDefault="0046502B" w:rsidP="0046502B">
      <w:pPr>
        <w:ind w:firstLine="600"/>
        <w:jc w:val="both"/>
        <w:rPr>
          <w:rFonts w:ascii="Book Antiqua" w:hAnsi="Book Antiqua"/>
        </w:rPr>
      </w:pPr>
      <w:r w:rsidRPr="0046502B">
        <w:rPr>
          <w:rFonts w:ascii="Book Antiqua" w:hAnsi="Book Antiqua"/>
        </w:rPr>
        <w:t xml:space="preserve">Cabe señalar que </w:t>
      </w:r>
      <w:r>
        <w:rPr>
          <w:rFonts w:ascii="Book Antiqua" w:hAnsi="Book Antiqua"/>
        </w:rPr>
        <w:t xml:space="preserve">es </w:t>
      </w:r>
      <w:r w:rsidRPr="0046502B">
        <w:rPr>
          <w:rFonts w:ascii="Book Antiqua" w:hAnsi="Book Antiqua"/>
        </w:rPr>
        <w:t>la propia Autoridad de Acueductos y Alcantarillados</w:t>
      </w:r>
      <w:r>
        <w:rPr>
          <w:rFonts w:ascii="Book Antiqua" w:hAnsi="Book Antiqua"/>
        </w:rPr>
        <w:t xml:space="preserve"> quien</w:t>
      </w:r>
      <w:r w:rsidRPr="0046502B">
        <w:rPr>
          <w:rFonts w:ascii="Book Antiqua" w:hAnsi="Book Antiqua"/>
        </w:rPr>
        <w:t xml:space="preserve"> establece un procedimiento para objetar facturas por parte de los abonados que entiendan</w:t>
      </w:r>
      <w:r>
        <w:rPr>
          <w:rFonts w:ascii="Book Antiqua" w:hAnsi="Book Antiqua"/>
        </w:rPr>
        <w:t xml:space="preserve"> </w:t>
      </w:r>
      <w:r w:rsidRPr="0046502B">
        <w:rPr>
          <w:rFonts w:ascii="Book Antiqua" w:hAnsi="Book Antiqua"/>
        </w:rPr>
        <w:lastRenderedPageBreak/>
        <w:t>existe un error. Este proceso consiste en que, una vez el cliente recibe su factura, tiene derecho a presentar una objeción, tras lo cual la AAA realiza una evaluación y emite una resolución final. Sin embargo, decenas de ciudadanos han reportado que dichas resoluciones terminan, casi sin excepción, confirmando el monto original, sin ofrecer una justificación clara, lo que deja al abonado sin recursos prácticos y obligado a pagar montos que muchas veces resultan insostenibles.</w:t>
      </w:r>
    </w:p>
    <w:p w14:paraId="3BB5A66F" w14:textId="77777777" w:rsidR="0046502B" w:rsidRPr="0046502B" w:rsidRDefault="0046502B" w:rsidP="0046502B">
      <w:pPr>
        <w:ind w:firstLine="600"/>
        <w:jc w:val="both"/>
        <w:rPr>
          <w:rFonts w:ascii="Book Antiqua" w:hAnsi="Book Antiqua"/>
        </w:rPr>
      </w:pPr>
    </w:p>
    <w:p w14:paraId="42BEB45C" w14:textId="2E5BFD4D" w:rsidR="0046502B" w:rsidRPr="0046502B" w:rsidRDefault="0046502B" w:rsidP="0046502B">
      <w:pPr>
        <w:ind w:firstLine="600"/>
        <w:jc w:val="both"/>
        <w:rPr>
          <w:rFonts w:ascii="Book Antiqua" w:hAnsi="Book Antiqua"/>
        </w:rPr>
      </w:pPr>
      <w:r w:rsidRPr="0046502B">
        <w:rPr>
          <w:rFonts w:ascii="Book Antiqua" w:hAnsi="Book Antiqua"/>
        </w:rPr>
        <w:t xml:space="preserve">Esta práctica, que se ha denunciado como sistemática, genera una percepción de falta de transparencia y sensibilidad por parte de la </w:t>
      </w:r>
      <w:r>
        <w:rPr>
          <w:rFonts w:ascii="Book Antiqua" w:hAnsi="Book Antiqua"/>
        </w:rPr>
        <w:t>corporación pública</w:t>
      </w:r>
      <w:r w:rsidRPr="0046502B">
        <w:rPr>
          <w:rFonts w:ascii="Book Antiqua" w:hAnsi="Book Antiqua"/>
        </w:rPr>
        <w:t>, especialmente cuando los aumentos no responden a cambios en el consumo, sino a factores fuera del control del abonado. El proceso de objeción, lejos de representar una vía justa y efectiva de revisión, ha pasado a ser visto como un trámite formal que no garantiza al abonado una evaluación real e imparcial.</w:t>
      </w:r>
    </w:p>
    <w:p w14:paraId="291A0491" w14:textId="77777777" w:rsidR="0046502B" w:rsidRPr="0046502B" w:rsidRDefault="0046502B" w:rsidP="0046502B">
      <w:pPr>
        <w:ind w:firstLine="600"/>
        <w:jc w:val="both"/>
        <w:rPr>
          <w:rFonts w:ascii="Book Antiqua" w:hAnsi="Book Antiqua"/>
        </w:rPr>
      </w:pPr>
    </w:p>
    <w:p w14:paraId="5D2E695B" w14:textId="54C4C47A" w:rsidR="00347D9F" w:rsidRPr="009B07A7" w:rsidRDefault="0046502B" w:rsidP="0046502B">
      <w:pPr>
        <w:ind w:firstLine="600"/>
        <w:jc w:val="both"/>
        <w:rPr>
          <w:rFonts w:ascii="Book Antiqua" w:hAnsi="Book Antiqua"/>
        </w:rPr>
      </w:pPr>
      <w:r w:rsidRPr="0046502B">
        <w:rPr>
          <w:rFonts w:ascii="Book Antiqua" w:hAnsi="Book Antiqua"/>
        </w:rPr>
        <w:t xml:space="preserve">Es deber de esta Asamblea Legislativa fiscalizar los procesos administrativos de las </w:t>
      </w:r>
      <w:r>
        <w:rPr>
          <w:rFonts w:ascii="Book Antiqua" w:hAnsi="Book Antiqua"/>
        </w:rPr>
        <w:t>corporaciones públicas</w:t>
      </w:r>
      <w:r w:rsidRPr="0046502B">
        <w:rPr>
          <w:rFonts w:ascii="Book Antiqua" w:hAnsi="Book Antiqua"/>
        </w:rPr>
        <w:t>, garantizar la transparencia en la prestación de servicios esenciales y proteger a la ciudadanía frente a prácticas que puedan resultar abusivas, opacas o negligentes. Esta resolución busca promover un proceso de investigación riguroso que arroje luz sobre los señalamientos antes expuestos, e identifique cambios necesarios para mejorar los procedimientos de facturación, objeción y atención al cliente de la AAA</w:t>
      </w:r>
      <w:r w:rsidR="002E421B" w:rsidRPr="002E421B">
        <w:rPr>
          <w:rFonts w:ascii="Book Antiqua" w:hAnsi="Book Antiqua"/>
        </w:rPr>
        <w:t>.</w:t>
      </w:r>
    </w:p>
    <w:p w14:paraId="6F227BCF" w14:textId="77777777" w:rsidR="00BD5B62" w:rsidRPr="009B07A7" w:rsidRDefault="00BD5B62" w:rsidP="00F51C84">
      <w:pPr>
        <w:pStyle w:val="BodyText"/>
        <w:tabs>
          <w:tab w:val="left" w:pos="720"/>
        </w:tabs>
        <w:spacing w:before="0"/>
        <w:rPr>
          <w:rFonts w:ascii="Book Antiqua" w:hAnsi="Book Antiqua"/>
          <w:lang w:val="es-PR"/>
        </w:rPr>
      </w:pPr>
    </w:p>
    <w:p w14:paraId="18F4A558"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7356CBDA" w14:textId="2BA06FC0" w:rsidR="0046502B" w:rsidRDefault="00AA3517" w:rsidP="0046502B">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457F42" w:rsidRPr="00457F42">
        <w:rPr>
          <w:rFonts w:ascii="Book Antiqua" w:hAnsi="Book Antiqua"/>
        </w:rPr>
        <w:t>S</w:t>
      </w:r>
      <w:r w:rsidR="005E5133" w:rsidRPr="005E5133">
        <w:rPr>
          <w:rFonts w:ascii="Book Antiqua" w:hAnsi="Book Antiqua"/>
        </w:rPr>
        <w:t xml:space="preserve">e </w:t>
      </w:r>
      <w:r w:rsidR="0046502B" w:rsidRPr="0046502B">
        <w:rPr>
          <w:rFonts w:ascii="Book Antiqua" w:hAnsi="Book Antiqua"/>
        </w:rPr>
        <w:t>ordena a la Comisión de Transportación e Infraestructura y a la Comisión de la Región Sur de la Cámara de Representantes de Puerto Rico, realizar una investigación exhaustiva sobre el sistema de facturación de la Autoridad de Acueductos y Alcantarillados (AAA), con énfasis en los siguientes aspectos:</w:t>
      </w:r>
    </w:p>
    <w:p w14:paraId="4C8B4025"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El proceso de medición y lectura de contadores en las residencias y comercios;</w:t>
      </w:r>
    </w:p>
    <w:p w14:paraId="3BFBFE6E"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La frecuencia y consistencia en la entrega de facturas;</w:t>
      </w:r>
    </w:p>
    <w:p w14:paraId="3FE9B45D"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Casos reportados de sobrefacturación en distintas regiones de Puerto Rico;</w:t>
      </w:r>
    </w:p>
    <w:p w14:paraId="05927321"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La atención a reclamaciones y tiempo de respuesta por parte de la AAA;</w:t>
      </w:r>
    </w:p>
    <w:p w14:paraId="3046548B"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Los métodos de cobro utilizados cuando el abonado no está conforme con la factura;</w:t>
      </w:r>
    </w:p>
    <w:p w14:paraId="35CFE18B"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lastRenderedPageBreak/>
        <w:t>El acceso a información por parte del abonado y la transparencia en el desglose del consumo;</w:t>
      </w:r>
    </w:p>
    <w:p w14:paraId="3900AF32"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La disponibilidad de personal para atender directamente al cliente, de manera presencial o remota;</w:t>
      </w:r>
    </w:p>
    <w:p w14:paraId="6ABC92D7" w14:textId="77777777" w:rsidR="0046502B" w:rsidRDefault="0046502B" w:rsidP="0046502B">
      <w:pPr>
        <w:pStyle w:val="ListParagraph"/>
        <w:numPr>
          <w:ilvl w:val="0"/>
          <w:numId w:val="15"/>
        </w:numPr>
        <w:spacing w:line="480" w:lineRule="auto"/>
        <w:jc w:val="both"/>
        <w:rPr>
          <w:rFonts w:ascii="Book Antiqua" w:hAnsi="Book Antiqua"/>
        </w:rPr>
      </w:pPr>
      <w:r w:rsidRPr="0046502B">
        <w:rPr>
          <w:rFonts w:ascii="Book Antiqua" w:hAnsi="Book Antiqua"/>
        </w:rPr>
        <w:t>El funcionamiento real del procedimiento de objeción de facturas, incluyendo:</w:t>
      </w:r>
    </w:p>
    <w:p w14:paraId="1628C500" w14:textId="77777777" w:rsidR="0046502B" w:rsidRDefault="0046502B" w:rsidP="0046502B">
      <w:pPr>
        <w:pStyle w:val="ListParagraph"/>
        <w:numPr>
          <w:ilvl w:val="1"/>
          <w:numId w:val="15"/>
        </w:numPr>
        <w:spacing w:line="480" w:lineRule="auto"/>
        <w:jc w:val="both"/>
        <w:rPr>
          <w:rFonts w:ascii="Book Antiqua" w:hAnsi="Book Antiqua"/>
        </w:rPr>
      </w:pPr>
      <w:r w:rsidRPr="0046502B">
        <w:rPr>
          <w:rFonts w:ascii="Book Antiqua" w:hAnsi="Book Antiqua"/>
        </w:rPr>
        <w:t>el número de objeciones radicadas;</w:t>
      </w:r>
    </w:p>
    <w:p w14:paraId="500E6A34" w14:textId="77777777" w:rsidR="0046502B" w:rsidRDefault="0046502B" w:rsidP="0046502B">
      <w:pPr>
        <w:pStyle w:val="ListParagraph"/>
        <w:numPr>
          <w:ilvl w:val="1"/>
          <w:numId w:val="15"/>
        </w:numPr>
        <w:spacing w:line="480" w:lineRule="auto"/>
        <w:jc w:val="both"/>
        <w:rPr>
          <w:rFonts w:ascii="Book Antiqua" w:hAnsi="Book Antiqua"/>
        </w:rPr>
      </w:pPr>
      <w:r w:rsidRPr="0046502B">
        <w:rPr>
          <w:rFonts w:ascii="Book Antiqua" w:hAnsi="Book Antiqua"/>
        </w:rPr>
        <w:t>el porciento de resoluciones emitidas a favor del cliente;</w:t>
      </w:r>
    </w:p>
    <w:p w14:paraId="17186082" w14:textId="77777777" w:rsidR="0046502B" w:rsidRDefault="0046502B" w:rsidP="0046502B">
      <w:pPr>
        <w:pStyle w:val="ListParagraph"/>
        <w:numPr>
          <w:ilvl w:val="1"/>
          <w:numId w:val="15"/>
        </w:numPr>
        <w:spacing w:line="480" w:lineRule="auto"/>
        <w:jc w:val="both"/>
        <w:rPr>
          <w:rFonts w:ascii="Book Antiqua" w:hAnsi="Book Antiqua"/>
        </w:rPr>
      </w:pPr>
      <w:r w:rsidRPr="0046502B">
        <w:rPr>
          <w:rFonts w:ascii="Book Antiqua" w:hAnsi="Book Antiqua"/>
        </w:rPr>
        <w:t>los criterios utilizados para evaluar las objeciones;</w:t>
      </w:r>
    </w:p>
    <w:p w14:paraId="68166E33" w14:textId="77777777" w:rsidR="0046502B" w:rsidRDefault="0046502B" w:rsidP="0046502B">
      <w:pPr>
        <w:pStyle w:val="ListParagraph"/>
        <w:numPr>
          <w:ilvl w:val="1"/>
          <w:numId w:val="15"/>
        </w:numPr>
        <w:spacing w:line="480" w:lineRule="auto"/>
        <w:jc w:val="both"/>
        <w:rPr>
          <w:rFonts w:ascii="Book Antiqua" w:hAnsi="Book Antiqua"/>
        </w:rPr>
      </w:pPr>
      <w:r w:rsidRPr="0046502B">
        <w:rPr>
          <w:rFonts w:ascii="Book Antiqua" w:hAnsi="Book Antiqua"/>
        </w:rPr>
        <w:t>la calidad y claridad de la comunicación con el cliente;</w:t>
      </w:r>
    </w:p>
    <w:p w14:paraId="4A6C14C9" w14:textId="2AB92921" w:rsidR="00AA3517" w:rsidRPr="0046502B" w:rsidRDefault="0046502B" w:rsidP="0046502B">
      <w:pPr>
        <w:pStyle w:val="ListParagraph"/>
        <w:numPr>
          <w:ilvl w:val="1"/>
          <w:numId w:val="15"/>
        </w:numPr>
        <w:spacing w:line="480" w:lineRule="auto"/>
        <w:jc w:val="both"/>
        <w:rPr>
          <w:rFonts w:ascii="Book Antiqua" w:hAnsi="Book Antiqua"/>
        </w:rPr>
      </w:pPr>
      <w:r w:rsidRPr="0046502B">
        <w:rPr>
          <w:rFonts w:ascii="Book Antiqua" w:hAnsi="Book Antiqua"/>
        </w:rPr>
        <w:t>y el grado de confiabilidad percibido por la ciudadanía</w:t>
      </w:r>
      <w:r>
        <w:rPr>
          <w:rFonts w:ascii="Book Antiqua" w:hAnsi="Book Antiqua"/>
        </w:rPr>
        <w:t>.</w:t>
      </w:r>
    </w:p>
    <w:p w14:paraId="60645771" w14:textId="043E6C24" w:rsidR="00C34978" w:rsidRDefault="00AA3517" w:rsidP="003E4C80">
      <w:pPr>
        <w:spacing w:line="480" w:lineRule="auto"/>
        <w:ind w:firstLine="720"/>
        <w:jc w:val="both"/>
        <w:rPr>
          <w:rFonts w:ascii="Book Antiqua" w:hAnsi="Book Antiqua"/>
        </w:rPr>
      </w:pPr>
      <w:r w:rsidRPr="000B251A">
        <w:rPr>
          <w:rFonts w:ascii="Book Antiqua" w:hAnsi="Book Antiqua"/>
        </w:rPr>
        <w:t xml:space="preserve">Sección </w:t>
      </w:r>
      <w:r w:rsidR="005E5133">
        <w:rPr>
          <w:rFonts w:ascii="Book Antiqua" w:hAnsi="Book Antiqua"/>
        </w:rPr>
        <w:t>2</w:t>
      </w:r>
      <w:r w:rsidRPr="000B251A">
        <w:rPr>
          <w:rFonts w:ascii="Book Antiqua" w:hAnsi="Book Antiqua"/>
        </w:rPr>
        <w:t>.-</w:t>
      </w:r>
      <w:r w:rsidR="00DE02C3" w:rsidRPr="000B251A">
        <w:rPr>
          <w:rFonts w:ascii="Book Antiqua" w:hAnsi="Book Antiqua"/>
        </w:rPr>
        <w:t xml:space="preserve"> </w:t>
      </w:r>
      <w:r w:rsidR="001346B2" w:rsidRPr="001346B2">
        <w:rPr>
          <w:rFonts w:ascii="Book Antiqua" w:hAnsi="Book Antiqua"/>
        </w:rPr>
        <w:t>La</w:t>
      </w:r>
      <w:r w:rsidR="001346B2">
        <w:rPr>
          <w:rFonts w:ascii="Book Antiqua" w:hAnsi="Book Antiqua"/>
        </w:rPr>
        <w:t>s</w:t>
      </w:r>
      <w:r w:rsidR="001346B2" w:rsidRPr="001346B2">
        <w:rPr>
          <w:rFonts w:ascii="Book Antiqua" w:hAnsi="Book Antiqua"/>
        </w:rPr>
        <w:t xml:space="preserve"> </w:t>
      </w:r>
      <w:r w:rsidR="00A12C96" w:rsidRPr="00A12C96">
        <w:rPr>
          <w:rFonts w:ascii="Book Antiqua" w:hAnsi="Book Antiqua"/>
        </w:rPr>
        <w:t>Comisiones podrán celebrar vistas públicas, reuniones ejecutivas, vistas oculares, citar funcionarios y testigos, requerir información, documentos y otros objetos a los fines de cumplir con el mandato de esta Resolución</w:t>
      </w:r>
      <w:r w:rsidR="001346B2" w:rsidRPr="001346B2">
        <w:rPr>
          <w:rFonts w:ascii="Book Antiqua" w:hAnsi="Book Antiqua"/>
        </w:rPr>
        <w:t>.</w:t>
      </w:r>
    </w:p>
    <w:p w14:paraId="42C587ED" w14:textId="3E4206D2" w:rsidR="00C34978" w:rsidRDefault="00C34978" w:rsidP="00C34978">
      <w:pPr>
        <w:spacing w:line="480" w:lineRule="auto"/>
        <w:jc w:val="both"/>
        <w:rPr>
          <w:rFonts w:ascii="Book Antiqua" w:hAnsi="Book Antiqua"/>
        </w:rPr>
      </w:pPr>
      <w:r>
        <w:rPr>
          <w:rFonts w:ascii="Book Antiqua" w:hAnsi="Book Antiqua"/>
        </w:rPr>
        <w:tab/>
        <w:t xml:space="preserve">Sección </w:t>
      </w:r>
      <w:r w:rsidR="005E5133">
        <w:rPr>
          <w:rFonts w:ascii="Book Antiqua" w:hAnsi="Book Antiqua"/>
        </w:rPr>
        <w:t>3</w:t>
      </w:r>
      <w:r>
        <w:rPr>
          <w:rFonts w:ascii="Book Antiqua" w:hAnsi="Book Antiqua"/>
        </w:rPr>
        <w:t xml:space="preserve">.- </w:t>
      </w:r>
      <w:r w:rsidR="00A12C96" w:rsidRPr="00A12C96">
        <w:rPr>
          <w:rFonts w:ascii="Book Antiqua" w:hAnsi="Book Antiqua"/>
        </w:rPr>
        <w:t>Las Comisiones rendirán informes con sus hallazgos, conclusiones y recomendaciones, incluyendo las acciones legislativas y administrativas que deban adoptarse con relación al asunto objeto de este estudio</w:t>
      </w:r>
      <w:r w:rsidR="00A12C96">
        <w:rPr>
          <w:rFonts w:ascii="Book Antiqua" w:hAnsi="Book Antiqua"/>
        </w:rPr>
        <w:t xml:space="preserve"> </w:t>
      </w:r>
      <w:r w:rsidR="00A12C96" w:rsidRPr="00A12C96">
        <w:rPr>
          <w:rFonts w:ascii="Book Antiqua" w:hAnsi="Book Antiqua"/>
        </w:rPr>
        <w:t>no más tarde de los noventa (90) días siguientes a la aprobación de esta Resolución</w:t>
      </w:r>
      <w:r w:rsidRPr="00C34978">
        <w:rPr>
          <w:rFonts w:ascii="Book Antiqua" w:hAnsi="Book Antiqua"/>
        </w:rPr>
        <w:t>.</w:t>
      </w:r>
    </w:p>
    <w:p w14:paraId="2ACB0613" w14:textId="437B56B5" w:rsidR="00A12C96" w:rsidRPr="0088762E" w:rsidRDefault="00A12C96" w:rsidP="00A12C96">
      <w:pPr>
        <w:spacing w:line="480" w:lineRule="auto"/>
        <w:ind w:firstLine="720"/>
        <w:jc w:val="both"/>
        <w:rPr>
          <w:rFonts w:ascii="Book Antiqua" w:hAnsi="Book Antiqua"/>
          <w:lang w:val="es-ES_tradnl"/>
        </w:rPr>
      </w:pPr>
      <w:r w:rsidRPr="00A12C96">
        <w:rPr>
          <w:rFonts w:ascii="Book Antiqua" w:hAnsi="Book Antiqua"/>
          <w:lang w:val="es-ES_tradnl"/>
        </w:rPr>
        <w:t xml:space="preserve">Sección </w:t>
      </w:r>
      <w:r>
        <w:rPr>
          <w:rFonts w:ascii="Book Antiqua" w:hAnsi="Book Antiqua"/>
          <w:lang w:val="es-ES_tradnl"/>
        </w:rPr>
        <w:t>4</w:t>
      </w:r>
      <w:r w:rsidRPr="00A12C96">
        <w:rPr>
          <w:rFonts w:ascii="Book Antiqua" w:hAnsi="Book Antiqua"/>
          <w:lang w:val="es-ES_tradnl"/>
        </w:rPr>
        <w:t>.- Esta Resolución comenzará a regir inmediatamente después de su aprobación.</w:t>
      </w:r>
    </w:p>
    <w:sectPr w:rsidR="00A12C96"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EFE9A" w14:textId="77777777" w:rsidR="00D8130A" w:rsidRPr="009B07A7" w:rsidRDefault="00D8130A">
      <w:r w:rsidRPr="009B07A7">
        <w:separator/>
      </w:r>
    </w:p>
  </w:endnote>
  <w:endnote w:type="continuationSeparator" w:id="0">
    <w:p w14:paraId="3AA33F99" w14:textId="77777777" w:rsidR="00D8130A" w:rsidRPr="009B07A7" w:rsidRDefault="00D8130A">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C593A" w14:textId="77777777" w:rsidR="00D8130A" w:rsidRPr="009B07A7" w:rsidRDefault="00D8130A">
      <w:r w:rsidRPr="009B07A7">
        <w:separator/>
      </w:r>
    </w:p>
  </w:footnote>
  <w:footnote w:type="continuationSeparator" w:id="0">
    <w:p w14:paraId="2B37153F" w14:textId="77777777" w:rsidR="00D8130A" w:rsidRPr="009B07A7" w:rsidRDefault="00D8130A">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1DF69B1"/>
    <w:multiLevelType w:val="hybridMultilevel"/>
    <w:tmpl w:val="F1ECAC9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4" w15:restartNumberingAfterBreak="0">
    <w:nsid w:val="044E5C53"/>
    <w:multiLevelType w:val="hybridMultilevel"/>
    <w:tmpl w:val="5EEABC6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9"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0"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1"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2"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3"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14"/>
  </w:num>
  <w:num w:numId="2" w16cid:durableId="2004894203">
    <w:abstractNumId w:val="2"/>
  </w:num>
  <w:num w:numId="3" w16cid:durableId="1609510521">
    <w:abstractNumId w:val="8"/>
  </w:num>
  <w:num w:numId="4" w16cid:durableId="1011494208">
    <w:abstractNumId w:val="9"/>
  </w:num>
  <w:num w:numId="5" w16cid:durableId="1770925831">
    <w:abstractNumId w:val="13"/>
  </w:num>
  <w:num w:numId="6" w16cid:durableId="142622212">
    <w:abstractNumId w:val="12"/>
  </w:num>
  <w:num w:numId="7" w16cid:durableId="2138911750">
    <w:abstractNumId w:val="6"/>
  </w:num>
  <w:num w:numId="8" w16cid:durableId="462968849">
    <w:abstractNumId w:val="7"/>
  </w:num>
  <w:num w:numId="9" w16cid:durableId="388652236">
    <w:abstractNumId w:val="10"/>
  </w:num>
  <w:num w:numId="10" w16cid:durableId="1662462281">
    <w:abstractNumId w:val="0"/>
  </w:num>
  <w:num w:numId="11" w16cid:durableId="1187716047">
    <w:abstractNumId w:val="3"/>
  </w:num>
  <w:num w:numId="12" w16cid:durableId="1640379086">
    <w:abstractNumId w:val="11"/>
  </w:num>
  <w:num w:numId="13" w16cid:durableId="1582181662">
    <w:abstractNumId w:val="5"/>
  </w:num>
  <w:num w:numId="14" w16cid:durableId="1517191019">
    <w:abstractNumId w:val="1"/>
  </w:num>
  <w:num w:numId="15" w16cid:durableId="97993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B436F"/>
    <w:rsid w:val="001B63C4"/>
    <w:rsid w:val="001C242F"/>
    <w:rsid w:val="001E51F3"/>
    <w:rsid w:val="00206FDA"/>
    <w:rsid w:val="00210337"/>
    <w:rsid w:val="00217C71"/>
    <w:rsid w:val="00220FCC"/>
    <w:rsid w:val="00221F18"/>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C0919"/>
    <w:rsid w:val="002D1EDF"/>
    <w:rsid w:val="002E0FC3"/>
    <w:rsid w:val="002E421B"/>
    <w:rsid w:val="002E69D6"/>
    <w:rsid w:val="002F7EDC"/>
    <w:rsid w:val="00302D62"/>
    <w:rsid w:val="00347D9F"/>
    <w:rsid w:val="00372251"/>
    <w:rsid w:val="00380AA3"/>
    <w:rsid w:val="003A015B"/>
    <w:rsid w:val="003A7175"/>
    <w:rsid w:val="003B56A6"/>
    <w:rsid w:val="003C359B"/>
    <w:rsid w:val="003E0A0A"/>
    <w:rsid w:val="003E4C80"/>
    <w:rsid w:val="003E78F2"/>
    <w:rsid w:val="003F44AD"/>
    <w:rsid w:val="00423BE7"/>
    <w:rsid w:val="0043568D"/>
    <w:rsid w:val="004361F9"/>
    <w:rsid w:val="00456C45"/>
    <w:rsid w:val="00457F42"/>
    <w:rsid w:val="0046502B"/>
    <w:rsid w:val="0047433D"/>
    <w:rsid w:val="004772A0"/>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E5133"/>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945E9"/>
    <w:rsid w:val="008A23EA"/>
    <w:rsid w:val="008A4C2F"/>
    <w:rsid w:val="008B605A"/>
    <w:rsid w:val="008C1DB8"/>
    <w:rsid w:val="008C496D"/>
    <w:rsid w:val="008F132E"/>
    <w:rsid w:val="008F4394"/>
    <w:rsid w:val="00921D76"/>
    <w:rsid w:val="00927A64"/>
    <w:rsid w:val="00973722"/>
    <w:rsid w:val="00984A3C"/>
    <w:rsid w:val="009B07A7"/>
    <w:rsid w:val="009C21E3"/>
    <w:rsid w:val="009E77BF"/>
    <w:rsid w:val="00A075C6"/>
    <w:rsid w:val="00A12C96"/>
    <w:rsid w:val="00A17FF2"/>
    <w:rsid w:val="00A33407"/>
    <w:rsid w:val="00A3499E"/>
    <w:rsid w:val="00A364D7"/>
    <w:rsid w:val="00A44A82"/>
    <w:rsid w:val="00A4773A"/>
    <w:rsid w:val="00A55737"/>
    <w:rsid w:val="00A67CE9"/>
    <w:rsid w:val="00A80A24"/>
    <w:rsid w:val="00A87AD9"/>
    <w:rsid w:val="00AA3517"/>
    <w:rsid w:val="00AC0CAE"/>
    <w:rsid w:val="00AC0E57"/>
    <w:rsid w:val="00AD5CFD"/>
    <w:rsid w:val="00AD67C2"/>
    <w:rsid w:val="00AF4CAC"/>
    <w:rsid w:val="00B06B5C"/>
    <w:rsid w:val="00B30C30"/>
    <w:rsid w:val="00B36FDE"/>
    <w:rsid w:val="00B46A26"/>
    <w:rsid w:val="00B56B2E"/>
    <w:rsid w:val="00B765BF"/>
    <w:rsid w:val="00B80B3D"/>
    <w:rsid w:val="00B848F2"/>
    <w:rsid w:val="00B9348F"/>
    <w:rsid w:val="00BA2B00"/>
    <w:rsid w:val="00BA7E80"/>
    <w:rsid w:val="00BD5B62"/>
    <w:rsid w:val="00BD61D3"/>
    <w:rsid w:val="00BF498B"/>
    <w:rsid w:val="00BF64EB"/>
    <w:rsid w:val="00C01124"/>
    <w:rsid w:val="00C3296F"/>
    <w:rsid w:val="00C34978"/>
    <w:rsid w:val="00C95A91"/>
    <w:rsid w:val="00CA4C9A"/>
    <w:rsid w:val="00CB13CF"/>
    <w:rsid w:val="00CD057A"/>
    <w:rsid w:val="00D06558"/>
    <w:rsid w:val="00D17F0F"/>
    <w:rsid w:val="00D30B02"/>
    <w:rsid w:val="00D3545E"/>
    <w:rsid w:val="00D41EF6"/>
    <w:rsid w:val="00D47D2B"/>
    <w:rsid w:val="00D5556F"/>
    <w:rsid w:val="00D63AEE"/>
    <w:rsid w:val="00D8130A"/>
    <w:rsid w:val="00D90B6A"/>
    <w:rsid w:val="00DA0E11"/>
    <w:rsid w:val="00DB2079"/>
    <w:rsid w:val="00DB5F2E"/>
    <w:rsid w:val="00DB6547"/>
    <w:rsid w:val="00DB7CFF"/>
    <w:rsid w:val="00DE02C3"/>
    <w:rsid w:val="00DE3DAF"/>
    <w:rsid w:val="00DE4CFE"/>
    <w:rsid w:val="00DF2A6A"/>
    <w:rsid w:val="00E02ACA"/>
    <w:rsid w:val="00E07576"/>
    <w:rsid w:val="00E54C8A"/>
    <w:rsid w:val="00E669F1"/>
    <w:rsid w:val="00E75E35"/>
    <w:rsid w:val="00E77E34"/>
    <w:rsid w:val="00E91B64"/>
    <w:rsid w:val="00EA09EB"/>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3</Pages>
  <Words>788</Words>
  <Characters>4464</Characters>
  <Application>Microsoft Office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Gladys J. Burgos Torres</cp:lastModifiedBy>
  <cp:revision>5</cp:revision>
  <cp:lastPrinted>2025-09-17T20:13:00Z</cp:lastPrinted>
  <dcterms:created xsi:type="dcterms:W3CDTF">2025-09-18T14:39:00Z</dcterms:created>
  <dcterms:modified xsi:type="dcterms:W3CDTF">2025-09-18T15:40:00Z</dcterms:modified>
</cp:coreProperties>
</file>