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0B527FC5"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E42F08">
        <w:rPr>
          <w:rFonts w:ascii="Book Antiqua" w:hAnsi="Book Antiqua"/>
          <w:b/>
          <w:sz w:val="52"/>
          <w:szCs w:val="52"/>
          <w:lang w:val="es-ES"/>
        </w:rPr>
        <w:t xml:space="preserve"> </w:t>
      </w:r>
      <w:r w:rsidR="009863D1">
        <w:rPr>
          <w:rFonts w:ascii="Book Antiqua" w:hAnsi="Book Antiqua"/>
          <w:b/>
          <w:sz w:val="52"/>
          <w:szCs w:val="52"/>
          <w:lang w:val="es-ES"/>
        </w:rPr>
        <w:t>la C. 860</w:t>
      </w:r>
    </w:p>
    <w:p w14:paraId="35CFB7DE" w14:textId="77777777" w:rsidR="00ED30AA" w:rsidRPr="000E7F54" w:rsidRDefault="00ED30AA" w:rsidP="00ED30AA">
      <w:pPr>
        <w:jc w:val="center"/>
        <w:rPr>
          <w:rFonts w:ascii="Book Antiqua" w:hAnsi="Book Antiqua"/>
          <w:sz w:val="28"/>
          <w:szCs w:val="28"/>
          <w:lang w:val="es-ES"/>
        </w:rPr>
      </w:pPr>
    </w:p>
    <w:p w14:paraId="25A7CA79" w14:textId="77E06F5C"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B64681">
        <w:rPr>
          <w:rFonts w:ascii="Book Antiqua" w:hAnsi="Book Antiqua"/>
          <w:sz w:val="28"/>
          <w:szCs w:val="28"/>
          <w:lang w:val="es-ES"/>
        </w:rPr>
        <w:t>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71611A7A" w:rsidR="00ED30AA" w:rsidRPr="000E7F54" w:rsidRDefault="00E022D6" w:rsidP="00ED30AA">
      <w:pPr>
        <w:jc w:val="center"/>
        <w:rPr>
          <w:rFonts w:ascii="Book Antiqua" w:hAnsi="Book Antiqua"/>
          <w:szCs w:val="24"/>
          <w:lang w:val="es-ES"/>
        </w:rPr>
      </w:pPr>
      <w:r>
        <w:rPr>
          <w:rFonts w:ascii="Book Antiqua" w:hAnsi="Book Antiqua"/>
          <w:bCs/>
          <w:szCs w:val="24"/>
          <w:lang w:val="es-ES"/>
        </w:rPr>
        <w:t>29</w:t>
      </w:r>
      <w:r w:rsidR="00A66CF3">
        <w:rPr>
          <w:rFonts w:ascii="Book Antiqua" w:hAnsi="Book Antiqua"/>
          <w:bCs/>
          <w:szCs w:val="24"/>
          <w:lang w:val="es-ES"/>
        </w:rPr>
        <w:t xml:space="preserve"> </w:t>
      </w:r>
      <w:r w:rsidR="004C36BC">
        <w:rPr>
          <w:rFonts w:ascii="Book Antiqua" w:hAnsi="Book Antiqua"/>
          <w:bCs/>
          <w:szCs w:val="24"/>
          <w:lang w:val="es-ES"/>
        </w:rPr>
        <w:t xml:space="preserve">DE </w:t>
      </w:r>
      <w:r w:rsidR="009863D1">
        <w:rPr>
          <w:rFonts w:ascii="Book Antiqua" w:hAnsi="Book Antiqua"/>
          <w:bCs/>
          <w:szCs w:val="24"/>
          <w:lang w:val="es-ES"/>
        </w:rPr>
        <w:t>ABRIL</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5E0546D4" w14:textId="78E63425" w:rsidR="00ED30AA" w:rsidRPr="009C3FBC" w:rsidRDefault="00821302" w:rsidP="00702F92">
      <w:pPr>
        <w:ind w:firstLine="720"/>
        <w:jc w:val="both"/>
        <w:rPr>
          <w:rFonts w:ascii="Book Antiqua" w:hAnsi="Book Antiqua"/>
          <w:szCs w:val="24"/>
          <w:lang w:val="es-ES"/>
        </w:rPr>
      </w:pPr>
      <w:r w:rsidRPr="00821302">
        <w:rPr>
          <w:rFonts w:ascii="Book Antiqua" w:hAnsi="Book Antiqua"/>
          <w:szCs w:val="24"/>
          <w:lang w:val="es-ES"/>
        </w:rPr>
        <w:t>La Comisión del Trabajo y Asuntos Laborales y la Comisión de Hacienda</w:t>
      </w:r>
      <w:r w:rsidR="00ED30AA" w:rsidRPr="009C3FBC">
        <w:rPr>
          <w:rFonts w:ascii="Book Antiqua" w:hAnsi="Book Antiqua"/>
          <w:szCs w:val="24"/>
          <w:lang w:val="es-ES"/>
        </w:rPr>
        <w:t xml:space="preserve"> de la Cámara de Representantes de Puerto Rico</w:t>
      </w:r>
      <w:r w:rsidR="00702F92">
        <w:rPr>
          <w:lang w:val="es-PR"/>
        </w:rPr>
        <w:t xml:space="preserve">, </w:t>
      </w:r>
      <w:r w:rsidR="00702F92" w:rsidRPr="00702F92">
        <w:rPr>
          <w:rFonts w:ascii="Book Antiqua" w:hAnsi="Book Antiqua"/>
          <w:szCs w:val="24"/>
          <w:lang w:val="es-ES"/>
        </w:rPr>
        <w:t xml:space="preserve">luego de evaluar el </w:t>
      </w:r>
      <w:r w:rsidR="00702F92" w:rsidRPr="00702F92">
        <w:rPr>
          <w:rFonts w:ascii="Book Antiqua" w:hAnsi="Book Antiqua"/>
          <w:b/>
          <w:bCs/>
          <w:szCs w:val="24"/>
          <w:lang w:val="es-ES"/>
        </w:rPr>
        <w:t xml:space="preserve">P. de </w:t>
      </w:r>
      <w:r w:rsidR="009863D1">
        <w:rPr>
          <w:rFonts w:ascii="Book Antiqua" w:hAnsi="Book Antiqua"/>
          <w:b/>
          <w:bCs/>
          <w:szCs w:val="24"/>
          <w:lang w:val="es-ES"/>
        </w:rPr>
        <w:t>la C. 860</w:t>
      </w:r>
      <w:r w:rsidR="00702F92" w:rsidRPr="00702F92">
        <w:rPr>
          <w:rFonts w:ascii="Book Antiqua" w:hAnsi="Book Antiqua"/>
          <w:szCs w:val="24"/>
          <w:lang w:val="es-ES"/>
        </w:rPr>
        <w:t xml:space="preserve">, así como los memoriales y/o ponencias recibidas, comparece respetuosamente para rendir este Informe </w:t>
      </w:r>
      <w:r w:rsidR="00672A3E">
        <w:rPr>
          <w:rFonts w:ascii="Book Antiqua" w:hAnsi="Book Antiqua"/>
          <w:szCs w:val="24"/>
          <w:lang w:val="es-ES"/>
        </w:rPr>
        <w:t>Positivo</w:t>
      </w:r>
      <w:r w:rsidR="00702F92" w:rsidRPr="00702F92">
        <w:rPr>
          <w:rFonts w:ascii="Book Antiqua" w:hAnsi="Book Antiqua"/>
          <w:szCs w:val="24"/>
          <w:lang w:val="es-ES"/>
        </w:rPr>
        <w:t>,</w:t>
      </w:r>
      <w:r w:rsidR="00672A3E">
        <w:rPr>
          <w:rFonts w:ascii="Book Antiqua" w:hAnsi="Book Antiqua"/>
          <w:szCs w:val="24"/>
          <w:lang w:val="es-ES"/>
        </w:rPr>
        <w:t xml:space="preserve"> recomendado su aprobación, </w:t>
      </w:r>
      <w:r w:rsidR="00672A3E" w:rsidRPr="00672A3E">
        <w:rPr>
          <w:rFonts w:ascii="Book Antiqua" w:hAnsi="Book Antiqua"/>
          <w:szCs w:val="24"/>
          <w:lang w:val="es-ES"/>
        </w:rPr>
        <w:t>con enmiendas en el entirillado electrónico que se aneja.</w:t>
      </w:r>
      <w:r w:rsidR="00702F92" w:rsidRPr="00702F92">
        <w:rPr>
          <w:rFonts w:ascii="Book Antiqua" w:hAnsi="Book Antiqua"/>
          <w:szCs w:val="24"/>
          <w:lang w:val="es-ES"/>
        </w:rPr>
        <w:t xml:space="preserve"> </w:t>
      </w:r>
    </w:p>
    <w:p w14:paraId="45434038" w14:textId="77777777" w:rsidR="00380AE8" w:rsidRDefault="00380AE8" w:rsidP="00ED30AA">
      <w:pPr>
        <w:jc w:val="center"/>
        <w:rPr>
          <w:rFonts w:ascii="Book Antiqua" w:hAnsi="Book Antiqua"/>
          <w:b/>
          <w:bCs/>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71A5B179" w14:textId="0A317136" w:rsidR="009863D1" w:rsidRPr="0068671D" w:rsidRDefault="002B60BE" w:rsidP="009863D1">
      <w:pPr>
        <w:ind w:left="720" w:hanging="720"/>
        <w:jc w:val="both"/>
        <w:rPr>
          <w:rFonts w:ascii="Book Antiqua" w:hAnsi="Book Antiqua"/>
          <w:lang w:val="es-ES"/>
        </w:rPr>
      </w:pPr>
      <w:r>
        <w:rPr>
          <w:rFonts w:ascii="Book Antiqua" w:hAnsi="Book Antiqua"/>
          <w:lang w:val="es-ES_tradnl"/>
        </w:rPr>
        <w:t>“</w:t>
      </w:r>
      <w:r w:rsidR="009863D1" w:rsidRPr="00522C28">
        <w:rPr>
          <w:rFonts w:ascii="Book Antiqua" w:hAnsi="Book Antiqua"/>
          <w:lang w:val="es-ES"/>
        </w:rPr>
        <w:t xml:space="preserve">Para </w:t>
      </w:r>
      <w:r w:rsidR="009863D1">
        <w:rPr>
          <w:rFonts w:ascii="Book Antiqua" w:hAnsi="Book Antiqua"/>
          <w:lang w:val="es-ES"/>
        </w:rPr>
        <w:t>añadir un inciso j</w:t>
      </w:r>
      <w:r w:rsidR="009863D1" w:rsidRPr="00522C28">
        <w:rPr>
          <w:rFonts w:ascii="Book Antiqua" w:hAnsi="Book Antiqua"/>
          <w:lang w:val="es-ES"/>
        </w:rPr>
        <w:t xml:space="preserve"> </w:t>
      </w:r>
      <w:r w:rsidR="009863D1">
        <w:rPr>
          <w:rFonts w:ascii="Book Antiqua" w:hAnsi="Book Antiqua"/>
          <w:lang w:val="es-ES"/>
        </w:rPr>
        <w:t xml:space="preserve">al Artículo 4 de la </w:t>
      </w:r>
      <w:r w:rsidR="009863D1" w:rsidRPr="00522C28">
        <w:rPr>
          <w:rFonts w:ascii="Book Antiqua" w:hAnsi="Book Antiqua"/>
          <w:lang w:val="es-ES"/>
        </w:rPr>
        <w:t>Ley Núm. 95 de 1963, según enmendada, conocida como la “</w:t>
      </w:r>
      <w:r w:rsidR="009863D1" w:rsidRPr="00B37F49">
        <w:rPr>
          <w:rFonts w:ascii="Book Antiqua" w:hAnsi="Book Antiqua"/>
          <w:lang w:val="es-ES"/>
        </w:rPr>
        <w:t>Ley de Beneficios de Salud para Empleados Públicos</w:t>
      </w:r>
      <w:r w:rsidR="009863D1" w:rsidRPr="00522C28">
        <w:rPr>
          <w:rFonts w:ascii="Book Antiqua" w:hAnsi="Book Antiqua"/>
          <w:lang w:val="es-ES"/>
        </w:rPr>
        <w:t>”, a los fines de disponer que, cuando un empleado tenga cubierta médica familiar mediante el plan de su cónyuge o de un familiar, no perderá el derecho a recibir la aportación patronal, sino que podrá recibirla como estipendio o subsidio para sufragar gastos médicos no cubiertos por dicho plan; y para otros fines relacionados.</w:t>
      </w:r>
      <w:r w:rsidR="009863D1">
        <w:rPr>
          <w:rFonts w:ascii="Book Antiqua" w:hAnsi="Book Antiqua"/>
          <w:lang w:val="es-ES"/>
        </w:rPr>
        <w:t>”</w:t>
      </w:r>
    </w:p>
    <w:p w14:paraId="568BC07A" w14:textId="57B9E57E" w:rsidR="00E42F08" w:rsidRPr="009C3FBC" w:rsidRDefault="00E42F08" w:rsidP="009863D1">
      <w:pPr>
        <w:rPr>
          <w:rFonts w:ascii="Book Antiqua" w:hAnsi="Book Antiqua"/>
          <w:b/>
          <w:szCs w:val="24"/>
          <w:lang w:val="es-ES"/>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7E9A4238" w:rsidR="001C0C85" w:rsidRPr="006849C3" w:rsidRDefault="001C0C85" w:rsidP="007D44E4">
      <w:pPr>
        <w:ind w:firstLine="720"/>
        <w:jc w:val="both"/>
        <w:rPr>
          <w:rFonts w:ascii="Book Antiqua" w:hAnsi="Book Antiqua"/>
          <w:b/>
          <w:szCs w:val="24"/>
          <w:lang w:val="es-PR"/>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para evaluar el presente Proyecto, solicitó memoriales explicativos al </w:t>
      </w:r>
      <w:r w:rsidR="009863D1" w:rsidRPr="009863D1">
        <w:rPr>
          <w:rFonts w:ascii="Book Antiqua" w:hAnsi="Book Antiqua"/>
          <w:b/>
          <w:szCs w:val="24"/>
          <w:lang w:val="es-ES"/>
        </w:rPr>
        <w:t>Oficina de Presupuesto de la Asamblea Legislativa (OPAL)</w:t>
      </w:r>
      <w:r w:rsidR="002E144E" w:rsidRPr="002E144E">
        <w:rPr>
          <w:rStyle w:val="FootnoteReference"/>
          <w:rFonts w:ascii="Book Antiqua" w:hAnsi="Book Antiqua"/>
          <w:szCs w:val="24"/>
          <w:lang w:val="es-ES"/>
        </w:rPr>
        <w:t xml:space="preserve"> </w:t>
      </w:r>
      <w:r w:rsidR="002E144E" w:rsidRPr="009C3FBC">
        <w:rPr>
          <w:rStyle w:val="FootnoteReference"/>
          <w:rFonts w:ascii="Book Antiqua" w:hAnsi="Book Antiqua"/>
          <w:szCs w:val="24"/>
          <w:lang w:val="es-ES"/>
        </w:rPr>
        <w:footnoteReference w:id="1"/>
      </w:r>
      <w:r w:rsidR="009C3FBC">
        <w:rPr>
          <w:rFonts w:ascii="Book Antiqua" w:hAnsi="Book Antiqua"/>
          <w:b/>
          <w:szCs w:val="24"/>
          <w:lang w:val="es-ES"/>
        </w:rPr>
        <w:t>,</w:t>
      </w:r>
      <w:r w:rsidR="00E42F08">
        <w:rPr>
          <w:rFonts w:ascii="Book Antiqua" w:hAnsi="Book Antiqua"/>
          <w:b/>
          <w:szCs w:val="24"/>
          <w:lang w:val="es-ES"/>
        </w:rPr>
        <w:t xml:space="preserve"> </w:t>
      </w:r>
      <w:r w:rsidR="0040082F" w:rsidRPr="0040082F">
        <w:rPr>
          <w:rFonts w:ascii="Book Antiqua" w:hAnsi="Book Antiqua"/>
          <w:b/>
          <w:szCs w:val="24"/>
          <w:lang w:val="es-ES"/>
        </w:rPr>
        <w:t xml:space="preserve">Programa de Servicios de </w:t>
      </w:r>
      <w:r w:rsidR="0040082F" w:rsidRPr="0040082F">
        <w:rPr>
          <w:rFonts w:ascii="Book Antiqua" w:hAnsi="Book Antiqua"/>
          <w:b/>
          <w:szCs w:val="24"/>
          <w:lang w:val="es-ES"/>
        </w:rPr>
        <w:lastRenderedPageBreak/>
        <w:t>Salud (PROSSAM)</w:t>
      </w:r>
      <w:r w:rsidR="004C36BC" w:rsidRPr="009C3FBC">
        <w:rPr>
          <w:rStyle w:val="FootnoteReference"/>
          <w:rFonts w:ascii="Book Antiqua" w:hAnsi="Book Antiqua"/>
          <w:szCs w:val="24"/>
          <w:lang w:val="es-ES"/>
        </w:rPr>
        <w:footnoteReference w:id="2"/>
      </w:r>
      <w:r w:rsidR="004C36BC" w:rsidRPr="009C3FBC">
        <w:rPr>
          <w:rFonts w:ascii="Book Antiqua" w:hAnsi="Book Antiqua"/>
          <w:szCs w:val="24"/>
          <w:lang w:val="es-ES"/>
        </w:rPr>
        <w:t xml:space="preserve"> </w:t>
      </w:r>
      <w:r w:rsidR="00E42F08">
        <w:rPr>
          <w:rFonts w:ascii="Book Antiqua" w:hAnsi="Book Antiqua"/>
          <w:b/>
          <w:bCs/>
          <w:szCs w:val="24"/>
          <w:lang w:val="es-ES"/>
        </w:rPr>
        <w:t xml:space="preserve">, </w:t>
      </w:r>
      <w:r w:rsidR="0040082F" w:rsidRPr="0040082F">
        <w:rPr>
          <w:rFonts w:ascii="Book Antiqua" w:hAnsi="Book Antiqua"/>
          <w:b/>
          <w:bCs/>
          <w:szCs w:val="24"/>
          <w:lang w:val="es-ES"/>
        </w:rPr>
        <w:t>Oficina del Comisionado de Seguros de Puerto Rico (OCS)</w:t>
      </w:r>
      <w:r w:rsidR="003C41D0" w:rsidRPr="009C3FBC">
        <w:rPr>
          <w:rStyle w:val="FootnoteReference"/>
          <w:rFonts w:ascii="Book Antiqua" w:hAnsi="Book Antiqua"/>
          <w:szCs w:val="24"/>
          <w:lang w:val="es-ES"/>
        </w:rPr>
        <w:footnoteReference w:id="3"/>
      </w:r>
      <w:r w:rsidR="00E8722B">
        <w:rPr>
          <w:rFonts w:ascii="Book Antiqua" w:hAnsi="Book Antiqua"/>
          <w:b/>
          <w:szCs w:val="24"/>
          <w:lang w:val="es-ES"/>
        </w:rPr>
        <w:t xml:space="preserve">, </w:t>
      </w:r>
      <w:r w:rsidR="009C3FBC">
        <w:rPr>
          <w:rFonts w:ascii="Book Antiqua" w:hAnsi="Book Antiqua"/>
          <w:b/>
          <w:szCs w:val="24"/>
          <w:lang w:val="es-ES"/>
        </w:rPr>
        <w:t xml:space="preserve"> </w:t>
      </w:r>
      <w:r w:rsidR="00E8722B" w:rsidRPr="00E8722B">
        <w:rPr>
          <w:rFonts w:ascii="Book Antiqua" w:hAnsi="Book Antiqua"/>
          <w:b/>
          <w:szCs w:val="24"/>
          <w:lang w:val="es-ES"/>
        </w:rPr>
        <w:t>Triple-S Salud, Inc.</w:t>
      </w:r>
      <w:r w:rsidR="003C41D0" w:rsidRPr="009C3FBC">
        <w:rPr>
          <w:rStyle w:val="FootnoteReference"/>
          <w:rFonts w:ascii="Book Antiqua" w:hAnsi="Book Antiqua"/>
          <w:szCs w:val="24"/>
          <w:lang w:val="es-ES"/>
        </w:rPr>
        <w:footnoteReference w:id="4"/>
      </w:r>
      <w:r w:rsidR="00E8722B">
        <w:rPr>
          <w:rFonts w:ascii="Book Antiqua" w:hAnsi="Book Antiqua"/>
          <w:b/>
          <w:szCs w:val="24"/>
          <w:lang w:val="es-ES"/>
        </w:rPr>
        <w:t xml:space="preserve">, </w:t>
      </w:r>
      <w:r w:rsidR="00E8722B" w:rsidRPr="00E8722B">
        <w:rPr>
          <w:rFonts w:ascii="Book Antiqua" w:hAnsi="Book Antiqua"/>
          <w:b/>
          <w:szCs w:val="24"/>
          <w:lang w:val="es-ES"/>
        </w:rPr>
        <w:t>Asociación de Compañías de Seguros de Puerto Rico (ACODESE)</w:t>
      </w:r>
      <w:r w:rsidR="00E8722B">
        <w:rPr>
          <w:rStyle w:val="FootnoteReference"/>
          <w:rFonts w:ascii="Book Antiqua" w:hAnsi="Book Antiqua"/>
          <w:b/>
          <w:szCs w:val="24"/>
          <w:lang w:val="es-ES"/>
        </w:rPr>
        <w:footnoteReference w:id="5"/>
      </w:r>
      <w:r w:rsidR="006849C3">
        <w:rPr>
          <w:rFonts w:ascii="Book Antiqua" w:hAnsi="Book Antiqua"/>
          <w:b/>
          <w:szCs w:val="24"/>
          <w:lang w:val="es-ES"/>
        </w:rPr>
        <w:t>,</w:t>
      </w:r>
      <w:r w:rsidR="00FC1525" w:rsidRPr="00FC1525">
        <w:rPr>
          <w:lang w:val="es-PR"/>
        </w:rPr>
        <w:t xml:space="preserve"> </w:t>
      </w:r>
      <w:r w:rsidR="00FC1525" w:rsidRPr="00FC1525">
        <w:rPr>
          <w:rFonts w:ascii="Book Antiqua" w:hAnsi="Book Antiqua"/>
          <w:b/>
          <w:szCs w:val="24"/>
          <w:lang w:val="es-ES"/>
        </w:rPr>
        <w:t>Oficina de Administración y Transformación de los Recursos Humanos (OATRH)</w:t>
      </w:r>
      <w:r w:rsidR="00FC1525">
        <w:rPr>
          <w:rStyle w:val="FootnoteReference"/>
          <w:rFonts w:ascii="Book Antiqua" w:hAnsi="Book Antiqua"/>
          <w:b/>
          <w:szCs w:val="24"/>
          <w:lang w:val="es-ES"/>
        </w:rPr>
        <w:footnoteReference w:id="6"/>
      </w:r>
      <w:r w:rsidR="006849C3">
        <w:rPr>
          <w:rFonts w:ascii="Book Antiqua" w:hAnsi="Book Antiqua"/>
          <w:b/>
          <w:szCs w:val="24"/>
          <w:lang w:val="es-ES"/>
        </w:rPr>
        <w:t xml:space="preserve"> Plan de Salud Menonita</w:t>
      </w:r>
      <w:r w:rsidR="006849C3">
        <w:rPr>
          <w:rStyle w:val="FootnoteReference"/>
          <w:rFonts w:ascii="Book Antiqua" w:hAnsi="Book Antiqua"/>
          <w:b/>
          <w:szCs w:val="24"/>
          <w:lang w:val="es-ES"/>
        </w:rPr>
        <w:footnoteReference w:id="7"/>
      </w:r>
      <w:r w:rsidR="006849C3">
        <w:rPr>
          <w:rFonts w:ascii="Book Antiqua" w:hAnsi="Book Antiqua"/>
          <w:b/>
          <w:szCs w:val="24"/>
          <w:lang w:val="es-ES"/>
        </w:rPr>
        <w:t>, First Medical Health Plan, Inc.</w:t>
      </w:r>
      <w:r w:rsidR="006849C3">
        <w:rPr>
          <w:rStyle w:val="FootnoteReference"/>
          <w:rFonts w:ascii="Book Antiqua" w:hAnsi="Book Antiqua"/>
          <w:b/>
          <w:szCs w:val="24"/>
          <w:lang w:val="es-ES"/>
        </w:rPr>
        <w:footnoteReference w:id="8"/>
      </w:r>
      <w:r w:rsidR="006849C3">
        <w:rPr>
          <w:rFonts w:ascii="Book Antiqua" w:hAnsi="Book Antiqua"/>
          <w:b/>
          <w:szCs w:val="24"/>
          <w:lang w:val="es-ES"/>
        </w:rPr>
        <w:t>, Departamento de Hacienda (DH)</w:t>
      </w:r>
      <w:r w:rsidR="006849C3">
        <w:rPr>
          <w:rStyle w:val="FootnoteReference"/>
          <w:rFonts w:ascii="Book Antiqua" w:hAnsi="Book Antiqua"/>
          <w:b/>
          <w:szCs w:val="24"/>
          <w:lang w:val="es-ES"/>
        </w:rPr>
        <w:footnoteReference w:id="9"/>
      </w:r>
      <w:r w:rsidR="006849C3">
        <w:rPr>
          <w:rFonts w:ascii="Book Antiqua" w:hAnsi="Book Antiqua"/>
          <w:b/>
          <w:szCs w:val="24"/>
          <w:lang w:val="es-ES"/>
        </w:rPr>
        <w:t>,</w:t>
      </w:r>
      <w:r w:rsidR="00FC1525">
        <w:rPr>
          <w:rFonts w:ascii="Book Antiqua" w:hAnsi="Book Antiqua"/>
          <w:b/>
          <w:szCs w:val="24"/>
          <w:lang w:val="es-ES"/>
        </w:rPr>
        <w:t xml:space="preserve">  y la</w:t>
      </w:r>
      <w:r w:rsidR="006849C3">
        <w:rPr>
          <w:rFonts w:ascii="Book Antiqua" w:hAnsi="Book Antiqua"/>
          <w:b/>
          <w:szCs w:val="24"/>
          <w:lang w:val="es-ES"/>
        </w:rPr>
        <w:t xml:space="preserve"> Administración de Seguros de Salud</w:t>
      </w:r>
      <w:r w:rsidR="006849C3">
        <w:rPr>
          <w:rStyle w:val="FootnoteReference"/>
          <w:rFonts w:ascii="Book Antiqua" w:hAnsi="Book Antiqua"/>
          <w:b/>
          <w:szCs w:val="24"/>
          <w:lang w:val="es-ES"/>
        </w:rPr>
        <w:footnoteReference w:id="10"/>
      </w:r>
      <w:r w:rsidR="00FC1525">
        <w:rPr>
          <w:rFonts w:ascii="Book Antiqua" w:hAnsi="Book Antiqua"/>
          <w:b/>
          <w:szCs w:val="24"/>
          <w:lang w:val="es-ES"/>
        </w:rPr>
        <w:t>.</w:t>
      </w:r>
    </w:p>
    <w:p w14:paraId="6085AC93" w14:textId="77777777" w:rsidR="00964006" w:rsidRDefault="00964006" w:rsidP="009863D1">
      <w:pPr>
        <w:rPr>
          <w:rFonts w:ascii="Book Antiqua" w:hAnsi="Book Antiqua"/>
          <w:b/>
          <w:szCs w:val="24"/>
          <w:u w:val="single"/>
          <w:lang w:val="es-ES"/>
        </w:rPr>
      </w:pPr>
    </w:p>
    <w:p w14:paraId="08FAE42E" w14:textId="77777777" w:rsidR="009863D1" w:rsidRDefault="009863D1" w:rsidP="00883C0D">
      <w:pPr>
        <w:ind w:firstLine="720"/>
        <w:jc w:val="center"/>
        <w:rPr>
          <w:rFonts w:ascii="Book Antiqua" w:hAnsi="Book Antiqua"/>
          <w:b/>
          <w:szCs w:val="24"/>
          <w:u w:val="single"/>
          <w:lang w:val="es-ES"/>
        </w:rPr>
      </w:pPr>
      <w:r w:rsidRPr="009863D1">
        <w:rPr>
          <w:rFonts w:ascii="Book Antiqua" w:hAnsi="Book Antiqua"/>
          <w:b/>
          <w:szCs w:val="24"/>
          <w:u w:val="single"/>
          <w:lang w:val="es-ES"/>
        </w:rPr>
        <w:t xml:space="preserve">Oficina de Presupuesto de la Asamblea Legislativa (OPAL) </w:t>
      </w:r>
    </w:p>
    <w:p w14:paraId="37600A1A" w14:textId="454CDAB9"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9863D1">
        <w:rPr>
          <w:rFonts w:ascii="Book Antiqua" w:hAnsi="Book Antiqua"/>
          <w:bCs/>
          <w:szCs w:val="24"/>
          <w:lang w:val="es-ES"/>
        </w:rPr>
        <w:t>noviembre</w:t>
      </w:r>
      <w:r w:rsidR="00F358C0">
        <w:rPr>
          <w:rFonts w:ascii="Book Antiqua" w:hAnsi="Book Antiqua"/>
          <w:bCs/>
          <w:szCs w:val="24"/>
          <w:lang w:val="es-ES"/>
        </w:rPr>
        <w:t xml:space="preserve"> de 2025</w:t>
      </w:r>
      <w:r w:rsidRPr="009C3FBC">
        <w:rPr>
          <w:rFonts w:ascii="Book Antiqua" w:hAnsi="Book Antiqua"/>
          <w:bCs/>
          <w:szCs w:val="24"/>
          <w:lang w:val="es-ES"/>
        </w:rPr>
        <w:t>)</w:t>
      </w:r>
    </w:p>
    <w:p w14:paraId="741C8AD6" w14:textId="77777777" w:rsidR="00883C0D" w:rsidRPr="009C3FBC" w:rsidRDefault="00883C0D" w:rsidP="00883C0D">
      <w:pPr>
        <w:jc w:val="both"/>
        <w:rPr>
          <w:rFonts w:ascii="Book Antiqua" w:hAnsi="Book Antiqua"/>
          <w:b/>
          <w:szCs w:val="24"/>
          <w:lang w:val="es-ES"/>
        </w:rPr>
      </w:pPr>
    </w:p>
    <w:p w14:paraId="7BBD58DE" w14:textId="17526F90" w:rsidR="009863D1" w:rsidRPr="009863D1" w:rsidRDefault="009863D1" w:rsidP="009863D1">
      <w:pPr>
        <w:ind w:firstLine="720"/>
        <w:jc w:val="both"/>
        <w:rPr>
          <w:rFonts w:ascii="Book Antiqua" w:hAnsi="Book Antiqua"/>
          <w:bCs/>
          <w:szCs w:val="24"/>
          <w:lang w:val="es-ES"/>
        </w:rPr>
      </w:pPr>
      <w:r w:rsidRPr="009863D1">
        <w:rPr>
          <w:rFonts w:ascii="Book Antiqua" w:hAnsi="Book Antiqua"/>
          <w:bCs/>
          <w:szCs w:val="24"/>
          <w:lang w:val="es-ES"/>
        </w:rPr>
        <w:t xml:space="preserve">La Oficina de Presupuesto de la Asamblea Legislativa de Puerto Rico (OPAL) evaluó el P. de la C. 860, el cual propone la concesión de un estipendio mensual a los empleados público que acrediten contar con una cubierta médica familiar provista por su cónyuge o familiar cercano. Dicho estipendio estaría destinado exclusivamente a sufragar los gastos que no sean cubiertos por la referida cubierta </w:t>
      </w:r>
      <w:proofErr w:type="gramStart"/>
      <w:r w:rsidRPr="009863D1">
        <w:rPr>
          <w:rFonts w:ascii="Book Antiqua" w:hAnsi="Book Antiqua"/>
          <w:bCs/>
          <w:szCs w:val="24"/>
          <w:lang w:val="es-ES"/>
        </w:rPr>
        <w:t>familiar externa</w:t>
      </w:r>
      <w:proofErr w:type="gramEnd"/>
      <w:r w:rsidRPr="009863D1">
        <w:rPr>
          <w:rFonts w:ascii="Book Antiqua" w:hAnsi="Book Antiqua"/>
          <w:bCs/>
          <w:szCs w:val="24"/>
          <w:lang w:val="es-ES"/>
        </w:rPr>
        <w:t>.</w:t>
      </w:r>
    </w:p>
    <w:p w14:paraId="2A07417F" w14:textId="77777777" w:rsidR="009863D1" w:rsidRPr="009863D1" w:rsidRDefault="009863D1" w:rsidP="009863D1">
      <w:pPr>
        <w:ind w:firstLine="720"/>
        <w:jc w:val="both"/>
        <w:rPr>
          <w:rFonts w:ascii="Book Antiqua" w:hAnsi="Book Antiqua"/>
          <w:bCs/>
          <w:szCs w:val="24"/>
          <w:lang w:val="es-ES"/>
        </w:rPr>
      </w:pPr>
    </w:p>
    <w:p w14:paraId="2E7A8C27" w14:textId="5C506E64" w:rsidR="002B60BE" w:rsidRDefault="009863D1" w:rsidP="009863D1">
      <w:pPr>
        <w:ind w:firstLine="720"/>
        <w:jc w:val="both"/>
        <w:rPr>
          <w:rFonts w:ascii="Book Antiqua" w:hAnsi="Book Antiqua"/>
          <w:bCs/>
          <w:szCs w:val="24"/>
          <w:lang w:val="es-ES"/>
        </w:rPr>
      </w:pPr>
      <w:r w:rsidRPr="009863D1">
        <w:rPr>
          <w:rFonts w:ascii="Book Antiqua" w:hAnsi="Book Antiqua"/>
          <w:bCs/>
          <w:szCs w:val="24"/>
          <w:lang w:val="es-ES"/>
        </w:rPr>
        <w:t>Tras su análisis, la OPAL concluye que la aprobación de la medida no conllevaría un impacto presupuestario, toda vez que los fondos provendrían de las aportaciones patronales ya consideradas dentro de los presupuestos de las agencias y entidades gubernamentales para el pago de cubiertas médicas. No obstante, la aprobación del P. de la C. 860 implicaría un incremento en desembolsos contra la partida presupuestaria de beneficios marginales debido a aquellos casos en los que los empleados no aprovechen la aportación patronal por contar con una cubierta médica propia.</w:t>
      </w:r>
    </w:p>
    <w:p w14:paraId="6A4B9251" w14:textId="77777777" w:rsidR="009863D1" w:rsidRDefault="009863D1" w:rsidP="009863D1">
      <w:pPr>
        <w:ind w:firstLine="720"/>
        <w:jc w:val="both"/>
        <w:rPr>
          <w:rFonts w:ascii="Book Antiqua" w:hAnsi="Book Antiqua"/>
          <w:bCs/>
          <w:szCs w:val="24"/>
          <w:lang w:val="es-ES"/>
        </w:rPr>
      </w:pPr>
    </w:p>
    <w:p w14:paraId="1A428697" w14:textId="7DC4E255" w:rsidR="0040082F" w:rsidRDefault="0040082F" w:rsidP="00F358C0">
      <w:pPr>
        <w:ind w:firstLine="720"/>
        <w:jc w:val="center"/>
        <w:rPr>
          <w:rFonts w:ascii="Book Antiqua" w:hAnsi="Book Antiqua"/>
          <w:b/>
          <w:szCs w:val="24"/>
          <w:u w:val="single"/>
          <w:lang w:val="es-ES"/>
        </w:rPr>
      </w:pPr>
      <w:r w:rsidRPr="0040082F">
        <w:rPr>
          <w:rFonts w:ascii="Book Antiqua" w:hAnsi="Book Antiqua"/>
          <w:b/>
          <w:szCs w:val="24"/>
          <w:u w:val="single"/>
          <w:lang w:val="es-ES"/>
        </w:rPr>
        <w:t>Programa de Servicios de Salud</w:t>
      </w:r>
      <w:r>
        <w:rPr>
          <w:rFonts w:ascii="Book Antiqua" w:hAnsi="Book Antiqua"/>
          <w:b/>
          <w:szCs w:val="24"/>
          <w:u w:val="single"/>
          <w:lang w:val="es-ES"/>
        </w:rPr>
        <w:t xml:space="preserve"> de la Asociación de Maestros</w:t>
      </w:r>
      <w:r w:rsidRPr="0040082F">
        <w:rPr>
          <w:rFonts w:ascii="Book Antiqua" w:hAnsi="Book Antiqua"/>
          <w:b/>
          <w:szCs w:val="24"/>
          <w:u w:val="single"/>
          <w:lang w:val="es-ES"/>
        </w:rPr>
        <w:t xml:space="preserve"> (PROSSAM) </w:t>
      </w:r>
    </w:p>
    <w:p w14:paraId="7F7FB166" w14:textId="07EBB0EC" w:rsidR="00F358C0" w:rsidRDefault="0040082F" w:rsidP="00F358C0">
      <w:pPr>
        <w:ind w:firstLine="720"/>
        <w:jc w:val="center"/>
        <w:rPr>
          <w:rFonts w:ascii="Book Antiqua" w:hAnsi="Book Antiqua"/>
          <w:bCs/>
          <w:szCs w:val="24"/>
          <w:lang w:val="es-ES"/>
        </w:rPr>
      </w:pPr>
      <w:r>
        <w:rPr>
          <w:rFonts w:ascii="Book Antiqua" w:hAnsi="Book Antiqua"/>
          <w:bCs/>
          <w:szCs w:val="24"/>
          <w:lang w:val="es-ES"/>
        </w:rPr>
        <w:t>(21 de en</w:t>
      </w:r>
      <w:r w:rsidR="00F358C0">
        <w:rPr>
          <w:rFonts w:ascii="Book Antiqua" w:hAnsi="Book Antiqua"/>
          <w:bCs/>
          <w:szCs w:val="24"/>
          <w:lang w:val="es-ES"/>
        </w:rPr>
        <w:t>e</w:t>
      </w:r>
      <w:r>
        <w:rPr>
          <w:rFonts w:ascii="Book Antiqua" w:hAnsi="Book Antiqua"/>
          <w:bCs/>
          <w:szCs w:val="24"/>
          <w:lang w:val="es-ES"/>
        </w:rPr>
        <w:t>ro de</w:t>
      </w:r>
      <w:r w:rsidR="00F358C0">
        <w:rPr>
          <w:rFonts w:ascii="Book Antiqua" w:hAnsi="Book Antiqua"/>
          <w:bCs/>
          <w:szCs w:val="24"/>
          <w:lang w:val="es-ES"/>
        </w:rPr>
        <w:t xml:space="preserve"> 202</w:t>
      </w:r>
      <w:r>
        <w:rPr>
          <w:rFonts w:ascii="Book Antiqua" w:hAnsi="Book Antiqua"/>
          <w:bCs/>
          <w:szCs w:val="24"/>
          <w:lang w:val="es-ES"/>
        </w:rPr>
        <w:t>6</w:t>
      </w:r>
      <w:r w:rsidR="00F358C0" w:rsidRPr="009C3FBC">
        <w:rPr>
          <w:rFonts w:ascii="Book Antiqua" w:hAnsi="Book Antiqua"/>
          <w:bCs/>
          <w:szCs w:val="24"/>
          <w:lang w:val="es-ES"/>
        </w:rPr>
        <w:t>)</w:t>
      </w:r>
    </w:p>
    <w:p w14:paraId="5B55E542" w14:textId="77777777" w:rsidR="00F358C0" w:rsidRPr="009C3FBC" w:rsidRDefault="00F358C0" w:rsidP="00F358C0">
      <w:pPr>
        <w:ind w:firstLine="720"/>
        <w:rPr>
          <w:rFonts w:ascii="Book Antiqua" w:hAnsi="Book Antiqua"/>
          <w:bCs/>
          <w:szCs w:val="24"/>
          <w:lang w:val="es-ES"/>
        </w:rPr>
      </w:pPr>
    </w:p>
    <w:p w14:paraId="6FB89E10" w14:textId="0B56B66E" w:rsidR="0040082F" w:rsidRDefault="0040082F" w:rsidP="0040082F">
      <w:pPr>
        <w:ind w:firstLine="720"/>
        <w:jc w:val="both"/>
        <w:rPr>
          <w:rFonts w:ascii="Book Antiqua" w:hAnsi="Book Antiqua"/>
          <w:bCs/>
          <w:szCs w:val="24"/>
          <w:lang w:val="es-ES"/>
        </w:rPr>
      </w:pPr>
      <w:r w:rsidRPr="0040082F">
        <w:rPr>
          <w:rFonts w:ascii="Book Antiqua" w:hAnsi="Book Antiqua"/>
          <w:bCs/>
          <w:szCs w:val="24"/>
          <w:lang w:val="es-ES"/>
        </w:rPr>
        <w:t xml:space="preserve">La AMPR y su Programa de Servicios de Salud (PROSSAM), representados por su presidente, el Prof. Víctor M. Bonilla Sánchez, sometieron un memorial explicativo en el que expresan su total aval al </w:t>
      </w:r>
      <w:r>
        <w:rPr>
          <w:rFonts w:ascii="Book Antiqua" w:hAnsi="Book Antiqua"/>
          <w:bCs/>
          <w:szCs w:val="24"/>
          <w:lang w:val="es-ES"/>
        </w:rPr>
        <w:t>P. de la C. 860</w:t>
      </w:r>
      <w:r w:rsidRPr="0040082F">
        <w:rPr>
          <w:rFonts w:ascii="Book Antiqua" w:hAnsi="Book Antiqua"/>
          <w:bCs/>
          <w:szCs w:val="24"/>
          <w:lang w:val="es-ES"/>
        </w:rPr>
        <w:t>. La organización sostiene que la medida es cónsona con el espíritu de justicia social de la Ley Núm. 95 de 1963, al corregir la realidad práctica en la que un empleado público pierde su beneficio de aportación patronal por estar acogido a la cubierta médica familiar de un cónyuge o pariente</w:t>
      </w:r>
      <w:r>
        <w:rPr>
          <w:rFonts w:ascii="Book Antiqua" w:hAnsi="Book Antiqua"/>
          <w:bCs/>
          <w:szCs w:val="24"/>
          <w:lang w:val="es-ES"/>
        </w:rPr>
        <w:t>.</w:t>
      </w:r>
    </w:p>
    <w:p w14:paraId="60B09AE9" w14:textId="77777777" w:rsidR="0040082F" w:rsidRPr="0040082F" w:rsidRDefault="0040082F" w:rsidP="0040082F">
      <w:pPr>
        <w:ind w:firstLine="720"/>
        <w:jc w:val="both"/>
        <w:rPr>
          <w:rFonts w:ascii="Book Antiqua" w:hAnsi="Book Antiqua"/>
          <w:bCs/>
          <w:szCs w:val="24"/>
          <w:lang w:val="es-ES"/>
        </w:rPr>
      </w:pPr>
    </w:p>
    <w:p w14:paraId="7F97B98E" w14:textId="3EFBDFF0" w:rsidR="009F19C2" w:rsidRDefault="0040082F" w:rsidP="0040082F">
      <w:pPr>
        <w:ind w:firstLine="720"/>
        <w:jc w:val="both"/>
        <w:rPr>
          <w:rFonts w:ascii="Book Antiqua" w:hAnsi="Book Antiqua"/>
          <w:bCs/>
          <w:szCs w:val="24"/>
          <w:lang w:val="es-ES"/>
        </w:rPr>
      </w:pPr>
      <w:r w:rsidRPr="0040082F">
        <w:rPr>
          <w:rFonts w:ascii="Book Antiqua" w:hAnsi="Book Antiqua"/>
          <w:bCs/>
          <w:szCs w:val="24"/>
          <w:lang w:val="es-ES"/>
        </w:rPr>
        <w:lastRenderedPageBreak/>
        <w:t xml:space="preserve">La Asociación enfatiza que el acceso a servicios de salud es un elemento esencial en la protección de los derechos del magisterio y los servidores públicos. En su análisis, la AMPR destaca que permitir que esta aportación se reciba como un estipendio o subsidio para sufragar gastos médicos no cubiertos por otros planes constituye un auxilio necesario ante el alto costo de vida y de servicios de salud en la isla. Como recomendación específica al lenguaje de la medida, la organización sugiere clarificar las facultades delegadas al </w:t>
      </w:r>
      <w:proofErr w:type="gramStart"/>
      <w:r w:rsidRPr="0040082F">
        <w:rPr>
          <w:rFonts w:ascii="Book Antiqua" w:hAnsi="Book Antiqua"/>
          <w:bCs/>
          <w:szCs w:val="24"/>
          <w:lang w:val="es-ES"/>
        </w:rPr>
        <w:t>Secretario</w:t>
      </w:r>
      <w:proofErr w:type="gramEnd"/>
      <w:r w:rsidRPr="0040082F">
        <w:rPr>
          <w:rFonts w:ascii="Book Antiqua" w:hAnsi="Book Antiqua"/>
          <w:bCs/>
          <w:szCs w:val="24"/>
          <w:lang w:val="es-ES"/>
        </w:rPr>
        <w:t xml:space="preserve"> del Trabajo y Recursos Humanos para que se establezcan directrices precisas y expeditas que permitan al empleado solicitar y utilizar este beneficio para enfrentar gastos significativos en materia de salud</w:t>
      </w:r>
      <w:r>
        <w:rPr>
          <w:rFonts w:ascii="Book Antiqua" w:hAnsi="Book Antiqua"/>
          <w:bCs/>
          <w:szCs w:val="24"/>
          <w:lang w:val="es-ES"/>
        </w:rPr>
        <w:t>.</w:t>
      </w:r>
    </w:p>
    <w:p w14:paraId="43F5791D" w14:textId="77777777" w:rsidR="009F19C2" w:rsidRDefault="009F19C2" w:rsidP="009F19C2">
      <w:pPr>
        <w:ind w:firstLine="720"/>
        <w:jc w:val="both"/>
        <w:rPr>
          <w:rFonts w:ascii="Book Antiqua" w:hAnsi="Book Antiqua"/>
          <w:bCs/>
          <w:szCs w:val="24"/>
          <w:lang w:val="es-ES"/>
        </w:rPr>
      </w:pPr>
    </w:p>
    <w:p w14:paraId="74F06082" w14:textId="3BF42624" w:rsidR="00F358C0" w:rsidRDefault="0040082F" w:rsidP="00F358C0">
      <w:pPr>
        <w:ind w:firstLine="720"/>
        <w:jc w:val="center"/>
        <w:rPr>
          <w:rFonts w:ascii="Book Antiqua" w:hAnsi="Book Antiqua"/>
          <w:b/>
          <w:szCs w:val="24"/>
          <w:u w:val="single"/>
          <w:lang w:val="es-ES"/>
        </w:rPr>
      </w:pPr>
      <w:r w:rsidRPr="0040082F">
        <w:rPr>
          <w:rFonts w:ascii="Book Antiqua" w:hAnsi="Book Antiqua"/>
          <w:b/>
          <w:szCs w:val="24"/>
          <w:u w:val="single"/>
          <w:lang w:val="es-ES"/>
        </w:rPr>
        <w:t>Oficina del Comisionado de Seguros de Puerto Rico (OCS)</w:t>
      </w:r>
      <w:r w:rsidR="00F358C0" w:rsidRPr="00F358C0">
        <w:rPr>
          <w:rFonts w:ascii="Book Antiqua" w:hAnsi="Book Antiqua"/>
          <w:b/>
          <w:szCs w:val="24"/>
          <w:u w:val="single"/>
          <w:lang w:val="es-ES"/>
        </w:rPr>
        <w:t xml:space="preserve"> </w:t>
      </w:r>
    </w:p>
    <w:p w14:paraId="2DA25556" w14:textId="3E7D639E" w:rsidR="00F358C0" w:rsidRDefault="00F358C0" w:rsidP="00F358C0">
      <w:pPr>
        <w:ind w:firstLine="720"/>
        <w:jc w:val="center"/>
        <w:rPr>
          <w:rFonts w:ascii="Book Antiqua" w:hAnsi="Book Antiqua"/>
          <w:bCs/>
          <w:szCs w:val="24"/>
          <w:lang w:val="es-ES"/>
        </w:rPr>
      </w:pPr>
      <w:r w:rsidRPr="009C3FBC">
        <w:rPr>
          <w:rFonts w:ascii="Book Antiqua" w:hAnsi="Book Antiqua"/>
          <w:bCs/>
          <w:szCs w:val="24"/>
          <w:lang w:val="es-ES"/>
        </w:rPr>
        <w:t>(</w:t>
      </w:r>
      <w:r w:rsidR="0040082F">
        <w:rPr>
          <w:rFonts w:ascii="Book Antiqua" w:hAnsi="Book Antiqua"/>
          <w:bCs/>
          <w:szCs w:val="24"/>
          <w:lang w:val="es-ES"/>
        </w:rPr>
        <w:t>3 de febrero de 2026</w:t>
      </w:r>
      <w:r w:rsidRPr="009C3FBC">
        <w:rPr>
          <w:rFonts w:ascii="Book Antiqua" w:hAnsi="Book Antiqua"/>
          <w:bCs/>
          <w:szCs w:val="24"/>
          <w:lang w:val="es-ES"/>
        </w:rPr>
        <w:t>)</w:t>
      </w:r>
    </w:p>
    <w:p w14:paraId="5AD61E05" w14:textId="77777777" w:rsidR="00F358C0" w:rsidRDefault="00F358C0" w:rsidP="00F358C0">
      <w:pPr>
        <w:ind w:firstLine="720"/>
        <w:rPr>
          <w:rFonts w:ascii="Book Antiqua" w:hAnsi="Book Antiqua"/>
          <w:bCs/>
          <w:szCs w:val="24"/>
          <w:lang w:val="es-ES"/>
        </w:rPr>
      </w:pPr>
    </w:p>
    <w:p w14:paraId="447D730A" w14:textId="1E4F8AF2" w:rsidR="0040082F" w:rsidRDefault="0040082F" w:rsidP="0040082F">
      <w:pPr>
        <w:ind w:firstLine="720"/>
        <w:jc w:val="both"/>
        <w:rPr>
          <w:rFonts w:ascii="Book Antiqua" w:hAnsi="Book Antiqua"/>
          <w:bCs/>
          <w:szCs w:val="24"/>
          <w:lang w:val="es-ES"/>
        </w:rPr>
      </w:pPr>
      <w:r w:rsidRPr="0040082F">
        <w:rPr>
          <w:rFonts w:ascii="Book Antiqua" w:hAnsi="Book Antiqua"/>
          <w:bCs/>
          <w:szCs w:val="24"/>
          <w:lang w:val="es-ES"/>
        </w:rPr>
        <w:t xml:space="preserve">La OCS, representada por la Comisionada Lcda. Suzette Del Valle Lecároz, sometió un memorial explicativo en el que reconoce el fin loable del </w:t>
      </w:r>
      <w:r>
        <w:rPr>
          <w:rFonts w:ascii="Book Antiqua" w:hAnsi="Book Antiqua"/>
          <w:bCs/>
          <w:szCs w:val="24"/>
          <w:lang w:val="es-ES"/>
        </w:rPr>
        <w:t>P. de la C.</w:t>
      </w:r>
      <w:r w:rsidRPr="0040082F">
        <w:rPr>
          <w:rFonts w:ascii="Book Antiqua" w:hAnsi="Book Antiqua"/>
          <w:bCs/>
          <w:szCs w:val="24"/>
          <w:lang w:val="es-ES"/>
        </w:rPr>
        <w:t xml:space="preserve"> 860 y reafirma su compromiso con medidas que fomenten el cuidado de la salud de los servidores públicos. En su análisis, la OCS destaca que, bajo el marco legal actual de la Ley Núm. 95 de 1963, conocida como la “Ley de Beneficios de Salud para Empleados Públicos”, muchos trabajadores pierden su aportación patronal al estar cubiertos por el plan médico de un cónyuge o familiar. La oficina avala que dicha aportación sea utilizada como un estipendio o subsidio para cubrir gastos médicos esenciales no comprendidos en la cubierta principal, tales como deducibles, copagos, medicamentos, laboratorios y terapias especializadas.</w:t>
      </w:r>
    </w:p>
    <w:p w14:paraId="293C621B" w14:textId="77777777" w:rsidR="0040082F" w:rsidRPr="0040082F" w:rsidRDefault="0040082F" w:rsidP="0040082F">
      <w:pPr>
        <w:ind w:firstLine="720"/>
        <w:jc w:val="both"/>
        <w:rPr>
          <w:rFonts w:ascii="Book Antiqua" w:hAnsi="Book Antiqua"/>
          <w:bCs/>
          <w:szCs w:val="24"/>
          <w:lang w:val="es-ES"/>
        </w:rPr>
      </w:pPr>
    </w:p>
    <w:p w14:paraId="23D8EE97" w14:textId="58653138" w:rsidR="00F358C0" w:rsidRDefault="0040082F" w:rsidP="00B64681">
      <w:pPr>
        <w:ind w:firstLine="720"/>
        <w:jc w:val="both"/>
        <w:rPr>
          <w:rFonts w:ascii="Book Antiqua" w:hAnsi="Book Antiqua"/>
          <w:b/>
          <w:szCs w:val="24"/>
          <w:u w:val="single"/>
          <w:lang w:val="es-ES"/>
        </w:rPr>
      </w:pPr>
      <w:r w:rsidRPr="0040082F">
        <w:rPr>
          <w:rFonts w:ascii="Book Antiqua" w:hAnsi="Book Antiqua"/>
          <w:bCs/>
          <w:szCs w:val="24"/>
          <w:lang w:val="es-ES"/>
        </w:rPr>
        <w:t>Como observación técnica fundamental, la OCS enfatiza que la Administración de Seguros de Salud (ASES) es la entidad encargada de negociar y administrar estos beneficios desde la Reorganización Número 3 de 2010. Por tanto, la oficina sugiere a esta Comisión que el beneficio se otorgue mediante un mecanismo de reembolso basado en gastos mensuales reales, requiriendo evidencia que sustente los servicios recibidos para garantizar el uso adecuado de los fondos públicos. Finalmente, la OCS concede deferencia a los comentarios de la ASES, el Departamento de Hacienda</w:t>
      </w:r>
      <w:r w:rsidR="00E8722B">
        <w:rPr>
          <w:rFonts w:ascii="Book Antiqua" w:hAnsi="Book Antiqua"/>
          <w:bCs/>
          <w:szCs w:val="24"/>
          <w:lang w:val="es-ES"/>
        </w:rPr>
        <w:t xml:space="preserve"> (DH)</w:t>
      </w:r>
      <w:r w:rsidRPr="0040082F">
        <w:rPr>
          <w:rFonts w:ascii="Book Antiqua" w:hAnsi="Book Antiqua"/>
          <w:bCs/>
          <w:szCs w:val="24"/>
          <w:lang w:val="es-ES"/>
        </w:rPr>
        <w:t xml:space="preserve"> y la Oficina de Gerencia y Presupuesto (OGP) en cuanto a la viabilidad operacional y el posible impacto fiscal que la implementación de esta enmienda a la Ley 95 representaría para el erario</w:t>
      </w:r>
      <w:r w:rsidR="00E8722B">
        <w:rPr>
          <w:rFonts w:ascii="Book Antiqua" w:hAnsi="Book Antiqua"/>
          <w:bCs/>
          <w:szCs w:val="24"/>
          <w:lang w:val="es-ES"/>
        </w:rPr>
        <w:t>.</w:t>
      </w:r>
    </w:p>
    <w:p w14:paraId="13DCBB64" w14:textId="5FD15A1A" w:rsidR="00F358C0" w:rsidRPr="00E8722B" w:rsidRDefault="00E8722B" w:rsidP="00F358C0">
      <w:pPr>
        <w:ind w:firstLine="720"/>
        <w:jc w:val="center"/>
        <w:rPr>
          <w:rFonts w:ascii="Book Antiqua" w:hAnsi="Book Antiqua"/>
          <w:b/>
          <w:szCs w:val="24"/>
          <w:u w:val="single"/>
        </w:rPr>
      </w:pPr>
      <w:r w:rsidRPr="00E8722B">
        <w:rPr>
          <w:rFonts w:ascii="Book Antiqua" w:hAnsi="Book Antiqua"/>
          <w:b/>
          <w:szCs w:val="24"/>
          <w:u w:val="single"/>
        </w:rPr>
        <w:t>Triple-S Salud, Inc.</w:t>
      </w:r>
      <w:r>
        <w:rPr>
          <w:rFonts w:ascii="Book Antiqua" w:hAnsi="Book Antiqua"/>
          <w:b/>
          <w:szCs w:val="24"/>
          <w:u w:val="single"/>
        </w:rPr>
        <w:t xml:space="preserve"> </w:t>
      </w:r>
      <w:r w:rsidRPr="00E8722B">
        <w:rPr>
          <w:rFonts w:ascii="Book Antiqua" w:hAnsi="Book Antiqua"/>
          <w:b/>
          <w:szCs w:val="24"/>
          <w:u w:val="single"/>
        </w:rPr>
        <w:t>(Trip</w:t>
      </w:r>
      <w:r>
        <w:rPr>
          <w:rFonts w:ascii="Book Antiqua" w:hAnsi="Book Antiqua"/>
          <w:b/>
          <w:szCs w:val="24"/>
          <w:u w:val="single"/>
        </w:rPr>
        <w:t>le-S)</w:t>
      </w:r>
    </w:p>
    <w:p w14:paraId="160D960A" w14:textId="0E23AEEC" w:rsidR="00F358C0" w:rsidRPr="009C3FBC" w:rsidRDefault="00F358C0" w:rsidP="00F358C0">
      <w:pPr>
        <w:ind w:firstLine="720"/>
        <w:jc w:val="center"/>
        <w:rPr>
          <w:rFonts w:ascii="Book Antiqua" w:hAnsi="Book Antiqua"/>
          <w:bCs/>
          <w:szCs w:val="24"/>
          <w:lang w:val="es-ES"/>
        </w:rPr>
      </w:pPr>
      <w:r w:rsidRPr="009C3FBC">
        <w:rPr>
          <w:rFonts w:ascii="Book Antiqua" w:hAnsi="Book Antiqua"/>
          <w:bCs/>
          <w:szCs w:val="24"/>
          <w:lang w:val="es-ES"/>
        </w:rPr>
        <w:t>(</w:t>
      </w:r>
      <w:r w:rsidR="00E8722B">
        <w:rPr>
          <w:rFonts w:ascii="Book Antiqua" w:hAnsi="Book Antiqua"/>
          <w:bCs/>
          <w:szCs w:val="24"/>
          <w:lang w:val="es-ES"/>
        </w:rPr>
        <w:t>9 de febrero de 2026</w:t>
      </w:r>
      <w:r w:rsidRPr="009C3FBC">
        <w:rPr>
          <w:rFonts w:ascii="Book Antiqua" w:hAnsi="Book Antiqua"/>
          <w:bCs/>
          <w:szCs w:val="24"/>
          <w:lang w:val="es-ES"/>
        </w:rPr>
        <w:t>)</w:t>
      </w:r>
    </w:p>
    <w:p w14:paraId="09D3BF79" w14:textId="77777777" w:rsidR="00F358C0" w:rsidRDefault="00F358C0" w:rsidP="00F358C0">
      <w:pPr>
        <w:ind w:firstLine="720"/>
        <w:jc w:val="both"/>
        <w:rPr>
          <w:rFonts w:ascii="Book Antiqua" w:hAnsi="Book Antiqua"/>
          <w:bCs/>
          <w:szCs w:val="24"/>
          <w:lang w:val="es-ES"/>
        </w:rPr>
      </w:pPr>
    </w:p>
    <w:p w14:paraId="13C73E7B" w14:textId="311E106B" w:rsidR="00E8722B" w:rsidRDefault="00E8722B" w:rsidP="00E8722B">
      <w:pPr>
        <w:ind w:firstLine="720"/>
        <w:jc w:val="both"/>
        <w:rPr>
          <w:rFonts w:ascii="Book Antiqua" w:hAnsi="Book Antiqua"/>
          <w:bCs/>
          <w:szCs w:val="24"/>
          <w:lang w:val="es-ES"/>
        </w:rPr>
      </w:pPr>
      <w:r>
        <w:rPr>
          <w:rFonts w:ascii="Book Antiqua" w:hAnsi="Book Antiqua"/>
          <w:bCs/>
          <w:szCs w:val="24"/>
          <w:lang w:val="es-ES"/>
        </w:rPr>
        <w:t xml:space="preserve">Triple-S, </w:t>
      </w:r>
      <w:r w:rsidRPr="00E8722B">
        <w:rPr>
          <w:rFonts w:ascii="Book Antiqua" w:hAnsi="Book Antiqua"/>
          <w:bCs/>
          <w:szCs w:val="24"/>
          <w:lang w:val="es-ES"/>
        </w:rPr>
        <w:t xml:space="preserve">representada por su </w:t>
      </w:r>
      <w:proofErr w:type="gramStart"/>
      <w:r w:rsidRPr="00E8722B">
        <w:rPr>
          <w:rFonts w:ascii="Book Antiqua" w:hAnsi="Book Antiqua"/>
          <w:bCs/>
          <w:szCs w:val="24"/>
          <w:lang w:val="es-ES"/>
        </w:rPr>
        <w:t>Directora</w:t>
      </w:r>
      <w:proofErr w:type="gramEnd"/>
      <w:r w:rsidRPr="00E8722B">
        <w:rPr>
          <w:rFonts w:ascii="Book Antiqua" w:hAnsi="Book Antiqua"/>
          <w:bCs/>
          <w:szCs w:val="24"/>
          <w:lang w:val="es-ES"/>
        </w:rPr>
        <w:t xml:space="preserve"> de Asuntos Gubernamentales y Política Pública, Lcda. </w:t>
      </w:r>
      <w:proofErr w:type="spellStart"/>
      <w:r w:rsidRPr="00E8722B">
        <w:rPr>
          <w:rFonts w:ascii="Book Antiqua" w:hAnsi="Book Antiqua"/>
          <w:bCs/>
          <w:szCs w:val="24"/>
          <w:lang w:val="es-ES"/>
        </w:rPr>
        <w:t>Wildalis</w:t>
      </w:r>
      <w:proofErr w:type="spellEnd"/>
      <w:r w:rsidRPr="00E8722B">
        <w:rPr>
          <w:rFonts w:ascii="Book Antiqua" w:hAnsi="Book Antiqua"/>
          <w:bCs/>
          <w:szCs w:val="24"/>
          <w:lang w:val="es-ES"/>
        </w:rPr>
        <w:t xml:space="preserve"> Serra Ortiz, sometió un memorial explicativo en el que reconoce la intención del </w:t>
      </w:r>
      <w:r>
        <w:rPr>
          <w:rFonts w:ascii="Book Antiqua" w:hAnsi="Book Antiqua"/>
          <w:bCs/>
          <w:szCs w:val="24"/>
          <w:lang w:val="es-ES"/>
        </w:rPr>
        <w:t>P. de la C. 860</w:t>
      </w:r>
      <w:r w:rsidRPr="00E8722B">
        <w:rPr>
          <w:rFonts w:ascii="Book Antiqua" w:hAnsi="Book Antiqua"/>
          <w:bCs/>
          <w:szCs w:val="24"/>
          <w:lang w:val="es-ES"/>
        </w:rPr>
        <w:t xml:space="preserve"> de enmendar la Ley Núm. 95 de 1963. La organización expresa su apoyo a las políticas públicas que buscan mejorar el acceso a servicios de salud </w:t>
      </w:r>
      <w:r w:rsidRPr="00E8722B">
        <w:rPr>
          <w:rFonts w:ascii="Book Antiqua" w:hAnsi="Book Antiqua"/>
          <w:bCs/>
          <w:szCs w:val="24"/>
          <w:lang w:val="es-ES"/>
        </w:rPr>
        <w:lastRenderedPageBreak/>
        <w:t xml:space="preserve">y hacerlos más asequibles para la población, particularmente mediante la creación de un subsidio o estipendio mensual para empleados bajo cubiertas médicas familiares. </w:t>
      </w:r>
    </w:p>
    <w:p w14:paraId="6EA2D88C" w14:textId="77777777" w:rsidR="00E8722B" w:rsidRDefault="00E8722B" w:rsidP="00E8722B">
      <w:pPr>
        <w:ind w:firstLine="720"/>
        <w:jc w:val="both"/>
        <w:rPr>
          <w:rFonts w:ascii="Book Antiqua" w:hAnsi="Book Antiqua"/>
          <w:bCs/>
          <w:szCs w:val="24"/>
          <w:lang w:val="es-ES"/>
        </w:rPr>
      </w:pPr>
    </w:p>
    <w:p w14:paraId="5BCD8CD4" w14:textId="77777777" w:rsidR="00E8722B" w:rsidRDefault="00E8722B" w:rsidP="00E8722B">
      <w:pPr>
        <w:ind w:firstLine="720"/>
        <w:jc w:val="both"/>
        <w:rPr>
          <w:rFonts w:ascii="Book Antiqua" w:hAnsi="Book Antiqua"/>
          <w:bCs/>
          <w:szCs w:val="24"/>
          <w:lang w:val="es-ES"/>
        </w:rPr>
      </w:pPr>
      <w:r w:rsidRPr="00E8722B">
        <w:rPr>
          <w:rFonts w:ascii="Book Antiqua" w:hAnsi="Book Antiqua"/>
          <w:bCs/>
          <w:szCs w:val="24"/>
          <w:lang w:val="es-ES"/>
        </w:rPr>
        <w:t xml:space="preserve">No obstante, Triple-S manifiesta su total deferencia hacia los municipios, agencias gubernamentales, el </w:t>
      </w:r>
      <w:r>
        <w:rPr>
          <w:rFonts w:ascii="Book Antiqua" w:hAnsi="Book Antiqua"/>
          <w:bCs/>
          <w:szCs w:val="24"/>
          <w:lang w:val="es-ES"/>
        </w:rPr>
        <w:t>DH</w:t>
      </w:r>
      <w:r w:rsidRPr="00E8722B">
        <w:rPr>
          <w:rFonts w:ascii="Book Antiqua" w:hAnsi="Book Antiqua"/>
          <w:bCs/>
          <w:szCs w:val="24"/>
          <w:lang w:val="es-ES"/>
        </w:rPr>
        <w:t xml:space="preserve"> y la Junta de Supervisión Fiscal. La entidad enfatiza que, al proponerse la erogación de fondos públicos bajo un escenario no contemplado actualmente en la Ley 95, es imperativo realizar una evaluación técnica y rigurosa sobre el impacto económico y la salud fiscal del Gobierno de Puerto Rico antes de proceder con su implementación</w:t>
      </w:r>
    </w:p>
    <w:p w14:paraId="0BDDC61F" w14:textId="77777777" w:rsidR="00B64681" w:rsidRDefault="00B64681" w:rsidP="00F358C0">
      <w:pPr>
        <w:ind w:firstLine="720"/>
        <w:jc w:val="center"/>
        <w:rPr>
          <w:rFonts w:ascii="Book Antiqua" w:hAnsi="Book Antiqua"/>
          <w:b/>
          <w:szCs w:val="24"/>
          <w:u w:val="single"/>
          <w:lang w:val="es-ES"/>
        </w:rPr>
      </w:pPr>
    </w:p>
    <w:p w14:paraId="3F40D2BD" w14:textId="781D01DF" w:rsidR="00E8722B" w:rsidRDefault="00E8722B" w:rsidP="00F358C0">
      <w:pPr>
        <w:ind w:firstLine="720"/>
        <w:jc w:val="center"/>
        <w:rPr>
          <w:rFonts w:ascii="Book Antiqua" w:hAnsi="Book Antiqua"/>
          <w:b/>
          <w:szCs w:val="24"/>
          <w:u w:val="single"/>
          <w:lang w:val="es-ES"/>
        </w:rPr>
      </w:pPr>
      <w:r w:rsidRPr="00E8722B">
        <w:rPr>
          <w:rFonts w:ascii="Book Antiqua" w:hAnsi="Book Antiqua"/>
          <w:b/>
          <w:szCs w:val="24"/>
          <w:u w:val="single"/>
          <w:lang w:val="es-ES"/>
        </w:rPr>
        <w:t xml:space="preserve">Asociación de Compañías de Seguros de Puerto Rico (ACODESE) </w:t>
      </w:r>
    </w:p>
    <w:p w14:paraId="35D71D36" w14:textId="426E6F38" w:rsidR="00F358C0" w:rsidRPr="009C3FBC" w:rsidRDefault="00F358C0" w:rsidP="00F358C0">
      <w:pPr>
        <w:ind w:firstLine="720"/>
        <w:jc w:val="center"/>
        <w:rPr>
          <w:rFonts w:ascii="Book Antiqua" w:hAnsi="Book Antiqua"/>
          <w:bCs/>
          <w:szCs w:val="24"/>
          <w:lang w:val="es-ES"/>
        </w:rPr>
      </w:pPr>
      <w:r w:rsidRPr="009C3FBC">
        <w:rPr>
          <w:rFonts w:ascii="Book Antiqua" w:hAnsi="Book Antiqua"/>
          <w:bCs/>
          <w:szCs w:val="24"/>
          <w:lang w:val="es-ES"/>
        </w:rPr>
        <w:t>(</w:t>
      </w:r>
      <w:r w:rsidR="00E8722B">
        <w:rPr>
          <w:rFonts w:ascii="Book Antiqua" w:hAnsi="Book Antiqua"/>
          <w:bCs/>
          <w:szCs w:val="24"/>
          <w:lang w:val="es-ES"/>
        </w:rPr>
        <w:t>10 de febrero de 2026</w:t>
      </w:r>
      <w:r w:rsidRPr="009C3FBC">
        <w:rPr>
          <w:rFonts w:ascii="Book Antiqua" w:hAnsi="Book Antiqua"/>
          <w:bCs/>
          <w:szCs w:val="24"/>
          <w:lang w:val="es-ES"/>
        </w:rPr>
        <w:t>)</w:t>
      </w:r>
    </w:p>
    <w:p w14:paraId="782D4DF9" w14:textId="77777777" w:rsidR="00F358C0" w:rsidRDefault="00F358C0" w:rsidP="00F358C0">
      <w:pPr>
        <w:ind w:firstLine="720"/>
        <w:jc w:val="both"/>
        <w:rPr>
          <w:rFonts w:ascii="Book Antiqua" w:hAnsi="Book Antiqua"/>
          <w:bCs/>
          <w:szCs w:val="24"/>
          <w:lang w:val="es-ES"/>
        </w:rPr>
      </w:pPr>
    </w:p>
    <w:p w14:paraId="661C37B4" w14:textId="5117395F" w:rsidR="00E8722B" w:rsidRPr="00E8722B" w:rsidRDefault="00E8722B" w:rsidP="00E8722B">
      <w:pPr>
        <w:ind w:firstLine="720"/>
        <w:jc w:val="both"/>
        <w:rPr>
          <w:rFonts w:ascii="Book Antiqua" w:hAnsi="Book Antiqua"/>
          <w:bCs/>
          <w:szCs w:val="24"/>
          <w:lang w:val="es-PR"/>
        </w:rPr>
      </w:pPr>
      <w:r>
        <w:rPr>
          <w:rFonts w:ascii="Book Antiqua" w:hAnsi="Book Antiqua"/>
          <w:bCs/>
          <w:szCs w:val="24"/>
          <w:lang w:val="es-PR"/>
        </w:rPr>
        <w:t>L</w:t>
      </w:r>
      <w:r w:rsidRPr="00E8722B">
        <w:rPr>
          <w:rFonts w:ascii="Book Antiqua" w:hAnsi="Book Antiqua"/>
          <w:bCs/>
          <w:szCs w:val="24"/>
          <w:lang w:val="es-PR"/>
        </w:rPr>
        <w:t>a ACODESE compareció ante esta Comisión para presentar sus comentarios sobre el P. de la C. 86</w:t>
      </w:r>
      <w:r>
        <w:rPr>
          <w:rFonts w:ascii="Book Antiqua" w:hAnsi="Book Antiqua"/>
          <w:bCs/>
          <w:szCs w:val="24"/>
          <w:lang w:val="es-PR"/>
        </w:rPr>
        <w:t>0</w:t>
      </w:r>
      <w:r w:rsidRPr="00E8722B">
        <w:rPr>
          <w:rFonts w:ascii="Book Antiqua" w:hAnsi="Book Antiqua"/>
          <w:bCs/>
          <w:szCs w:val="24"/>
          <w:lang w:val="es-PR"/>
        </w:rPr>
        <w:t>. La organización aclaró que, si bien no se opone al propósito general de la medida ni a su intención de beneficiar a los empleados públicos, considera indispensable realizar un análisis riguroso de sus implicaciones fiscales antes de proceder con su aprobación</w:t>
      </w:r>
      <w:r w:rsidR="006849C3">
        <w:rPr>
          <w:rFonts w:ascii="Book Antiqua" w:hAnsi="Book Antiqua"/>
          <w:bCs/>
          <w:szCs w:val="24"/>
          <w:lang w:val="es-PR"/>
        </w:rPr>
        <w:t>.</w:t>
      </w:r>
    </w:p>
    <w:p w14:paraId="3EA4C0E7" w14:textId="77777777" w:rsidR="00E8722B" w:rsidRDefault="00E8722B" w:rsidP="00E8722B">
      <w:pPr>
        <w:ind w:firstLine="720"/>
        <w:jc w:val="both"/>
        <w:rPr>
          <w:rFonts w:ascii="Book Antiqua" w:hAnsi="Book Antiqua"/>
          <w:bCs/>
          <w:szCs w:val="24"/>
          <w:lang w:val="es-PR"/>
        </w:rPr>
      </w:pPr>
    </w:p>
    <w:p w14:paraId="2EC23D9F" w14:textId="0BFA3E3C" w:rsidR="00E8722B" w:rsidRDefault="00E8722B" w:rsidP="00E8722B">
      <w:pPr>
        <w:ind w:firstLine="720"/>
        <w:jc w:val="both"/>
        <w:rPr>
          <w:rFonts w:ascii="Book Antiqua" w:hAnsi="Book Antiqua"/>
          <w:bCs/>
          <w:szCs w:val="24"/>
          <w:lang w:val="es-PR"/>
        </w:rPr>
      </w:pPr>
      <w:r w:rsidRPr="00E8722B">
        <w:rPr>
          <w:rFonts w:ascii="Book Antiqua" w:hAnsi="Book Antiqua"/>
          <w:bCs/>
          <w:szCs w:val="24"/>
          <w:lang w:val="es-PR"/>
        </w:rPr>
        <w:t>ACODESE señaló que la medida representa un cambio sustantivo en el diseño del beneficio patronal establecido en la Ley 95-1963, la cual fue concebida para financiar primas de seguros y cubrir riesgos de forma anticipada. La Asociación advierte que convertir esta aportación en un estipendio en efectivo podría generar un aumento en el gasto gubernamental fijo, crear esquemas de duplicidad de beneficios y dificultar la fiscalización del uso real de los fondos públicos, dado que el dinero se transferiría directamente al emplead</w:t>
      </w:r>
      <w:r w:rsidR="006849C3">
        <w:rPr>
          <w:rFonts w:ascii="Book Antiqua" w:hAnsi="Book Antiqua"/>
          <w:bCs/>
          <w:szCs w:val="24"/>
          <w:lang w:val="es-PR"/>
        </w:rPr>
        <w:t>o</w:t>
      </w:r>
      <w:r w:rsidRPr="00E8722B">
        <w:rPr>
          <w:rFonts w:ascii="Book Antiqua" w:hAnsi="Book Antiqua"/>
          <w:bCs/>
          <w:szCs w:val="24"/>
          <w:lang w:val="es-PR"/>
        </w:rPr>
        <w:t>. Por tales motivos, la organización recomienda que la Asamblea Legislativa solicite un análisis actuarial y fiscal detallado para evaluar el impacto de convertir la aportación patronal en un subsidio universal y garantizar así la sostenibilidad de los programas gubernamentales</w:t>
      </w:r>
      <w:r w:rsidR="006849C3">
        <w:rPr>
          <w:rFonts w:ascii="Book Antiqua" w:hAnsi="Book Antiqua"/>
          <w:bCs/>
          <w:szCs w:val="24"/>
          <w:lang w:val="es-PR"/>
        </w:rPr>
        <w:t>.</w:t>
      </w:r>
    </w:p>
    <w:p w14:paraId="2EE7624C" w14:textId="77777777" w:rsidR="00FC1525" w:rsidRDefault="00FC1525" w:rsidP="00FC1525">
      <w:pPr>
        <w:ind w:firstLine="720"/>
        <w:jc w:val="center"/>
        <w:rPr>
          <w:rFonts w:ascii="Book Antiqua" w:hAnsi="Book Antiqua"/>
          <w:bCs/>
          <w:szCs w:val="24"/>
          <w:lang w:val="es-PR"/>
        </w:rPr>
      </w:pPr>
    </w:p>
    <w:p w14:paraId="560174A4" w14:textId="7DB2D965" w:rsidR="00FC1525" w:rsidRDefault="00FC1525" w:rsidP="00FC1525">
      <w:pPr>
        <w:jc w:val="center"/>
        <w:rPr>
          <w:rFonts w:ascii="Book Antiqua" w:hAnsi="Book Antiqua"/>
          <w:b/>
          <w:szCs w:val="24"/>
          <w:u w:val="single"/>
          <w:lang w:val="es-PR"/>
        </w:rPr>
      </w:pPr>
      <w:r w:rsidRPr="00FC1525">
        <w:rPr>
          <w:rFonts w:ascii="Book Antiqua" w:hAnsi="Book Antiqua"/>
          <w:b/>
          <w:szCs w:val="24"/>
          <w:u w:val="single"/>
          <w:lang w:val="es-PR"/>
        </w:rPr>
        <w:t>Oficina de Administración y Transformación de los Recursos Humanos (OATRH)</w:t>
      </w:r>
    </w:p>
    <w:p w14:paraId="0273B5EF" w14:textId="22F2C1CC" w:rsidR="00FC1525" w:rsidRDefault="00FC1525" w:rsidP="00FC1525">
      <w:pPr>
        <w:ind w:firstLine="720"/>
        <w:jc w:val="center"/>
        <w:rPr>
          <w:rFonts w:ascii="Book Antiqua" w:hAnsi="Book Antiqua"/>
          <w:bCs/>
          <w:szCs w:val="24"/>
          <w:lang w:val="es-PR"/>
        </w:rPr>
      </w:pPr>
      <w:r w:rsidRPr="00FC1525">
        <w:rPr>
          <w:rFonts w:ascii="Book Antiqua" w:hAnsi="Book Antiqua"/>
          <w:bCs/>
          <w:szCs w:val="24"/>
          <w:lang w:val="es-PR"/>
        </w:rPr>
        <w:t>(</w:t>
      </w:r>
      <w:r>
        <w:rPr>
          <w:rFonts w:ascii="Book Antiqua" w:hAnsi="Book Antiqua"/>
          <w:bCs/>
          <w:szCs w:val="24"/>
          <w:lang w:val="es-PR"/>
        </w:rPr>
        <w:t>30 de marzo</w:t>
      </w:r>
      <w:r w:rsidRPr="00FC1525">
        <w:rPr>
          <w:rFonts w:ascii="Book Antiqua" w:hAnsi="Book Antiqua"/>
          <w:bCs/>
          <w:szCs w:val="24"/>
          <w:lang w:val="es-PR"/>
        </w:rPr>
        <w:t xml:space="preserve"> de 2026)</w:t>
      </w:r>
    </w:p>
    <w:p w14:paraId="712D5899" w14:textId="77777777" w:rsidR="00FC1525" w:rsidRDefault="00FC1525" w:rsidP="00FC1525">
      <w:pPr>
        <w:ind w:firstLine="720"/>
        <w:jc w:val="center"/>
        <w:rPr>
          <w:rFonts w:ascii="Book Antiqua" w:hAnsi="Book Antiqua"/>
          <w:bCs/>
          <w:szCs w:val="24"/>
          <w:lang w:val="es-PR"/>
        </w:rPr>
      </w:pPr>
    </w:p>
    <w:p w14:paraId="41435E53" w14:textId="51511238" w:rsidR="00FC1525" w:rsidRDefault="00FC1525" w:rsidP="00FC1525">
      <w:pPr>
        <w:ind w:firstLine="720"/>
        <w:jc w:val="both"/>
        <w:rPr>
          <w:rFonts w:ascii="Book Antiqua" w:hAnsi="Book Antiqua"/>
          <w:bCs/>
          <w:szCs w:val="24"/>
          <w:lang w:val="es-PR"/>
        </w:rPr>
      </w:pPr>
      <w:r>
        <w:rPr>
          <w:rFonts w:ascii="Book Antiqua" w:hAnsi="Book Antiqua"/>
          <w:bCs/>
          <w:szCs w:val="24"/>
          <w:lang w:val="es-PR"/>
        </w:rPr>
        <w:t xml:space="preserve">La </w:t>
      </w:r>
      <w:r w:rsidRPr="00FC1525">
        <w:rPr>
          <w:rFonts w:ascii="Book Antiqua" w:hAnsi="Book Antiqua"/>
          <w:bCs/>
          <w:szCs w:val="24"/>
          <w:lang w:val="es-PR"/>
        </w:rPr>
        <w:t>OATRH</w:t>
      </w:r>
      <w:r>
        <w:rPr>
          <w:rFonts w:ascii="Book Antiqua" w:hAnsi="Book Antiqua"/>
          <w:bCs/>
          <w:szCs w:val="24"/>
          <w:lang w:val="es-PR"/>
        </w:rPr>
        <w:t>,</w:t>
      </w:r>
      <w:r w:rsidRPr="00FC1525">
        <w:rPr>
          <w:rFonts w:ascii="Book Antiqua" w:hAnsi="Book Antiqua"/>
          <w:bCs/>
          <w:szCs w:val="24"/>
          <w:lang w:val="es-PR"/>
        </w:rPr>
        <w:t xml:space="preserve"> bajo la dirección del Lcdo. Facundo M. Di Mauro Vázquez, emitió un memorial explicativo sobre el P. de la C. 860, el cual propone enmendar la "Ley de Beneficios de Salud para Empleados Públicos" para permitir que los empleados con cubierta médica familiar reciban su aportación patronal como un estipendio o subsidio para gastos no cubiertos.</w:t>
      </w:r>
    </w:p>
    <w:p w14:paraId="3CE1A2DD" w14:textId="77777777" w:rsidR="00FC1525" w:rsidRPr="00FC1525" w:rsidRDefault="00FC1525" w:rsidP="00FC1525">
      <w:pPr>
        <w:ind w:firstLine="720"/>
        <w:jc w:val="both"/>
        <w:rPr>
          <w:rFonts w:ascii="Book Antiqua" w:hAnsi="Book Antiqua"/>
          <w:bCs/>
          <w:szCs w:val="24"/>
          <w:lang w:val="es-PR"/>
        </w:rPr>
      </w:pPr>
    </w:p>
    <w:p w14:paraId="619F7649" w14:textId="3D89B2D9" w:rsidR="00FC1525" w:rsidRDefault="00FC1525" w:rsidP="00FC1525">
      <w:pPr>
        <w:ind w:firstLine="720"/>
        <w:jc w:val="both"/>
        <w:rPr>
          <w:rFonts w:ascii="Book Antiqua" w:hAnsi="Book Antiqua"/>
          <w:bCs/>
          <w:szCs w:val="24"/>
          <w:lang w:val="es-PR"/>
        </w:rPr>
      </w:pPr>
      <w:r w:rsidRPr="00FC1525">
        <w:rPr>
          <w:rFonts w:ascii="Book Antiqua" w:hAnsi="Book Antiqua"/>
          <w:bCs/>
          <w:szCs w:val="24"/>
          <w:lang w:val="es-PR"/>
        </w:rPr>
        <w:t xml:space="preserve">Respecto a su posición, la OATRH indicó que la medida no recae bajo su jurisdicción ni facultades delegadas por su Ley Habilitadora (Ley 8-2017), por lo cual no </w:t>
      </w:r>
      <w:r w:rsidRPr="00FC1525">
        <w:rPr>
          <w:rFonts w:ascii="Book Antiqua" w:hAnsi="Book Antiqua"/>
          <w:bCs/>
          <w:szCs w:val="24"/>
          <w:lang w:val="es-PR"/>
        </w:rPr>
        <w:lastRenderedPageBreak/>
        <w:t xml:space="preserve">emitió una opinión a favor o en contra, brindando deferencia a otras agencias. En su lugar, recomendó consultar </w:t>
      </w:r>
      <w:r>
        <w:rPr>
          <w:rFonts w:ascii="Book Antiqua" w:hAnsi="Book Antiqua"/>
          <w:bCs/>
          <w:szCs w:val="24"/>
          <w:lang w:val="es-PR"/>
        </w:rPr>
        <w:t>al DTRH</w:t>
      </w:r>
      <w:r w:rsidRPr="00FC1525">
        <w:rPr>
          <w:rFonts w:ascii="Book Antiqua" w:hAnsi="Book Antiqua"/>
          <w:bCs/>
          <w:szCs w:val="24"/>
          <w:lang w:val="es-PR"/>
        </w:rPr>
        <w:t xml:space="preserve">, </w:t>
      </w:r>
      <w:r>
        <w:rPr>
          <w:rFonts w:ascii="Book Antiqua" w:hAnsi="Book Antiqua"/>
          <w:bCs/>
          <w:szCs w:val="24"/>
          <w:lang w:val="es-PR"/>
        </w:rPr>
        <w:t xml:space="preserve">DS </w:t>
      </w:r>
      <w:r w:rsidRPr="00FC1525">
        <w:rPr>
          <w:rFonts w:ascii="Book Antiqua" w:hAnsi="Book Antiqua"/>
          <w:bCs/>
          <w:szCs w:val="24"/>
          <w:lang w:val="es-PR"/>
        </w:rPr>
        <w:t xml:space="preserve">y </w:t>
      </w:r>
      <w:r>
        <w:rPr>
          <w:rFonts w:ascii="Book Antiqua" w:hAnsi="Book Antiqua"/>
          <w:bCs/>
          <w:szCs w:val="24"/>
          <w:lang w:val="es-PR"/>
        </w:rPr>
        <w:t>DH</w:t>
      </w:r>
      <w:r w:rsidRPr="00FC1525">
        <w:rPr>
          <w:rFonts w:ascii="Book Antiqua" w:hAnsi="Book Antiqua"/>
          <w:bCs/>
          <w:szCs w:val="24"/>
          <w:lang w:val="es-PR"/>
        </w:rPr>
        <w:t xml:space="preserve">, así como a la </w:t>
      </w:r>
      <w:r>
        <w:rPr>
          <w:rFonts w:ascii="Book Antiqua" w:hAnsi="Book Antiqua"/>
          <w:bCs/>
          <w:szCs w:val="24"/>
          <w:lang w:val="es-PR"/>
        </w:rPr>
        <w:t>OGP</w:t>
      </w:r>
      <w:r w:rsidRPr="00FC1525">
        <w:rPr>
          <w:rFonts w:ascii="Book Antiqua" w:hAnsi="Book Antiqua"/>
          <w:bCs/>
          <w:szCs w:val="24"/>
          <w:lang w:val="es-PR"/>
        </w:rPr>
        <w:t>, por estar directamente relacionados con la ejecución del proyecto</w:t>
      </w:r>
      <w:r>
        <w:rPr>
          <w:rFonts w:ascii="Book Antiqua" w:hAnsi="Book Antiqua"/>
          <w:bCs/>
          <w:szCs w:val="24"/>
          <w:lang w:val="es-PR"/>
        </w:rPr>
        <w:t>.</w:t>
      </w:r>
    </w:p>
    <w:p w14:paraId="7F5B91CC" w14:textId="77777777" w:rsidR="00FC1525" w:rsidRDefault="00FC1525" w:rsidP="00FC1525">
      <w:pPr>
        <w:ind w:firstLine="720"/>
        <w:jc w:val="both"/>
        <w:rPr>
          <w:rFonts w:ascii="Book Antiqua" w:hAnsi="Book Antiqua"/>
          <w:bCs/>
          <w:szCs w:val="24"/>
          <w:lang w:val="es-PR"/>
        </w:rPr>
      </w:pPr>
    </w:p>
    <w:p w14:paraId="39E98D78" w14:textId="77777777" w:rsidR="00FC1525" w:rsidRDefault="00FC1525" w:rsidP="00FC1525">
      <w:pPr>
        <w:ind w:firstLine="720"/>
        <w:jc w:val="both"/>
        <w:rPr>
          <w:rFonts w:ascii="Book Antiqua" w:hAnsi="Book Antiqua"/>
          <w:bCs/>
          <w:szCs w:val="24"/>
          <w:lang w:val="es-PR"/>
        </w:rPr>
      </w:pPr>
    </w:p>
    <w:p w14:paraId="7FE487CA" w14:textId="77777777" w:rsidR="00D02023" w:rsidRDefault="00D02023" w:rsidP="00B64681">
      <w:pPr>
        <w:jc w:val="both"/>
        <w:rPr>
          <w:rFonts w:ascii="Book Antiqua" w:hAnsi="Book Antiqua"/>
          <w:bCs/>
          <w:szCs w:val="24"/>
          <w:lang w:val="es-ES"/>
        </w:rPr>
      </w:pPr>
    </w:p>
    <w:p w14:paraId="33019F60" w14:textId="531AA9AF" w:rsidR="00ED30AA" w:rsidRPr="009C3FBC" w:rsidRDefault="00ED30AA" w:rsidP="00D02023">
      <w:pPr>
        <w:ind w:firstLine="720"/>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F8594A">
      <w:pPr>
        <w:jc w:val="both"/>
        <w:rPr>
          <w:rFonts w:ascii="Book Antiqua" w:hAnsi="Book Antiqua"/>
          <w:szCs w:val="24"/>
          <w:lang w:val="es-ES"/>
        </w:rPr>
      </w:pPr>
    </w:p>
    <w:p w14:paraId="1705C638" w14:textId="7CFF790E" w:rsidR="006849C3" w:rsidRDefault="009F19C2" w:rsidP="006849C3">
      <w:pPr>
        <w:ind w:firstLine="720"/>
        <w:jc w:val="both"/>
        <w:rPr>
          <w:rFonts w:ascii="Book Antiqua" w:hAnsi="Book Antiqua"/>
          <w:szCs w:val="24"/>
          <w:lang w:val="es-ES"/>
        </w:rPr>
      </w:pPr>
      <w:r>
        <w:rPr>
          <w:rFonts w:ascii="Book Antiqua" w:hAnsi="Book Antiqua"/>
          <w:szCs w:val="24"/>
          <w:lang w:val="es-ES"/>
        </w:rPr>
        <w:t xml:space="preserve">La OPAL </w:t>
      </w:r>
      <w:r w:rsidR="006849C3" w:rsidRPr="006849C3">
        <w:rPr>
          <w:rFonts w:ascii="Book Antiqua" w:hAnsi="Book Antiqua"/>
          <w:szCs w:val="24"/>
          <w:lang w:val="es-ES"/>
        </w:rPr>
        <w:t>evaluó el Proyecto de la Cámara 860, el cual propone otorgar un estipendio o subsidio mensual a los empleados públicos que cuenten con una cubierta médica familiar externa, destinado exclusivamente a sufragar gastos no cubiertos por dicho plan. Tras un análisis detallado de los datos presupuestarios del Gobierno de Puerto Rico, la OPAL concluye que la aprobación de esta medida No tiene Impacto Fiscal (NIF) directo sobre el Fondo General.</w:t>
      </w:r>
    </w:p>
    <w:p w14:paraId="0E5BA6BE" w14:textId="77777777" w:rsidR="006849C3" w:rsidRPr="006849C3" w:rsidRDefault="006849C3" w:rsidP="006849C3">
      <w:pPr>
        <w:ind w:firstLine="720"/>
        <w:jc w:val="both"/>
        <w:rPr>
          <w:rFonts w:ascii="Book Antiqua" w:hAnsi="Book Antiqua"/>
          <w:szCs w:val="24"/>
          <w:lang w:val="es-ES"/>
        </w:rPr>
      </w:pPr>
    </w:p>
    <w:p w14:paraId="20DF86BB" w14:textId="163553A3" w:rsidR="00F8594A" w:rsidRDefault="006849C3" w:rsidP="006849C3">
      <w:pPr>
        <w:ind w:firstLine="720"/>
        <w:jc w:val="both"/>
        <w:rPr>
          <w:rFonts w:ascii="Book Antiqua" w:hAnsi="Book Antiqua"/>
          <w:szCs w:val="24"/>
          <w:lang w:val="es-ES"/>
        </w:rPr>
      </w:pPr>
      <w:r w:rsidRPr="006849C3">
        <w:rPr>
          <w:rFonts w:ascii="Book Antiqua" w:hAnsi="Book Antiqua"/>
          <w:szCs w:val="24"/>
          <w:lang w:val="es-ES"/>
        </w:rPr>
        <w:t>La determinación de la OPAL se fundamenta en que los fondos para este estipendio provendrían de las aportaciones patronales que ya están contempladas y presupuestadas dentro del gasto de beneficios marginales de las agencias. No obstante, la Oficina advierte que podría generarse un costo implícito máximo estimado en $27.1 millones, asociado a una mayor ejecución de los recursos por parte de los aproximadamente 19,075 empleados que actualmente no aprovechan este beneficio. En síntesis, la OPAL establece que la medida es presupuestariamente transparente, ya que el desembolso líquido propuesto ya forma parte del presupuesto certificado</w:t>
      </w:r>
      <w:r>
        <w:rPr>
          <w:rFonts w:ascii="Book Antiqua" w:hAnsi="Book Antiqua"/>
          <w:szCs w:val="24"/>
          <w:lang w:val="es-ES"/>
        </w:rPr>
        <w:t>.</w:t>
      </w:r>
    </w:p>
    <w:p w14:paraId="53FA31B2" w14:textId="77777777" w:rsidR="006849C3" w:rsidRDefault="006849C3" w:rsidP="006849C3">
      <w:pPr>
        <w:ind w:firstLine="720"/>
        <w:jc w:val="both"/>
        <w:rPr>
          <w:rFonts w:ascii="Book Antiqua" w:hAnsi="Book Antiqua"/>
          <w:b/>
          <w:bCs/>
          <w:szCs w:val="24"/>
          <w:lang w:val="es-ES"/>
        </w:rPr>
      </w:pPr>
    </w:p>
    <w:p w14:paraId="0E543BFD" w14:textId="7852F074" w:rsidR="00E4167A" w:rsidRPr="009C3FBC" w:rsidRDefault="00ED30AA" w:rsidP="00F8594A">
      <w:pPr>
        <w:jc w:val="center"/>
        <w:rPr>
          <w:rFonts w:ascii="Book Antiqua" w:hAnsi="Book Antiqua"/>
          <w:b/>
          <w:bCs/>
          <w:szCs w:val="24"/>
          <w:lang w:val="es-ES"/>
        </w:rPr>
      </w:pPr>
      <w:r w:rsidRPr="009C3FBC">
        <w:rPr>
          <w:rFonts w:ascii="Book Antiqua" w:hAnsi="Book Antiqua"/>
          <w:b/>
          <w:bCs/>
          <w:szCs w:val="24"/>
          <w:lang w:val="es-ES"/>
        </w:rPr>
        <w:t>CONCLUSIÓN</w:t>
      </w:r>
    </w:p>
    <w:p w14:paraId="77D69D18" w14:textId="77777777" w:rsidR="00E4167A" w:rsidRPr="009C3FBC" w:rsidRDefault="00E4167A" w:rsidP="00ED30AA">
      <w:pPr>
        <w:jc w:val="both"/>
        <w:rPr>
          <w:rFonts w:ascii="Book Antiqua" w:hAnsi="Book Antiqua"/>
          <w:b/>
          <w:bCs/>
          <w:szCs w:val="24"/>
          <w:lang w:val="es-ES"/>
        </w:rPr>
      </w:pPr>
    </w:p>
    <w:p w14:paraId="7FED44F0" w14:textId="024EE006" w:rsidR="00672A3E" w:rsidRDefault="00F8594A" w:rsidP="00672A3E">
      <w:pPr>
        <w:ind w:firstLine="720"/>
        <w:jc w:val="both"/>
        <w:rPr>
          <w:rFonts w:ascii="Book Antiqua" w:hAnsi="Book Antiqua"/>
          <w:szCs w:val="24"/>
          <w:lang w:val="es-PR"/>
        </w:rPr>
      </w:pPr>
      <w:r w:rsidRPr="00F8594A">
        <w:rPr>
          <w:rFonts w:ascii="Book Antiqua" w:hAnsi="Book Antiqua"/>
          <w:szCs w:val="24"/>
          <w:lang w:val="es-PR"/>
        </w:rPr>
        <w:t>La</w:t>
      </w:r>
      <w:r w:rsidR="00821302" w:rsidRPr="00821302">
        <w:rPr>
          <w:rFonts w:ascii="Book Antiqua" w:hAnsi="Book Antiqua"/>
          <w:szCs w:val="24"/>
          <w:lang w:val="es-PR"/>
        </w:rPr>
        <w:t xml:space="preserve"> Comisión del Trabajo y Asuntos Laborales y la Comisión de Hacienda</w:t>
      </w:r>
      <w:r w:rsidRPr="00F8594A">
        <w:rPr>
          <w:rFonts w:ascii="Book Antiqua" w:hAnsi="Book Antiqua"/>
          <w:szCs w:val="24"/>
          <w:lang w:val="es-PR"/>
        </w:rPr>
        <w:t xml:space="preserve">, </w:t>
      </w:r>
      <w:r w:rsidR="00672A3E" w:rsidRPr="00672A3E">
        <w:rPr>
          <w:rFonts w:ascii="Book Antiqua" w:hAnsi="Book Antiqua"/>
          <w:szCs w:val="24"/>
          <w:lang w:val="es-PR"/>
        </w:rPr>
        <w:t>tras un análisis exhaustivo de los memoriales presentados y la evaluación de impacto fiscal, concluye</w:t>
      </w:r>
      <w:r w:rsidR="00821302">
        <w:rPr>
          <w:rFonts w:ascii="Book Antiqua" w:hAnsi="Book Antiqua"/>
          <w:szCs w:val="24"/>
          <w:lang w:val="es-PR"/>
        </w:rPr>
        <w:t>n</w:t>
      </w:r>
      <w:r w:rsidR="00672A3E" w:rsidRPr="00672A3E">
        <w:rPr>
          <w:rFonts w:ascii="Book Antiqua" w:hAnsi="Book Antiqua"/>
          <w:szCs w:val="24"/>
          <w:lang w:val="es-PR"/>
        </w:rPr>
        <w:t xml:space="preserve"> que el P. de la C. 860 representa un acto de justicia social necesario para los servidores públicos. Las comparecencias de la Asociación de Maestros (AMPR) y la Oficina del Comisionado de Seguros (OCS) validan que el marco actual de la Ley 95-1963 penaliza de forma injusta a los empleados que cuentan con cubiertas familiares externos, privándoles de un beneficio marginal ya presupuestado.</w:t>
      </w:r>
    </w:p>
    <w:p w14:paraId="043DA281" w14:textId="77777777" w:rsidR="00672A3E" w:rsidRPr="00672A3E" w:rsidRDefault="00672A3E" w:rsidP="00672A3E">
      <w:pPr>
        <w:ind w:firstLine="720"/>
        <w:jc w:val="both"/>
        <w:rPr>
          <w:rFonts w:ascii="Book Antiqua" w:hAnsi="Book Antiqua"/>
          <w:szCs w:val="24"/>
          <w:lang w:val="es-PR"/>
        </w:rPr>
      </w:pPr>
    </w:p>
    <w:p w14:paraId="4C7AA5C6" w14:textId="434B0C26" w:rsidR="00672A3E" w:rsidRDefault="00672A3E" w:rsidP="00672A3E">
      <w:pPr>
        <w:ind w:firstLine="720"/>
        <w:jc w:val="both"/>
        <w:rPr>
          <w:rFonts w:ascii="Book Antiqua" w:hAnsi="Book Antiqua"/>
          <w:szCs w:val="24"/>
          <w:lang w:val="es-PR"/>
        </w:rPr>
      </w:pPr>
      <w:r w:rsidRPr="00672A3E">
        <w:rPr>
          <w:rFonts w:ascii="Book Antiqua" w:hAnsi="Book Antiqua"/>
          <w:szCs w:val="24"/>
          <w:lang w:val="es-PR"/>
        </w:rPr>
        <w:t>La incorporación del informe técnico de la Oficina de Presupuesto de la Asamblea Legislativa (OPAL) es determinante para nuestra posición. La OPAL certifica que el proyecto No tiene Impacto Fiscal (NIF) directo sobre el Fondo General, ya que los fondos para este estipendio ya forman parte del presupuesto certificado de las agencias. Aunque se identifica un costo implícito máximo de $27.1 millones por una mayor ejecución del beneficio, esta</w:t>
      </w:r>
      <w:r w:rsidR="00821302">
        <w:rPr>
          <w:rFonts w:ascii="Book Antiqua" w:hAnsi="Book Antiqua"/>
          <w:szCs w:val="24"/>
          <w:lang w:val="es-PR"/>
        </w:rPr>
        <w:t>s</w:t>
      </w:r>
      <w:r w:rsidRPr="00672A3E">
        <w:rPr>
          <w:rFonts w:ascii="Book Antiqua" w:hAnsi="Book Antiqua"/>
          <w:szCs w:val="24"/>
          <w:lang w:val="es-PR"/>
        </w:rPr>
        <w:t xml:space="preserve"> Comis</w:t>
      </w:r>
      <w:r w:rsidR="00821302">
        <w:rPr>
          <w:rFonts w:ascii="Book Antiqua" w:hAnsi="Book Antiqua"/>
          <w:szCs w:val="24"/>
          <w:lang w:val="es-PR"/>
        </w:rPr>
        <w:t>iones</w:t>
      </w:r>
      <w:r w:rsidRPr="00672A3E">
        <w:rPr>
          <w:rFonts w:ascii="Book Antiqua" w:hAnsi="Book Antiqua"/>
          <w:szCs w:val="24"/>
          <w:lang w:val="es-PR"/>
        </w:rPr>
        <w:t xml:space="preserve"> entiende que dicho monto no constituye un gasto nuevo, sino el cumplimiento de una obligación patronal ya contraída por el Estado.</w:t>
      </w:r>
    </w:p>
    <w:p w14:paraId="0E7F31FA" w14:textId="77777777" w:rsidR="00672A3E" w:rsidRDefault="00672A3E" w:rsidP="00672A3E">
      <w:pPr>
        <w:ind w:firstLine="720"/>
        <w:jc w:val="both"/>
        <w:rPr>
          <w:rFonts w:ascii="Book Antiqua" w:hAnsi="Book Antiqua"/>
          <w:szCs w:val="24"/>
          <w:lang w:val="es-PR"/>
        </w:rPr>
      </w:pPr>
    </w:p>
    <w:p w14:paraId="7B1E44C1" w14:textId="7587F653" w:rsidR="00672A3E" w:rsidRDefault="00672A3E" w:rsidP="00672A3E">
      <w:pPr>
        <w:ind w:firstLine="720"/>
        <w:jc w:val="both"/>
        <w:rPr>
          <w:rFonts w:ascii="Book Antiqua" w:hAnsi="Book Antiqua"/>
          <w:szCs w:val="24"/>
          <w:lang w:val="es-PR"/>
        </w:rPr>
      </w:pPr>
      <w:r w:rsidRPr="00672A3E">
        <w:rPr>
          <w:rFonts w:ascii="Book Antiqua" w:hAnsi="Book Antiqua"/>
          <w:szCs w:val="24"/>
          <w:lang w:val="es-PR"/>
        </w:rPr>
        <w:t>Con el propósito de robustecer la política pública y atender las preocupaciones de fiscalización planteadas por sectores de la industria de seguros, esta</w:t>
      </w:r>
      <w:r w:rsidR="00821302">
        <w:rPr>
          <w:rFonts w:ascii="Book Antiqua" w:hAnsi="Book Antiqua"/>
          <w:szCs w:val="24"/>
          <w:lang w:val="es-PR"/>
        </w:rPr>
        <w:t>s</w:t>
      </w:r>
      <w:r w:rsidRPr="00672A3E">
        <w:rPr>
          <w:rFonts w:ascii="Book Antiqua" w:hAnsi="Book Antiqua"/>
          <w:szCs w:val="24"/>
          <w:lang w:val="es-PR"/>
        </w:rPr>
        <w:t xml:space="preserve"> Comisi</w:t>
      </w:r>
      <w:r w:rsidR="00821302">
        <w:rPr>
          <w:rFonts w:ascii="Book Antiqua" w:hAnsi="Book Antiqua"/>
          <w:szCs w:val="24"/>
          <w:lang w:val="es-PR"/>
        </w:rPr>
        <w:t>ones</w:t>
      </w:r>
      <w:r w:rsidRPr="00672A3E">
        <w:rPr>
          <w:rFonts w:ascii="Book Antiqua" w:hAnsi="Book Antiqua"/>
          <w:szCs w:val="24"/>
          <w:lang w:val="es-PR"/>
        </w:rPr>
        <w:t xml:space="preserve"> ha</w:t>
      </w:r>
      <w:r w:rsidR="00821302">
        <w:rPr>
          <w:rFonts w:ascii="Book Antiqua" w:hAnsi="Book Antiqua"/>
          <w:szCs w:val="24"/>
          <w:lang w:val="es-PR"/>
        </w:rPr>
        <w:t>n</w:t>
      </w:r>
      <w:r w:rsidRPr="00672A3E">
        <w:rPr>
          <w:rFonts w:ascii="Book Antiqua" w:hAnsi="Book Antiqua"/>
          <w:szCs w:val="24"/>
          <w:lang w:val="es-PR"/>
        </w:rPr>
        <w:t xml:space="preserve"> incorporado enmiendas fundamentales al texto del proyecto. Se ha sustituido el concepto de pago automático por un mecanismo de reembolso por gastos incurridos, condicionado a la presentación de evidencia fehaciente de servicios médicos no cubiertos. Estas enmiendas garantizan que los fondos públicos se utilicen estrictamente para fines de salud, evitando que el beneficio se convierta en un ingreso ordinario y asegurando la transparencia en el uso de los recursos del erario. Asimismo, se ha enmendado la facultad reglamentaria para obligar a una coordinación técnica entre el </w:t>
      </w:r>
      <w:r>
        <w:rPr>
          <w:rFonts w:ascii="Book Antiqua" w:hAnsi="Book Antiqua"/>
          <w:szCs w:val="24"/>
          <w:lang w:val="es-PR"/>
        </w:rPr>
        <w:t>DTRH</w:t>
      </w:r>
      <w:r w:rsidRPr="00672A3E">
        <w:rPr>
          <w:rFonts w:ascii="Book Antiqua" w:hAnsi="Book Antiqua"/>
          <w:szCs w:val="24"/>
          <w:lang w:val="es-PR"/>
        </w:rPr>
        <w:t>, la ASES y la OCS, asegurando que el proceso sea uniforme y compatible con los contratos de seguros vigentes.</w:t>
      </w:r>
    </w:p>
    <w:p w14:paraId="4639148D" w14:textId="77777777" w:rsidR="00672A3E" w:rsidRPr="00672A3E" w:rsidRDefault="00672A3E" w:rsidP="00672A3E">
      <w:pPr>
        <w:ind w:firstLine="720"/>
        <w:jc w:val="both"/>
        <w:rPr>
          <w:rFonts w:ascii="Book Antiqua" w:hAnsi="Book Antiqua"/>
          <w:szCs w:val="24"/>
          <w:lang w:val="es-PR"/>
        </w:rPr>
      </w:pPr>
    </w:p>
    <w:p w14:paraId="53409BAB" w14:textId="07A86010" w:rsidR="00672A3E" w:rsidRDefault="00672A3E" w:rsidP="00672A3E">
      <w:pPr>
        <w:ind w:firstLine="720"/>
        <w:jc w:val="both"/>
        <w:rPr>
          <w:rFonts w:ascii="Book Antiqua" w:hAnsi="Book Antiqua"/>
          <w:szCs w:val="24"/>
          <w:lang w:val="es-PR"/>
        </w:rPr>
      </w:pPr>
      <w:r w:rsidRPr="00672A3E">
        <w:rPr>
          <w:rFonts w:ascii="Book Antiqua" w:hAnsi="Book Antiqua"/>
          <w:szCs w:val="24"/>
          <w:lang w:val="es-PR"/>
        </w:rPr>
        <w:t xml:space="preserve">Al momento de la redacción de este Informe, esta Comisión de la Cámara de Representantes no ha recibido el memorial explicativo solicitado a la Administración de Seguros de Salud (ASES). No obstante, reconociendo que la opinión de la ASES es técnica y operacionalmente relevante debido a su facultad para negociar beneficios bajo la Ley 95, </w:t>
      </w:r>
      <w:r w:rsidR="00821302">
        <w:rPr>
          <w:rFonts w:ascii="Book Antiqua" w:hAnsi="Book Antiqua"/>
          <w:szCs w:val="24"/>
          <w:lang w:val="es-PR"/>
        </w:rPr>
        <w:t>estas</w:t>
      </w:r>
      <w:r w:rsidRPr="00672A3E">
        <w:rPr>
          <w:rFonts w:ascii="Book Antiqua" w:hAnsi="Book Antiqua"/>
          <w:szCs w:val="24"/>
          <w:lang w:val="es-PR"/>
        </w:rPr>
        <w:t xml:space="preserve"> Comisi</w:t>
      </w:r>
      <w:r w:rsidR="00821302">
        <w:rPr>
          <w:rFonts w:ascii="Book Antiqua" w:hAnsi="Book Antiqua"/>
          <w:szCs w:val="24"/>
          <w:lang w:val="es-PR"/>
        </w:rPr>
        <w:t>o</w:t>
      </w:r>
      <w:r w:rsidRPr="00672A3E">
        <w:rPr>
          <w:rFonts w:ascii="Book Antiqua" w:hAnsi="Book Antiqua"/>
          <w:szCs w:val="24"/>
          <w:lang w:val="es-PR"/>
        </w:rPr>
        <w:t>n</w:t>
      </w:r>
      <w:r w:rsidR="00821302">
        <w:rPr>
          <w:rFonts w:ascii="Book Antiqua" w:hAnsi="Book Antiqua"/>
          <w:szCs w:val="24"/>
          <w:lang w:val="es-PR"/>
        </w:rPr>
        <w:t>es</w:t>
      </w:r>
      <w:r w:rsidRPr="00672A3E">
        <w:rPr>
          <w:rFonts w:ascii="Book Antiqua" w:hAnsi="Book Antiqua"/>
          <w:szCs w:val="24"/>
          <w:lang w:val="es-PR"/>
        </w:rPr>
        <w:t xml:space="preserve"> ha</w:t>
      </w:r>
      <w:r w:rsidR="00821302">
        <w:rPr>
          <w:rFonts w:ascii="Book Antiqua" w:hAnsi="Book Antiqua"/>
          <w:szCs w:val="24"/>
          <w:lang w:val="es-PR"/>
        </w:rPr>
        <w:t>n</w:t>
      </w:r>
      <w:r w:rsidRPr="00672A3E">
        <w:rPr>
          <w:rFonts w:ascii="Book Antiqua" w:hAnsi="Book Antiqua"/>
          <w:szCs w:val="24"/>
          <w:lang w:val="es-PR"/>
        </w:rPr>
        <w:t xml:space="preserve"> procedido con el análisis basado en los criterios de política pública, justicia social y la transparencia presupuestaria confirmada por la OPAL.</w:t>
      </w:r>
    </w:p>
    <w:p w14:paraId="392107C3" w14:textId="77777777" w:rsidR="00672A3E" w:rsidRPr="00672A3E" w:rsidRDefault="00672A3E" w:rsidP="00672A3E">
      <w:pPr>
        <w:ind w:firstLine="720"/>
        <w:jc w:val="both"/>
        <w:rPr>
          <w:rFonts w:ascii="Book Antiqua" w:hAnsi="Book Antiqua"/>
          <w:szCs w:val="24"/>
          <w:lang w:val="es-PR"/>
        </w:rPr>
      </w:pPr>
    </w:p>
    <w:p w14:paraId="68AB18A7" w14:textId="61FD9AD2" w:rsidR="00F8594A" w:rsidRDefault="00672A3E" w:rsidP="00672A3E">
      <w:pPr>
        <w:ind w:firstLine="720"/>
        <w:jc w:val="both"/>
        <w:rPr>
          <w:rFonts w:ascii="Book Antiqua" w:hAnsi="Book Antiqua"/>
          <w:szCs w:val="24"/>
          <w:lang w:val="es-PR"/>
        </w:rPr>
      </w:pPr>
      <w:r w:rsidRPr="00672A3E">
        <w:rPr>
          <w:rFonts w:ascii="Book Antiqua" w:hAnsi="Book Antiqua"/>
          <w:szCs w:val="24"/>
          <w:lang w:val="es-PR"/>
        </w:rPr>
        <w:t xml:space="preserve">En conclusión, al confirmarse que la medida no altera el universo de empleados con derecho a la aportación y que el desembolso líquido ya fue presupuestado como gasto, </w:t>
      </w:r>
      <w:r w:rsidR="00821302">
        <w:rPr>
          <w:rFonts w:ascii="Book Antiqua" w:hAnsi="Book Antiqua"/>
          <w:szCs w:val="24"/>
          <w:lang w:val="es-PR"/>
        </w:rPr>
        <w:t>ambas Comisiones</w:t>
      </w:r>
      <w:r w:rsidRPr="00672A3E">
        <w:rPr>
          <w:rFonts w:ascii="Book Antiqua" w:hAnsi="Book Antiqua"/>
          <w:szCs w:val="24"/>
          <w:lang w:val="es-PR"/>
        </w:rPr>
        <w:t xml:space="preserve"> mantiene</w:t>
      </w:r>
      <w:r w:rsidR="00821302">
        <w:rPr>
          <w:rFonts w:ascii="Book Antiqua" w:hAnsi="Book Antiqua"/>
          <w:szCs w:val="24"/>
          <w:lang w:val="es-PR"/>
        </w:rPr>
        <w:t>n</w:t>
      </w:r>
      <w:r w:rsidRPr="00672A3E">
        <w:rPr>
          <w:rFonts w:ascii="Book Antiqua" w:hAnsi="Book Antiqua"/>
          <w:szCs w:val="24"/>
          <w:lang w:val="es-PR"/>
        </w:rPr>
        <w:t xml:space="preserve"> su aval al P. de la C. 860. </w:t>
      </w:r>
    </w:p>
    <w:p w14:paraId="2B9E8B2A" w14:textId="77777777" w:rsidR="00EE3807" w:rsidRPr="009C3FBC" w:rsidRDefault="00EE3807" w:rsidP="00EE3807">
      <w:pPr>
        <w:ind w:firstLine="720"/>
        <w:jc w:val="both"/>
        <w:rPr>
          <w:rFonts w:ascii="Book Antiqua" w:hAnsi="Book Antiqua"/>
          <w:szCs w:val="24"/>
          <w:lang w:val="es-ES"/>
        </w:rPr>
      </w:pPr>
    </w:p>
    <w:p w14:paraId="5C62CCC2" w14:textId="5D927048" w:rsidR="00702F92" w:rsidRPr="00B64681" w:rsidRDefault="00ED30AA" w:rsidP="00702F92">
      <w:pPr>
        <w:ind w:firstLine="720"/>
        <w:jc w:val="both"/>
        <w:rPr>
          <w:rFonts w:ascii="Book Antiqua" w:hAnsi="Book Antiqua"/>
          <w:szCs w:val="24"/>
          <w:lang w:val="es-ES"/>
        </w:rPr>
      </w:pPr>
      <w:r w:rsidRPr="009C3FBC">
        <w:rPr>
          <w:rFonts w:ascii="Book Antiqua" w:hAnsi="Book Antiqua"/>
          <w:b/>
          <w:bCs/>
          <w:szCs w:val="24"/>
          <w:lang w:val="es-ES"/>
        </w:rPr>
        <w:t>POR</w:t>
      </w:r>
      <w:r w:rsidRPr="009C3FBC">
        <w:rPr>
          <w:rFonts w:ascii="Book Antiqua" w:hAnsi="Book Antiqua"/>
          <w:szCs w:val="24"/>
          <w:lang w:val="es-ES"/>
        </w:rPr>
        <w:t xml:space="preserve"> </w:t>
      </w:r>
      <w:r w:rsidRPr="009C3FBC">
        <w:rPr>
          <w:rFonts w:ascii="Book Antiqua" w:hAnsi="Book Antiqua"/>
          <w:b/>
          <w:bCs/>
          <w:szCs w:val="24"/>
          <w:lang w:val="es-ES"/>
        </w:rPr>
        <w:t>LOS FUNDAMENTOS ANTES E</w:t>
      </w:r>
      <w:r w:rsidR="0094358C">
        <w:rPr>
          <w:rFonts w:ascii="Book Antiqua" w:hAnsi="Book Antiqua"/>
          <w:b/>
          <w:bCs/>
          <w:szCs w:val="24"/>
          <w:lang w:val="es-ES"/>
        </w:rPr>
        <w:t>X</w:t>
      </w:r>
      <w:r w:rsidRPr="009C3FBC">
        <w:rPr>
          <w:rFonts w:ascii="Book Antiqua" w:hAnsi="Book Antiqua"/>
          <w:b/>
          <w:bCs/>
          <w:szCs w:val="24"/>
          <w:lang w:val="es-ES"/>
        </w:rPr>
        <w:t>PUESTOS</w:t>
      </w:r>
      <w:r w:rsidRPr="009C3FBC">
        <w:rPr>
          <w:rFonts w:ascii="Book Antiqua" w:hAnsi="Book Antiqua"/>
          <w:szCs w:val="24"/>
          <w:lang w:val="es-ES"/>
        </w:rPr>
        <w:t xml:space="preserve">, </w:t>
      </w:r>
      <w:r w:rsidR="00672A3E" w:rsidRPr="00672A3E">
        <w:rPr>
          <w:rFonts w:ascii="Book Antiqua" w:hAnsi="Book Antiqua"/>
          <w:szCs w:val="24"/>
          <w:lang w:val="es-ES"/>
        </w:rPr>
        <w:t>luego del análisis y evaluación sobre los elementos de la pieza legislativa, la Comisión del Trabajo y Asunto Laborales</w:t>
      </w:r>
      <w:r w:rsidR="00821302">
        <w:rPr>
          <w:rFonts w:ascii="Book Antiqua" w:hAnsi="Book Antiqua"/>
          <w:szCs w:val="24"/>
          <w:lang w:val="es-ES"/>
        </w:rPr>
        <w:t xml:space="preserve"> y la Comisión de Hacienda</w:t>
      </w:r>
      <w:r w:rsidR="00672A3E" w:rsidRPr="00672A3E">
        <w:rPr>
          <w:rFonts w:ascii="Book Antiqua" w:hAnsi="Book Antiqua"/>
          <w:szCs w:val="24"/>
          <w:lang w:val="es-ES"/>
        </w:rPr>
        <w:t xml:space="preserve"> somete</w:t>
      </w:r>
      <w:r w:rsidR="00821302">
        <w:rPr>
          <w:rFonts w:ascii="Book Antiqua" w:hAnsi="Book Antiqua"/>
          <w:szCs w:val="24"/>
          <w:lang w:val="es-ES"/>
        </w:rPr>
        <w:t>n</w:t>
      </w:r>
      <w:r w:rsidR="00672A3E" w:rsidRPr="00672A3E">
        <w:rPr>
          <w:rFonts w:ascii="Book Antiqua" w:hAnsi="Book Antiqua"/>
          <w:szCs w:val="24"/>
          <w:lang w:val="es-ES"/>
        </w:rPr>
        <w:t xml:space="preserve"> el presente Informe Positivo en el que recomiendan a este Augusto Cuerpo la aprobación del </w:t>
      </w:r>
      <w:r w:rsidR="00672A3E" w:rsidRPr="00672A3E">
        <w:rPr>
          <w:rFonts w:ascii="Book Antiqua" w:hAnsi="Book Antiqua"/>
          <w:b/>
          <w:bCs/>
          <w:szCs w:val="24"/>
          <w:lang w:val="es-ES"/>
        </w:rPr>
        <w:t>P. de la C. 860</w:t>
      </w:r>
      <w:r w:rsidR="00672A3E" w:rsidRPr="00672A3E">
        <w:rPr>
          <w:rFonts w:ascii="Book Antiqua" w:hAnsi="Book Antiqua"/>
          <w:szCs w:val="24"/>
          <w:lang w:val="es-ES"/>
        </w:rPr>
        <w:t>, con las enmiendas contenidas en el entirillado electrónico que se aneja.</w:t>
      </w:r>
      <w:r w:rsidR="00B64681">
        <w:rPr>
          <w:rFonts w:ascii="Book Antiqua" w:hAnsi="Book Antiqua"/>
          <w:szCs w:val="24"/>
          <w:lang w:val="es-ES"/>
        </w:rPr>
        <w:t xml:space="preserve"> </w:t>
      </w:r>
    </w:p>
    <w:p w14:paraId="6338DE30" w14:textId="77777777" w:rsidR="00702F92" w:rsidRDefault="00702F92" w:rsidP="00702F92">
      <w:pPr>
        <w:jc w:val="both"/>
        <w:rPr>
          <w:rFonts w:ascii="Book Antiqua" w:hAnsi="Book Antiqua"/>
          <w:b/>
          <w:bCs/>
          <w:szCs w:val="24"/>
          <w:lang w:val="es-ES"/>
        </w:rPr>
      </w:pPr>
    </w:p>
    <w:p w14:paraId="725C8DA4" w14:textId="77777777" w:rsidR="00702F92" w:rsidRDefault="00702F92" w:rsidP="00702F92">
      <w:pPr>
        <w:jc w:val="both"/>
        <w:rPr>
          <w:rFonts w:ascii="Book Antiqua" w:hAnsi="Book Antiqua"/>
          <w:b/>
          <w:bCs/>
          <w:szCs w:val="24"/>
          <w:lang w:val="es-ES"/>
        </w:rPr>
      </w:pPr>
    </w:p>
    <w:p w14:paraId="72E607D6" w14:textId="17B0BD58" w:rsidR="00ED30AA" w:rsidRPr="009C3FBC" w:rsidRDefault="00ED30AA" w:rsidP="00702F92">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23E7F698" w:rsidR="00ED30AA" w:rsidRDefault="00ED30AA" w:rsidP="00ED30AA">
      <w:pPr>
        <w:jc w:val="both"/>
        <w:rPr>
          <w:rFonts w:ascii="Book Antiqua" w:hAnsi="Book Antiqua"/>
          <w:noProof/>
          <w:szCs w:val="24"/>
          <w:lang w:val="es-ES"/>
        </w:rPr>
      </w:pPr>
    </w:p>
    <w:p w14:paraId="3AECE7E9" w14:textId="77777777" w:rsidR="003A5C29" w:rsidRPr="009C3FBC" w:rsidRDefault="003A5C29" w:rsidP="00ED30AA">
      <w:pPr>
        <w:jc w:val="both"/>
        <w:rPr>
          <w:rFonts w:ascii="Book Antiqua" w:hAnsi="Book Antiqua"/>
          <w:szCs w:val="24"/>
          <w:lang w:val="es-ES"/>
        </w:rPr>
      </w:pPr>
    </w:p>
    <w:p w14:paraId="1A203F67" w14:textId="77777777" w:rsidR="00821302" w:rsidRDefault="00821302" w:rsidP="00ED30AA">
      <w:pPr>
        <w:jc w:val="both"/>
        <w:rPr>
          <w:rFonts w:ascii="Book Antiqua" w:hAnsi="Book Antiqua"/>
          <w:b/>
          <w:bCs/>
          <w:i/>
          <w:iCs/>
          <w:szCs w:val="24"/>
          <w:lang w:val="es-ES"/>
        </w:rPr>
        <w:sectPr w:rsidR="00821302" w:rsidSect="005718E8">
          <w:headerReference w:type="default" r:id="rId13"/>
          <w:footerReference w:type="default" r:id="rId14"/>
          <w:pgSz w:w="12240" w:h="15840" w:code="1"/>
          <w:pgMar w:top="1440" w:right="1440" w:bottom="1440" w:left="1440" w:header="720" w:footer="720" w:gutter="0"/>
          <w:cols w:space="720"/>
          <w:titlePg/>
          <w:docGrid w:linePitch="326"/>
        </w:sect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689CD2A5" w14:textId="77777777" w:rsidR="00821302" w:rsidRDefault="00ED30AA" w:rsidP="004B7C0B">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29E8F21C" w:rsidR="003B01A3"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p w14:paraId="722F424B" w14:textId="77777777" w:rsidR="00821302" w:rsidRPr="00E33AD1" w:rsidRDefault="00821302" w:rsidP="00821302">
      <w:pPr>
        <w:jc w:val="both"/>
        <w:rPr>
          <w:rFonts w:ascii="Book Antiqua" w:hAnsi="Book Antiqua"/>
          <w:szCs w:val="24"/>
          <w:lang w:val="es-ES"/>
        </w:rPr>
      </w:pPr>
      <w:r w:rsidRPr="009C3FBC">
        <w:rPr>
          <w:rFonts w:ascii="Book Antiqua" w:hAnsi="Book Antiqua"/>
          <w:b/>
          <w:bCs/>
          <w:i/>
          <w:iCs/>
          <w:szCs w:val="24"/>
          <w:lang w:val="es-ES"/>
        </w:rPr>
        <w:t xml:space="preserve">Hon. </w:t>
      </w:r>
      <w:r>
        <w:rPr>
          <w:rFonts w:ascii="Book Antiqua" w:hAnsi="Book Antiqua"/>
          <w:b/>
          <w:bCs/>
          <w:i/>
          <w:iCs/>
          <w:szCs w:val="24"/>
          <w:lang w:val="es-ES"/>
        </w:rPr>
        <w:t>Eddie Charbonier Chinea</w:t>
      </w:r>
      <w:r w:rsidRPr="009C3FBC">
        <w:rPr>
          <w:rFonts w:ascii="Book Antiqua" w:hAnsi="Book Antiqua"/>
          <w:b/>
          <w:bCs/>
          <w:i/>
          <w:iCs/>
          <w:szCs w:val="24"/>
          <w:lang w:val="es-ES"/>
        </w:rPr>
        <w:tab/>
        <w:t xml:space="preserve"> </w:t>
      </w:r>
    </w:p>
    <w:p w14:paraId="1A0F1BE1" w14:textId="77777777" w:rsidR="00821302" w:rsidRDefault="00821302" w:rsidP="00821302">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622D10AE" w14:textId="77777777" w:rsidR="00821302" w:rsidRDefault="00821302" w:rsidP="00821302">
      <w:pPr>
        <w:jc w:val="both"/>
        <w:rPr>
          <w:rFonts w:ascii="Book Antiqua" w:hAnsi="Book Antiqua"/>
          <w:szCs w:val="24"/>
          <w:lang w:val="es-ES"/>
        </w:rPr>
        <w:sectPr w:rsidR="00821302" w:rsidSect="00821302">
          <w:type w:val="continuous"/>
          <w:pgSz w:w="12240" w:h="15840" w:code="1"/>
          <w:pgMar w:top="1440" w:right="1440" w:bottom="1440" w:left="1440" w:header="720" w:footer="720" w:gutter="0"/>
          <w:cols w:num="2" w:space="720"/>
          <w:titlePg/>
          <w:docGrid w:linePitch="326"/>
        </w:sectPr>
      </w:pPr>
      <w:r w:rsidRPr="009C3FBC">
        <w:rPr>
          <w:rFonts w:ascii="Book Antiqua" w:hAnsi="Book Antiqua"/>
          <w:szCs w:val="24"/>
          <w:lang w:val="es-ES"/>
        </w:rPr>
        <w:t>Comisión</w:t>
      </w:r>
      <w:r>
        <w:rPr>
          <w:rFonts w:ascii="Book Antiqua" w:hAnsi="Book Antiqua"/>
          <w:szCs w:val="24"/>
          <w:lang w:val="es-ES"/>
        </w:rPr>
        <w:t xml:space="preserve"> de Hacienda</w:t>
      </w:r>
    </w:p>
    <w:p w14:paraId="0D839824" w14:textId="77777777" w:rsidR="00E8722B" w:rsidRDefault="00E8722B" w:rsidP="004B7C0B">
      <w:pPr>
        <w:jc w:val="both"/>
        <w:rPr>
          <w:rFonts w:ascii="Book Antiqua" w:hAnsi="Book Antiqua"/>
          <w:szCs w:val="24"/>
          <w:lang w:val="es-ES"/>
        </w:rPr>
      </w:pPr>
    </w:p>
    <w:p w14:paraId="4CE31CD8" w14:textId="77777777" w:rsidR="00E8722B" w:rsidRPr="009C3FBC" w:rsidRDefault="00E8722B" w:rsidP="004B7C0B">
      <w:pPr>
        <w:jc w:val="both"/>
        <w:rPr>
          <w:rFonts w:ascii="Book Antiqua" w:hAnsi="Book Antiqua"/>
          <w:szCs w:val="24"/>
          <w:lang w:val="es-ES"/>
        </w:rPr>
      </w:pPr>
    </w:p>
    <w:sectPr w:rsidR="00E8722B" w:rsidRPr="009C3FBC" w:rsidSect="00821302">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4DBE1" w14:textId="77777777" w:rsidR="00246E50" w:rsidRDefault="00246E50">
      <w:r>
        <w:separator/>
      </w:r>
    </w:p>
  </w:endnote>
  <w:endnote w:type="continuationSeparator" w:id="0">
    <w:p w14:paraId="766A4A8A" w14:textId="77777777" w:rsidR="00246E50" w:rsidRDefault="0024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FEF3C" w14:textId="77777777" w:rsidR="00246E50" w:rsidRDefault="00246E50">
      <w:r>
        <w:separator/>
      </w:r>
    </w:p>
  </w:footnote>
  <w:footnote w:type="continuationSeparator" w:id="0">
    <w:p w14:paraId="0158604D" w14:textId="77777777" w:rsidR="00246E50" w:rsidRDefault="00246E50">
      <w:r>
        <w:continuationSeparator/>
      </w:r>
    </w:p>
  </w:footnote>
  <w:footnote w:id="1">
    <w:p w14:paraId="5821F357" w14:textId="7A5D949E" w:rsidR="002E144E" w:rsidRPr="00660503" w:rsidRDefault="002E144E" w:rsidP="002E144E">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009863D1" w:rsidRPr="009863D1">
        <w:rPr>
          <w:rFonts w:ascii="Book Antiqua" w:hAnsi="Book Antiqua"/>
          <w:lang w:val="es-ES"/>
        </w:rPr>
        <w:t>Informe 2026-255 | PC 860</w:t>
      </w:r>
      <w:r w:rsidR="00570382">
        <w:rPr>
          <w:rFonts w:ascii="Book Antiqua" w:hAnsi="Book Antiqua"/>
          <w:lang w:val="es-ES"/>
        </w:rPr>
        <w:t>.</w:t>
      </w:r>
      <w:r w:rsidR="009863D1" w:rsidRPr="009863D1">
        <w:rPr>
          <w:lang w:val="es-PR"/>
        </w:rPr>
        <w:t xml:space="preserve"> </w:t>
      </w:r>
      <w:hyperlink r:id="rId1" w:history="1">
        <w:r w:rsidR="009863D1" w:rsidRPr="00D23F7D">
          <w:rPr>
            <w:rStyle w:val="Hyperlink"/>
            <w:rFonts w:ascii="Book Antiqua" w:hAnsi="Book Antiqua"/>
            <w:lang w:val="es-ES"/>
          </w:rPr>
          <w:t>https://www.opal.pr.gov/informes/informe-2026-255-pc-860</w:t>
        </w:r>
      </w:hyperlink>
      <w:r w:rsidR="009863D1">
        <w:rPr>
          <w:rFonts w:ascii="Book Antiqua" w:hAnsi="Book Antiqua"/>
          <w:lang w:val="es-ES"/>
        </w:rPr>
        <w:t xml:space="preserve"> </w:t>
      </w:r>
    </w:p>
  </w:footnote>
  <w:footnote w:id="2">
    <w:p w14:paraId="41DA3439" w14:textId="5CD56CCC" w:rsidR="004C36BC" w:rsidRPr="00660503" w:rsidRDefault="004C36BC" w:rsidP="004C36BC">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00570382">
        <w:rPr>
          <w:rFonts w:ascii="Book Antiqua" w:hAnsi="Book Antiqua"/>
          <w:lang w:val="es-ES"/>
        </w:rPr>
        <w:t xml:space="preserve">El </w:t>
      </w:r>
      <w:r w:rsidR="0040082F">
        <w:rPr>
          <w:rFonts w:ascii="Book Antiqua" w:hAnsi="Book Antiqua"/>
          <w:lang w:val="es-ES"/>
        </w:rPr>
        <w:t>21</w:t>
      </w:r>
      <w:r w:rsidR="00570382">
        <w:rPr>
          <w:rFonts w:ascii="Book Antiqua" w:hAnsi="Book Antiqua"/>
          <w:lang w:val="es-ES"/>
        </w:rPr>
        <w:t xml:space="preserve"> de </w:t>
      </w:r>
      <w:r w:rsidR="0040082F">
        <w:rPr>
          <w:rFonts w:ascii="Book Antiqua" w:hAnsi="Book Antiqua"/>
          <w:lang w:val="es-ES"/>
        </w:rPr>
        <w:t xml:space="preserve">enero de 2026 </w:t>
      </w:r>
      <w:r w:rsidR="00570382">
        <w:rPr>
          <w:rFonts w:ascii="Book Antiqua" w:hAnsi="Book Antiqua"/>
          <w:lang w:val="es-ES"/>
        </w:rPr>
        <w:t xml:space="preserve">se recibió memorial de la </w:t>
      </w:r>
      <w:r w:rsidR="0040082F">
        <w:rPr>
          <w:rFonts w:ascii="Book Antiqua" w:hAnsi="Book Antiqua"/>
          <w:lang w:val="es-ES"/>
        </w:rPr>
        <w:t>PROSSAM</w:t>
      </w:r>
      <w:r w:rsidR="00570382">
        <w:rPr>
          <w:rFonts w:ascii="Book Antiqua" w:hAnsi="Book Antiqua"/>
          <w:lang w:val="es-ES"/>
        </w:rPr>
        <w:t>.</w:t>
      </w:r>
      <w:r>
        <w:rPr>
          <w:rFonts w:ascii="Book Antiqua" w:hAnsi="Book Antiqua"/>
          <w:lang w:val="es-ES"/>
        </w:rPr>
        <w:t xml:space="preserve">  </w:t>
      </w:r>
    </w:p>
  </w:footnote>
  <w:footnote w:id="3">
    <w:p w14:paraId="4F351025" w14:textId="1BB549A8" w:rsidR="003C41D0" w:rsidRPr="00660503" w:rsidRDefault="003C41D0" w:rsidP="003C41D0">
      <w:pPr>
        <w:pStyle w:val="FootnoteText"/>
        <w:jc w:val="both"/>
        <w:rPr>
          <w:rFonts w:ascii="Book Antiqua" w:hAnsi="Book Antiqua"/>
          <w:lang w:val="es-ES"/>
        </w:rPr>
      </w:pPr>
      <w:r w:rsidRPr="00660503">
        <w:rPr>
          <w:rStyle w:val="FootnoteReference"/>
          <w:lang w:val="es-ES"/>
        </w:rPr>
        <w:footnoteRef/>
      </w:r>
      <w:r w:rsidRPr="00660503">
        <w:rPr>
          <w:lang w:val="es-ES"/>
        </w:rPr>
        <w:t xml:space="preserve"> </w:t>
      </w:r>
      <w:r w:rsidR="00570382">
        <w:rPr>
          <w:rFonts w:ascii="Book Antiqua" w:hAnsi="Book Antiqua"/>
          <w:lang w:val="es-ES"/>
        </w:rPr>
        <w:t xml:space="preserve">El </w:t>
      </w:r>
      <w:r w:rsidR="0040082F">
        <w:rPr>
          <w:rFonts w:ascii="Book Antiqua" w:hAnsi="Book Antiqua"/>
          <w:lang w:val="es-ES"/>
        </w:rPr>
        <w:t xml:space="preserve">3 de febrero de 2026 </w:t>
      </w:r>
      <w:r w:rsidR="00570382">
        <w:rPr>
          <w:rFonts w:ascii="Book Antiqua" w:hAnsi="Book Antiqua"/>
          <w:lang w:val="es-ES"/>
        </w:rPr>
        <w:t xml:space="preserve">se recibió el memorial de </w:t>
      </w:r>
      <w:r w:rsidR="0040082F">
        <w:rPr>
          <w:rFonts w:ascii="Book Antiqua" w:hAnsi="Book Antiqua"/>
          <w:lang w:val="es-ES"/>
        </w:rPr>
        <w:t>OCS</w:t>
      </w:r>
      <w:r w:rsidR="00570382">
        <w:rPr>
          <w:rFonts w:ascii="Book Antiqua" w:hAnsi="Book Antiqua"/>
          <w:lang w:val="es-ES"/>
        </w:rPr>
        <w:t>.</w:t>
      </w:r>
      <w:r>
        <w:rPr>
          <w:rFonts w:ascii="Book Antiqua" w:hAnsi="Book Antiqua"/>
          <w:lang w:val="es-ES"/>
        </w:rPr>
        <w:t xml:space="preserve">  </w:t>
      </w:r>
    </w:p>
  </w:footnote>
  <w:footnote w:id="4">
    <w:p w14:paraId="169E53C3" w14:textId="0C4D7021" w:rsidR="003C41D0" w:rsidRPr="00F358C0" w:rsidRDefault="003C41D0" w:rsidP="00F358C0">
      <w:pPr>
        <w:pStyle w:val="FootnoteText"/>
        <w:rPr>
          <w:rFonts w:ascii="Book Antiqua" w:hAnsi="Book Antiqua"/>
          <w:sz w:val="16"/>
          <w:szCs w:val="16"/>
          <w:lang w:val="es-ES"/>
        </w:rPr>
      </w:pPr>
      <w:r w:rsidRPr="00660503">
        <w:rPr>
          <w:rStyle w:val="FootnoteReference"/>
          <w:lang w:val="es-ES"/>
        </w:rPr>
        <w:footnoteRef/>
      </w:r>
      <w:r w:rsidRPr="00660503">
        <w:rPr>
          <w:lang w:val="es-ES"/>
        </w:rPr>
        <w:t xml:space="preserve"> </w:t>
      </w:r>
      <w:r w:rsidR="00E8722B">
        <w:rPr>
          <w:rFonts w:ascii="Book Antiqua" w:hAnsi="Book Antiqua"/>
          <w:lang w:val="es-ES"/>
        </w:rPr>
        <w:t>El 9 de febrero de 2026 se recibió memorial de Triple-S.</w:t>
      </w:r>
      <w:r w:rsidR="00F358C0" w:rsidRPr="00F358C0">
        <w:rPr>
          <w:rFonts w:ascii="Book Antiqua" w:hAnsi="Book Antiqua"/>
          <w:sz w:val="14"/>
          <w:szCs w:val="14"/>
          <w:lang w:val="es-ES"/>
        </w:rPr>
        <w:t xml:space="preserve"> </w:t>
      </w:r>
    </w:p>
  </w:footnote>
  <w:footnote w:id="5">
    <w:p w14:paraId="05F7442D" w14:textId="662EBBF4" w:rsidR="00E8722B" w:rsidRPr="00E8722B" w:rsidRDefault="00E8722B">
      <w:pPr>
        <w:pStyle w:val="FootnoteText"/>
        <w:rPr>
          <w:lang w:val="es-PR"/>
        </w:rPr>
      </w:pPr>
      <w:r>
        <w:rPr>
          <w:rStyle w:val="FootnoteReference"/>
        </w:rPr>
        <w:footnoteRef/>
      </w:r>
      <w:r w:rsidRPr="00E8722B">
        <w:rPr>
          <w:lang w:val="es-PR"/>
        </w:rPr>
        <w:t xml:space="preserve"> </w:t>
      </w:r>
      <w:r>
        <w:rPr>
          <w:lang w:val="es-PR"/>
        </w:rPr>
        <w:t>El 10 de febrero de 2026 se recibió memorial de ACODESE.</w:t>
      </w:r>
    </w:p>
  </w:footnote>
  <w:footnote w:id="6">
    <w:p w14:paraId="78DBE469" w14:textId="7244897F" w:rsidR="00FC1525" w:rsidRPr="00FC1525" w:rsidRDefault="00FC1525">
      <w:pPr>
        <w:pStyle w:val="FootnoteText"/>
        <w:rPr>
          <w:lang w:val="es-PR"/>
        </w:rPr>
      </w:pPr>
      <w:r>
        <w:rPr>
          <w:rStyle w:val="FootnoteReference"/>
        </w:rPr>
        <w:footnoteRef/>
      </w:r>
      <w:r w:rsidRPr="00FC1525">
        <w:rPr>
          <w:lang w:val="es-PR"/>
        </w:rPr>
        <w:t xml:space="preserve"> </w:t>
      </w:r>
      <w:r>
        <w:rPr>
          <w:lang w:val="es-PR"/>
        </w:rPr>
        <w:t>El 30 de marzo de 2026 se recibió memorial de OATRH.</w:t>
      </w:r>
    </w:p>
  </w:footnote>
  <w:footnote w:id="7">
    <w:p w14:paraId="17F5E999" w14:textId="2C8E0925" w:rsidR="006849C3" w:rsidRPr="006849C3" w:rsidRDefault="006849C3">
      <w:pPr>
        <w:pStyle w:val="FootnoteText"/>
        <w:rPr>
          <w:lang w:val="es-PR"/>
        </w:rPr>
      </w:pPr>
      <w:r>
        <w:rPr>
          <w:rStyle w:val="FootnoteReference"/>
        </w:rPr>
        <w:footnoteRef/>
      </w:r>
      <w:r w:rsidRPr="006849C3">
        <w:rPr>
          <w:lang w:val="es-PR"/>
        </w:rPr>
        <w:t xml:space="preserve"> </w:t>
      </w:r>
      <w:r>
        <w:rPr>
          <w:lang w:val="es-PR"/>
        </w:rPr>
        <w:t xml:space="preserve">El 7 de enero de 2026 se solicitó memorial, al momento de presentar este informe no estaba disponible. </w:t>
      </w:r>
    </w:p>
  </w:footnote>
  <w:footnote w:id="8">
    <w:p w14:paraId="5F4553EF" w14:textId="6D566666" w:rsidR="006849C3" w:rsidRPr="006849C3" w:rsidRDefault="006849C3">
      <w:pPr>
        <w:pStyle w:val="FootnoteText"/>
        <w:rPr>
          <w:lang w:val="es-PR"/>
        </w:rPr>
      </w:pPr>
      <w:r>
        <w:rPr>
          <w:rStyle w:val="FootnoteReference"/>
        </w:rPr>
        <w:footnoteRef/>
      </w:r>
      <w:r w:rsidRPr="006849C3">
        <w:rPr>
          <w:lang w:val="es-PR"/>
        </w:rPr>
        <w:t xml:space="preserve"> El 7 de enero de 2026 se solicitó memorial, al momento de presentar este informe no estaba disponible.</w:t>
      </w:r>
    </w:p>
  </w:footnote>
  <w:footnote w:id="9">
    <w:p w14:paraId="5F2AA87A" w14:textId="1138138B" w:rsidR="006849C3" w:rsidRPr="006849C3" w:rsidRDefault="006849C3">
      <w:pPr>
        <w:pStyle w:val="FootnoteText"/>
        <w:rPr>
          <w:lang w:val="es-PR"/>
        </w:rPr>
      </w:pPr>
      <w:r>
        <w:rPr>
          <w:rStyle w:val="FootnoteReference"/>
        </w:rPr>
        <w:footnoteRef/>
      </w:r>
      <w:r w:rsidRPr="006849C3">
        <w:rPr>
          <w:lang w:val="es-PR"/>
        </w:rPr>
        <w:t xml:space="preserve"> El 7 de enero de 2026 se solicitó memorial, al momento de presentar este informe no estaba disponible.</w:t>
      </w:r>
    </w:p>
  </w:footnote>
  <w:footnote w:id="10">
    <w:p w14:paraId="0DB74F30" w14:textId="6632F052" w:rsidR="006849C3" w:rsidRPr="006849C3" w:rsidRDefault="006849C3">
      <w:pPr>
        <w:pStyle w:val="FootnoteText"/>
        <w:rPr>
          <w:lang w:val="es-PR"/>
        </w:rPr>
      </w:pPr>
      <w:r>
        <w:rPr>
          <w:rStyle w:val="FootnoteReference"/>
        </w:rPr>
        <w:footnoteRef/>
      </w:r>
      <w:r w:rsidRPr="006849C3">
        <w:rPr>
          <w:lang w:val="es-PR"/>
        </w:rPr>
        <w:t xml:space="preserve"> El 7 de enero de 2026 se solicitó memorial, al momento de presentar este informe no estaba disponible.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09E33846" w14:textId="49C7C5CC" w:rsidR="00821302" w:rsidRPr="00ED30AA" w:rsidRDefault="00821302" w:rsidP="00ED30AA">
    <w:pPr>
      <w:pStyle w:val="Header"/>
      <w:pBdr>
        <w:bottom w:val="single" w:sz="12" w:space="1" w:color="auto"/>
      </w:pBdr>
      <w:rPr>
        <w:rFonts w:ascii="Book Antiqua" w:hAnsi="Book Antiqua"/>
        <w:b/>
        <w:sz w:val="20"/>
        <w:lang w:val="es-PR"/>
      </w:rPr>
    </w:pPr>
    <w:r>
      <w:rPr>
        <w:rFonts w:ascii="Book Antiqua" w:hAnsi="Book Antiqua"/>
        <w:b/>
        <w:sz w:val="20"/>
        <w:lang w:val="es-PR"/>
      </w:rPr>
      <w:t>Comisión de Hacienda 2</w:t>
    </w:r>
    <w:r w:rsidRPr="00821302">
      <w:rPr>
        <w:rFonts w:ascii="Book Antiqua" w:hAnsi="Book Antiqua"/>
        <w:b/>
        <w:sz w:val="20"/>
        <w:vertAlign w:val="superscript"/>
        <w:lang w:val="es-PR"/>
      </w:rPr>
      <w:t>da</w:t>
    </w:r>
    <w:r>
      <w:rPr>
        <w:rFonts w:ascii="Book Antiqua" w:hAnsi="Book Antiqua"/>
        <w:b/>
        <w:sz w:val="20"/>
        <w:lang w:val="es-PR"/>
      </w:rPr>
      <w:t xml:space="preserve"> Instancia</w:t>
    </w:r>
  </w:p>
  <w:p w14:paraId="1F97640D" w14:textId="68E1B72F" w:rsidR="004E5AFE" w:rsidRDefault="00B64681"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Informe Positivo</w:t>
    </w:r>
  </w:p>
  <w:p w14:paraId="418D21AC" w14:textId="595FB335"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w:t>
    </w:r>
    <w:r w:rsidR="006849C3">
      <w:rPr>
        <w:rFonts w:ascii="Book Antiqua" w:hAnsi="Book Antiqua"/>
        <w:b/>
        <w:sz w:val="20"/>
        <w:lang w:val="es-PR"/>
      </w:rPr>
      <w:t>e la C. 860</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9"/>
  </w:num>
  <w:num w:numId="4" w16cid:durableId="303313110">
    <w:abstractNumId w:val="2"/>
  </w:num>
  <w:num w:numId="5" w16cid:durableId="874389364">
    <w:abstractNumId w:val="20"/>
  </w:num>
  <w:num w:numId="6" w16cid:durableId="1358460559">
    <w:abstractNumId w:val="6"/>
  </w:num>
  <w:num w:numId="7" w16cid:durableId="198127431">
    <w:abstractNumId w:val="11"/>
  </w:num>
  <w:num w:numId="8" w16cid:durableId="1751612478">
    <w:abstractNumId w:val="18"/>
  </w:num>
  <w:num w:numId="9" w16cid:durableId="392125813">
    <w:abstractNumId w:val="3"/>
  </w:num>
  <w:num w:numId="10" w16cid:durableId="688794570">
    <w:abstractNumId w:val="19"/>
  </w:num>
  <w:num w:numId="11" w16cid:durableId="591013037">
    <w:abstractNumId w:val="1"/>
  </w:num>
  <w:num w:numId="12" w16cid:durableId="40909517">
    <w:abstractNumId w:val="17"/>
  </w:num>
  <w:num w:numId="13" w16cid:durableId="138772109">
    <w:abstractNumId w:val="12"/>
  </w:num>
  <w:num w:numId="14" w16cid:durableId="2006399549">
    <w:abstractNumId w:val="21"/>
  </w:num>
  <w:num w:numId="15" w16cid:durableId="1322201008">
    <w:abstractNumId w:val="5"/>
  </w:num>
  <w:num w:numId="16" w16cid:durableId="499083648">
    <w:abstractNumId w:val="4"/>
  </w:num>
  <w:num w:numId="17" w16cid:durableId="838958967">
    <w:abstractNumId w:val="13"/>
  </w:num>
  <w:num w:numId="18" w16cid:durableId="210961959">
    <w:abstractNumId w:val="7"/>
  </w:num>
  <w:num w:numId="19" w16cid:durableId="2050110963">
    <w:abstractNumId w:val="16"/>
  </w:num>
  <w:num w:numId="20" w16cid:durableId="1232740073">
    <w:abstractNumId w:val="0"/>
  </w:num>
  <w:num w:numId="21" w16cid:durableId="993484377">
    <w:abstractNumId w:val="8"/>
  </w:num>
  <w:num w:numId="22" w16cid:durableId="440684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1F8C"/>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0F15F5"/>
    <w:rsid w:val="001036CE"/>
    <w:rsid w:val="00104C64"/>
    <w:rsid w:val="0010744E"/>
    <w:rsid w:val="0011496A"/>
    <w:rsid w:val="001223AA"/>
    <w:rsid w:val="001236A1"/>
    <w:rsid w:val="00140A28"/>
    <w:rsid w:val="001419E0"/>
    <w:rsid w:val="00147BF2"/>
    <w:rsid w:val="00150C55"/>
    <w:rsid w:val="00157D83"/>
    <w:rsid w:val="00185E95"/>
    <w:rsid w:val="00190D17"/>
    <w:rsid w:val="001919F6"/>
    <w:rsid w:val="0019674E"/>
    <w:rsid w:val="001977A4"/>
    <w:rsid w:val="001A4C2B"/>
    <w:rsid w:val="001B0938"/>
    <w:rsid w:val="001B0FF8"/>
    <w:rsid w:val="001C0C85"/>
    <w:rsid w:val="001C12C0"/>
    <w:rsid w:val="001D03DB"/>
    <w:rsid w:val="001D7A7B"/>
    <w:rsid w:val="001E0043"/>
    <w:rsid w:val="001E2EE8"/>
    <w:rsid w:val="001E56A7"/>
    <w:rsid w:val="001F6DD7"/>
    <w:rsid w:val="00201000"/>
    <w:rsid w:val="002057D6"/>
    <w:rsid w:val="002221AA"/>
    <w:rsid w:val="002263D9"/>
    <w:rsid w:val="00233258"/>
    <w:rsid w:val="002375CB"/>
    <w:rsid w:val="00246E50"/>
    <w:rsid w:val="00251EAD"/>
    <w:rsid w:val="002548B8"/>
    <w:rsid w:val="002618D7"/>
    <w:rsid w:val="0027727B"/>
    <w:rsid w:val="0028282F"/>
    <w:rsid w:val="00290180"/>
    <w:rsid w:val="00290737"/>
    <w:rsid w:val="00292C74"/>
    <w:rsid w:val="002949EC"/>
    <w:rsid w:val="0029568E"/>
    <w:rsid w:val="0029599C"/>
    <w:rsid w:val="002A0C2B"/>
    <w:rsid w:val="002A6D67"/>
    <w:rsid w:val="002B4DBD"/>
    <w:rsid w:val="002B60BE"/>
    <w:rsid w:val="002C4FA8"/>
    <w:rsid w:val="002D006E"/>
    <w:rsid w:val="002D0DC0"/>
    <w:rsid w:val="002D1053"/>
    <w:rsid w:val="002D12F9"/>
    <w:rsid w:val="002D7B0E"/>
    <w:rsid w:val="002E144E"/>
    <w:rsid w:val="002F1E64"/>
    <w:rsid w:val="002F4C29"/>
    <w:rsid w:val="003007B4"/>
    <w:rsid w:val="0030733A"/>
    <w:rsid w:val="00315DDC"/>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A33A6"/>
    <w:rsid w:val="003A4410"/>
    <w:rsid w:val="003A5C29"/>
    <w:rsid w:val="003A657E"/>
    <w:rsid w:val="003B01A3"/>
    <w:rsid w:val="003B16BF"/>
    <w:rsid w:val="003C1E4B"/>
    <w:rsid w:val="003C2D21"/>
    <w:rsid w:val="003C41D0"/>
    <w:rsid w:val="003D01D6"/>
    <w:rsid w:val="003D0913"/>
    <w:rsid w:val="003D7D0C"/>
    <w:rsid w:val="003E1D69"/>
    <w:rsid w:val="003E23DC"/>
    <w:rsid w:val="003E2953"/>
    <w:rsid w:val="003E3A56"/>
    <w:rsid w:val="003E7F33"/>
    <w:rsid w:val="003F1A6D"/>
    <w:rsid w:val="003F27C7"/>
    <w:rsid w:val="003F727F"/>
    <w:rsid w:val="0040082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5534"/>
    <w:rsid w:val="00471FA3"/>
    <w:rsid w:val="004770CF"/>
    <w:rsid w:val="00477B35"/>
    <w:rsid w:val="00485200"/>
    <w:rsid w:val="0048779C"/>
    <w:rsid w:val="00491727"/>
    <w:rsid w:val="00491C0F"/>
    <w:rsid w:val="004941AC"/>
    <w:rsid w:val="004B2368"/>
    <w:rsid w:val="004B7C0B"/>
    <w:rsid w:val="004C36BC"/>
    <w:rsid w:val="004D1649"/>
    <w:rsid w:val="004D513B"/>
    <w:rsid w:val="004E00C4"/>
    <w:rsid w:val="004E5AFE"/>
    <w:rsid w:val="004E773D"/>
    <w:rsid w:val="004F629E"/>
    <w:rsid w:val="00500CC7"/>
    <w:rsid w:val="005027AD"/>
    <w:rsid w:val="00502E18"/>
    <w:rsid w:val="00503F3C"/>
    <w:rsid w:val="00504E9B"/>
    <w:rsid w:val="00506D0F"/>
    <w:rsid w:val="00516A65"/>
    <w:rsid w:val="00523708"/>
    <w:rsid w:val="0052399A"/>
    <w:rsid w:val="00532F2C"/>
    <w:rsid w:val="005414EF"/>
    <w:rsid w:val="00551362"/>
    <w:rsid w:val="005532A3"/>
    <w:rsid w:val="00555018"/>
    <w:rsid w:val="00561187"/>
    <w:rsid w:val="00562EFE"/>
    <w:rsid w:val="00565A34"/>
    <w:rsid w:val="00565E86"/>
    <w:rsid w:val="00570382"/>
    <w:rsid w:val="005718E8"/>
    <w:rsid w:val="00572735"/>
    <w:rsid w:val="00577E77"/>
    <w:rsid w:val="00581921"/>
    <w:rsid w:val="00597E80"/>
    <w:rsid w:val="005A0F17"/>
    <w:rsid w:val="005A749E"/>
    <w:rsid w:val="005B1F1A"/>
    <w:rsid w:val="005B6660"/>
    <w:rsid w:val="005D3D5C"/>
    <w:rsid w:val="005E0522"/>
    <w:rsid w:val="005E2D25"/>
    <w:rsid w:val="005F3BF6"/>
    <w:rsid w:val="005F67C5"/>
    <w:rsid w:val="00603D56"/>
    <w:rsid w:val="006045E0"/>
    <w:rsid w:val="00604E08"/>
    <w:rsid w:val="00610112"/>
    <w:rsid w:val="00615919"/>
    <w:rsid w:val="00616270"/>
    <w:rsid w:val="00617C61"/>
    <w:rsid w:val="00627FF4"/>
    <w:rsid w:val="00634C00"/>
    <w:rsid w:val="0064060E"/>
    <w:rsid w:val="00640F83"/>
    <w:rsid w:val="006456CC"/>
    <w:rsid w:val="00646C64"/>
    <w:rsid w:val="0065169F"/>
    <w:rsid w:val="00657A3B"/>
    <w:rsid w:val="00660503"/>
    <w:rsid w:val="00660DEA"/>
    <w:rsid w:val="00670B29"/>
    <w:rsid w:val="00671884"/>
    <w:rsid w:val="00672A3E"/>
    <w:rsid w:val="00673DF5"/>
    <w:rsid w:val="00676AD0"/>
    <w:rsid w:val="00683D71"/>
    <w:rsid w:val="006849C3"/>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2F92"/>
    <w:rsid w:val="00703972"/>
    <w:rsid w:val="00707CB9"/>
    <w:rsid w:val="00711370"/>
    <w:rsid w:val="00725EBC"/>
    <w:rsid w:val="00726A1E"/>
    <w:rsid w:val="00730DB1"/>
    <w:rsid w:val="00731286"/>
    <w:rsid w:val="00740F1E"/>
    <w:rsid w:val="0074531D"/>
    <w:rsid w:val="007453CD"/>
    <w:rsid w:val="00750189"/>
    <w:rsid w:val="00752D3C"/>
    <w:rsid w:val="00753A00"/>
    <w:rsid w:val="00755CBC"/>
    <w:rsid w:val="007677D7"/>
    <w:rsid w:val="007721AD"/>
    <w:rsid w:val="00783251"/>
    <w:rsid w:val="00785266"/>
    <w:rsid w:val="00792EBB"/>
    <w:rsid w:val="00795520"/>
    <w:rsid w:val="0079639C"/>
    <w:rsid w:val="007A0B8D"/>
    <w:rsid w:val="007A6992"/>
    <w:rsid w:val="007A6F4D"/>
    <w:rsid w:val="007B0550"/>
    <w:rsid w:val="007C5DD4"/>
    <w:rsid w:val="007D2039"/>
    <w:rsid w:val="007D44E4"/>
    <w:rsid w:val="007D5501"/>
    <w:rsid w:val="007F0F99"/>
    <w:rsid w:val="007F3057"/>
    <w:rsid w:val="007F4155"/>
    <w:rsid w:val="007F46F0"/>
    <w:rsid w:val="007F4D2B"/>
    <w:rsid w:val="0080177C"/>
    <w:rsid w:val="00804F6B"/>
    <w:rsid w:val="008059B1"/>
    <w:rsid w:val="0080637C"/>
    <w:rsid w:val="00815062"/>
    <w:rsid w:val="00821302"/>
    <w:rsid w:val="00824F94"/>
    <w:rsid w:val="0082542F"/>
    <w:rsid w:val="0083480A"/>
    <w:rsid w:val="008371ED"/>
    <w:rsid w:val="00847610"/>
    <w:rsid w:val="008517CF"/>
    <w:rsid w:val="00852716"/>
    <w:rsid w:val="008536D1"/>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79A1"/>
    <w:rsid w:val="008D0A5E"/>
    <w:rsid w:val="008D1BAF"/>
    <w:rsid w:val="008D1DB5"/>
    <w:rsid w:val="008D4ABA"/>
    <w:rsid w:val="008E0C45"/>
    <w:rsid w:val="008E11CC"/>
    <w:rsid w:val="008E29CD"/>
    <w:rsid w:val="008E6C73"/>
    <w:rsid w:val="008F281B"/>
    <w:rsid w:val="008F3069"/>
    <w:rsid w:val="008F3DDD"/>
    <w:rsid w:val="008F4E1D"/>
    <w:rsid w:val="008F71D8"/>
    <w:rsid w:val="00907B34"/>
    <w:rsid w:val="0091120E"/>
    <w:rsid w:val="00925C0B"/>
    <w:rsid w:val="00926C56"/>
    <w:rsid w:val="0094358C"/>
    <w:rsid w:val="00964006"/>
    <w:rsid w:val="009647F8"/>
    <w:rsid w:val="00964EB3"/>
    <w:rsid w:val="00973CE5"/>
    <w:rsid w:val="00974382"/>
    <w:rsid w:val="009863D1"/>
    <w:rsid w:val="00986798"/>
    <w:rsid w:val="00986EE7"/>
    <w:rsid w:val="00987D90"/>
    <w:rsid w:val="00991228"/>
    <w:rsid w:val="00993159"/>
    <w:rsid w:val="00993A4A"/>
    <w:rsid w:val="009966A7"/>
    <w:rsid w:val="009A40BF"/>
    <w:rsid w:val="009B3FB4"/>
    <w:rsid w:val="009C0408"/>
    <w:rsid w:val="009C304E"/>
    <w:rsid w:val="009C3FBC"/>
    <w:rsid w:val="009C7AD6"/>
    <w:rsid w:val="009C7CFB"/>
    <w:rsid w:val="009C7FC6"/>
    <w:rsid w:val="009D6FD8"/>
    <w:rsid w:val="009E14F4"/>
    <w:rsid w:val="009E3D79"/>
    <w:rsid w:val="009F19C2"/>
    <w:rsid w:val="009F1EE7"/>
    <w:rsid w:val="009F3AEE"/>
    <w:rsid w:val="009F6796"/>
    <w:rsid w:val="00A23DD3"/>
    <w:rsid w:val="00A27969"/>
    <w:rsid w:val="00A27F80"/>
    <w:rsid w:val="00A30C0A"/>
    <w:rsid w:val="00A31456"/>
    <w:rsid w:val="00A426A2"/>
    <w:rsid w:val="00A43947"/>
    <w:rsid w:val="00A47CF0"/>
    <w:rsid w:val="00A66CF3"/>
    <w:rsid w:val="00A77674"/>
    <w:rsid w:val="00A82809"/>
    <w:rsid w:val="00A8513A"/>
    <w:rsid w:val="00A86164"/>
    <w:rsid w:val="00A93E03"/>
    <w:rsid w:val="00A96E04"/>
    <w:rsid w:val="00AA5521"/>
    <w:rsid w:val="00AA6704"/>
    <w:rsid w:val="00AA7044"/>
    <w:rsid w:val="00AA752E"/>
    <w:rsid w:val="00AB3915"/>
    <w:rsid w:val="00AB6058"/>
    <w:rsid w:val="00AD009F"/>
    <w:rsid w:val="00AD2D77"/>
    <w:rsid w:val="00AE2FE8"/>
    <w:rsid w:val="00AE50F2"/>
    <w:rsid w:val="00AF2B6E"/>
    <w:rsid w:val="00B0028A"/>
    <w:rsid w:val="00B15FE6"/>
    <w:rsid w:val="00B1720E"/>
    <w:rsid w:val="00B23C1F"/>
    <w:rsid w:val="00B2443A"/>
    <w:rsid w:val="00B24750"/>
    <w:rsid w:val="00B27D8A"/>
    <w:rsid w:val="00B31342"/>
    <w:rsid w:val="00B44A73"/>
    <w:rsid w:val="00B45C79"/>
    <w:rsid w:val="00B51BF0"/>
    <w:rsid w:val="00B55416"/>
    <w:rsid w:val="00B64681"/>
    <w:rsid w:val="00B7319D"/>
    <w:rsid w:val="00B76943"/>
    <w:rsid w:val="00B80F89"/>
    <w:rsid w:val="00B81ED0"/>
    <w:rsid w:val="00B82A58"/>
    <w:rsid w:val="00B841C6"/>
    <w:rsid w:val="00BA5706"/>
    <w:rsid w:val="00BA6610"/>
    <w:rsid w:val="00BD078C"/>
    <w:rsid w:val="00BD6D44"/>
    <w:rsid w:val="00BF160B"/>
    <w:rsid w:val="00BF25CF"/>
    <w:rsid w:val="00C0637B"/>
    <w:rsid w:val="00C106F4"/>
    <w:rsid w:val="00C11220"/>
    <w:rsid w:val="00C14A21"/>
    <w:rsid w:val="00C1596C"/>
    <w:rsid w:val="00C20C6A"/>
    <w:rsid w:val="00C22967"/>
    <w:rsid w:val="00C25C7B"/>
    <w:rsid w:val="00C2602B"/>
    <w:rsid w:val="00C32414"/>
    <w:rsid w:val="00C370F9"/>
    <w:rsid w:val="00C41234"/>
    <w:rsid w:val="00C55D90"/>
    <w:rsid w:val="00C80616"/>
    <w:rsid w:val="00C81F4D"/>
    <w:rsid w:val="00C875C4"/>
    <w:rsid w:val="00C917EB"/>
    <w:rsid w:val="00C91D3A"/>
    <w:rsid w:val="00CA4006"/>
    <w:rsid w:val="00CA779D"/>
    <w:rsid w:val="00CB4105"/>
    <w:rsid w:val="00CB4CB9"/>
    <w:rsid w:val="00CB7175"/>
    <w:rsid w:val="00CB7C9D"/>
    <w:rsid w:val="00CC088C"/>
    <w:rsid w:val="00CC17D5"/>
    <w:rsid w:val="00CC37EC"/>
    <w:rsid w:val="00CD0F3E"/>
    <w:rsid w:val="00CD795E"/>
    <w:rsid w:val="00CE14E0"/>
    <w:rsid w:val="00CE154C"/>
    <w:rsid w:val="00CE20CC"/>
    <w:rsid w:val="00CE6503"/>
    <w:rsid w:val="00CF05E6"/>
    <w:rsid w:val="00CF25AC"/>
    <w:rsid w:val="00CF2D32"/>
    <w:rsid w:val="00D0144B"/>
    <w:rsid w:val="00D02023"/>
    <w:rsid w:val="00D11130"/>
    <w:rsid w:val="00D11503"/>
    <w:rsid w:val="00D12FA5"/>
    <w:rsid w:val="00D14654"/>
    <w:rsid w:val="00D17736"/>
    <w:rsid w:val="00D2409B"/>
    <w:rsid w:val="00D2448F"/>
    <w:rsid w:val="00D3090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C6606"/>
    <w:rsid w:val="00DD0559"/>
    <w:rsid w:val="00DD4394"/>
    <w:rsid w:val="00DD7780"/>
    <w:rsid w:val="00DE29FB"/>
    <w:rsid w:val="00DE3EC3"/>
    <w:rsid w:val="00DE549B"/>
    <w:rsid w:val="00DE64B2"/>
    <w:rsid w:val="00DF2B2D"/>
    <w:rsid w:val="00DF4433"/>
    <w:rsid w:val="00DF51E5"/>
    <w:rsid w:val="00DF623B"/>
    <w:rsid w:val="00E00281"/>
    <w:rsid w:val="00E011F4"/>
    <w:rsid w:val="00E022D6"/>
    <w:rsid w:val="00E0639A"/>
    <w:rsid w:val="00E20080"/>
    <w:rsid w:val="00E25B40"/>
    <w:rsid w:val="00E26CDC"/>
    <w:rsid w:val="00E37C60"/>
    <w:rsid w:val="00E4167A"/>
    <w:rsid w:val="00E42F08"/>
    <w:rsid w:val="00E442B2"/>
    <w:rsid w:val="00E47932"/>
    <w:rsid w:val="00E51678"/>
    <w:rsid w:val="00E66D0E"/>
    <w:rsid w:val="00E72ADB"/>
    <w:rsid w:val="00E83958"/>
    <w:rsid w:val="00E8453D"/>
    <w:rsid w:val="00E84D1F"/>
    <w:rsid w:val="00E85143"/>
    <w:rsid w:val="00E8722B"/>
    <w:rsid w:val="00E875B5"/>
    <w:rsid w:val="00E919F3"/>
    <w:rsid w:val="00E94489"/>
    <w:rsid w:val="00EA0336"/>
    <w:rsid w:val="00EA3F62"/>
    <w:rsid w:val="00EA42E1"/>
    <w:rsid w:val="00EA48E7"/>
    <w:rsid w:val="00EB26D6"/>
    <w:rsid w:val="00EC4AC9"/>
    <w:rsid w:val="00ED30AA"/>
    <w:rsid w:val="00ED38AE"/>
    <w:rsid w:val="00EE2267"/>
    <w:rsid w:val="00EE3807"/>
    <w:rsid w:val="00EE55F8"/>
    <w:rsid w:val="00EE669C"/>
    <w:rsid w:val="00EE7946"/>
    <w:rsid w:val="00EF11D6"/>
    <w:rsid w:val="00EF4598"/>
    <w:rsid w:val="00EF4941"/>
    <w:rsid w:val="00F054D6"/>
    <w:rsid w:val="00F157BB"/>
    <w:rsid w:val="00F22903"/>
    <w:rsid w:val="00F235EC"/>
    <w:rsid w:val="00F313E1"/>
    <w:rsid w:val="00F353DF"/>
    <w:rsid w:val="00F358C0"/>
    <w:rsid w:val="00F367B5"/>
    <w:rsid w:val="00F4364D"/>
    <w:rsid w:val="00F463B1"/>
    <w:rsid w:val="00F466F9"/>
    <w:rsid w:val="00F54DF0"/>
    <w:rsid w:val="00F6086C"/>
    <w:rsid w:val="00F71400"/>
    <w:rsid w:val="00F8350F"/>
    <w:rsid w:val="00F83D10"/>
    <w:rsid w:val="00F85731"/>
    <w:rsid w:val="00F8594A"/>
    <w:rsid w:val="00F937D1"/>
    <w:rsid w:val="00FA4150"/>
    <w:rsid w:val="00FB5B25"/>
    <w:rsid w:val="00FC1525"/>
    <w:rsid w:val="00FC6F2F"/>
    <w:rsid w:val="00FD0C98"/>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character" w:styleId="UnresolvedMention">
    <w:name w:val="Unresolved Mention"/>
    <w:basedOn w:val="DefaultParagraphFont"/>
    <w:uiPriority w:val="99"/>
    <w:semiHidden/>
    <w:unhideWhenUsed/>
    <w:rsid w:val="00F358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opal.pr.gov/informes/informe-2026-255-pc-8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3.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5.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1990</Words>
  <Characters>11347</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2026-04-09T13:35:00Z</cp:lastPrinted>
  <dcterms:created xsi:type="dcterms:W3CDTF">2026-04-29T19:43:00Z</dcterms:created>
  <dcterms:modified xsi:type="dcterms:W3CDTF">2026-04-29T19:43:00Z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