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35373" w14:textId="4E5BED99" w:rsidR="00AB23FD" w:rsidRDefault="00AB23FD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(ENTIRILLADO ELECTRÓNICO)</w:t>
      </w:r>
    </w:p>
    <w:p w14:paraId="1CCB2E9A" w14:textId="5B6FEBBB" w:rsidR="00673C93" w:rsidRPr="00E564E6" w:rsidRDefault="00673C93" w:rsidP="00673C93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E564E6">
        <w:rPr>
          <w:rFonts w:ascii="Book Antiqua" w:hAnsi="Book Antiqua"/>
          <w:caps/>
          <w:sz w:val="28"/>
          <w:szCs w:val="28"/>
          <w:lang w:val="es-ES"/>
        </w:rPr>
        <w:t>GOBIERNO de Puerto Rico</w:t>
      </w:r>
    </w:p>
    <w:p w14:paraId="39C794E0" w14:textId="77777777" w:rsidR="00673C93" w:rsidRPr="00E564E6" w:rsidRDefault="00673C93" w:rsidP="00673C93">
      <w:pPr>
        <w:jc w:val="center"/>
        <w:rPr>
          <w:rFonts w:ascii="Book Antiqua" w:hAnsi="Book Antiqua"/>
          <w:caps/>
          <w:szCs w:val="24"/>
          <w:lang w:val="es-ES"/>
        </w:rPr>
      </w:pPr>
    </w:p>
    <w:p w14:paraId="38A7216E" w14:textId="1C01060B" w:rsidR="00673C93" w:rsidRPr="00E564E6" w:rsidRDefault="00C23B64" w:rsidP="00673C93">
      <w:pPr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>20m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Asamblea</w:t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</w:r>
      <w:r w:rsidR="00673C93" w:rsidRPr="00E564E6">
        <w:rPr>
          <w:rFonts w:ascii="Book Antiqua" w:hAnsi="Book Antiqua"/>
          <w:sz w:val="24"/>
          <w:szCs w:val="32"/>
          <w:lang w:val="es-ES"/>
        </w:rPr>
        <w:tab/>
        <w:t xml:space="preserve">           </w:t>
      </w:r>
      <w:r w:rsidR="00A31F93">
        <w:rPr>
          <w:rFonts w:ascii="Book Antiqua" w:hAnsi="Book Antiqua"/>
          <w:sz w:val="24"/>
          <w:szCs w:val="32"/>
          <w:lang w:val="es-ES"/>
        </w:rPr>
        <w:t>2d</w:t>
      </w:r>
      <w:r w:rsidR="00673C93" w:rsidRPr="00E564E6">
        <w:rPr>
          <w:rFonts w:ascii="Book Antiqua" w:hAnsi="Book Antiqua"/>
          <w:sz w:val="24"/>
          <w:szCs w:val="32"/>
          <w:lang w:val="es-ES"/>
        </w:rPr>
        <w:t>a. Sesión</w:t>
      </w:r>
    </w:p>
    <w:p w14:paraId="7EBA3A72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32"/>
          <w:lang w:val="es-ES"/>
        </w:rPr>
      </w:pPr>
      <w:r w:rsidRPr="00E564E6">
        <w:rPr>
          <w:rFonts w:ascii="Book Antiqua" w:hAnsi="Book Antiqua"/>
          <w:sz w:val="24"/>
          <w:szCs w:val="32"/>
          <w:lang w:val="es-ES"/>
        </w:rPr>
        <w:t xml:space="preserve"> Legislativa</w:t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</w:r>
      <w:r w:rsidRPr="00E564E6">
        <w:rPr>
          <w:rFonts w:ascii="Book Antiqua" w:hAnsi="Book Antiqua"/>
          <w:sz w:val="24"/>
          <w:szCs w:val="32"/>
          <w:lang w:val="es-ES"/>
        </w:rPr>
        <w:tab/>
        <w:t xml:space="preserve">      Ordinaria</w:t>
      </w:r>
    </w:p>
    <w:p w14:paraId="49611E2D" w14:textId="77777777" w:rsidR="00673C93" w:rsidRPr="00E564E6" w:rsidRDefault="00673C93" w:rsidP="00673C93">
      <w:pPr>
        <w:ind w:firstLine="561"/>
        <w:jc w:val="both"/>
        <w:rPr>
          <w:rFonts w:ascii="Book Antiqua" w:hAnsi="Book Antiqua"/>
          <w:sz w:val="24"/>
          <w:szCs w:val="24"/>
          <w:lang w:val="es-ES"/>
        </w:rPr>
      </w:pPr>
    </w:p>
    <w:p w14:paraId="2DCF7A71" w14:textId="77777777" w:rsidR="00673C93" w:rsidRPr="00E564E6" w:rsidRDefault="00673C93" w:rsidP="00673C93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E564E6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E564E6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B990F94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09F76208" w14:textId="308BB1B9" w:rsidR="00673C93" w:rsidRPr="00E564E6" w:rsidRDefault="00124F63" w:rsidP="00673C93">
      <w:pPr>
        <w:jc w:val="center"/>
        <w:rPr>
          <w:rFonts w:ascii="Book Antiqua" w:hAnsi="Book Antiqua"/>
          <w:b/>
          <w:szCs w:val="24"/>
          <w:lang w:val="es-ES"/>
        </w:rPr>
      </w:pPr>
      <w:r w:rsidRPr="00E564E6">
        <w:rPr>
          <w:rFonts w:ascii="Book Antiqua" w:hAnsi="Book Antiqua"/>
          <w:b/>
          <w:sz w:val="52"/>
          <w:szCs w:val="52"/>
          <w:lang w:val="es-ES"/>
        </w:rPr>
        <w:t xml:space="preserve">P. de la C. </w:t>
      </w:r>
      <w:r w:rsidR="00B45FD7">
        <w:rPr>
          <w:rFonts w:ascii="Book Antiqua" w:hAnsi="Book Antiqua"/>
          <w:b/>
          <w:sz w:val="52"/>
          <w:szCs w:val="52"/>
          <w:lang w:val="es-ES"/>
        </w:rPr>
        <w:t>866</w:t>
      </w:r>
    </w:p>
    <w:p w14:paraId="72788866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Cs w:val="24"/>
          <w:lang w:val="es-ES"/>
        </w:rPr>
      </w:pPr>
    </w:p>
    <w:p w14:paraId="15159370" w14:textId="4B0A9446" w:rsidR="00673C93" w:rsidRPr="00E564E6" w:rsidRDefault="00B45FD7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  <w:r>
        <w:rPr>
          <w:rFonts w:ascii="Book Antiqua" w:hAnsi="Book Antiqua" w:cs="Arial"/>
          <w:caps/>
          <w:sz w:val="24"/>
          <w:szCs w:val="32"/>
          <w:lang w:val="es-ES"/>
        </w:rPr>
        <w:t>17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</w:t>
      </w:r>
      <w:r w:rsidR="001A7FBF">
        <w:rPr>
          <w:rFonts w:ascii="Book Antiqua" w:hAnsi="Book Antiqua" w:cs="Arial"/>
          <w:caps/>
          <w:sz w:val="24"/>
          <w:szCs w:val="32"/>
          <w:lang w:val="es-ES"/>
        </w:rPr>
        <w:t>SEPTIEMBRE</w:t>
      </w:r>
      <w:r w:rsidR="00C23B64" w:rsidRPr="00E564E6">
        <w:rPr>
          <w:rFonts w:ascii="Book Antiqua" w:hAnsi="Book Antiqua" w:cs="Arial"/>
          <w:caps/>
          <w:sz w:val="24"/>
          <w:szCs w:val="32"/>
          <w:lang w:val="es-ES"/>
        </w:rPr>
        <w:t xml:space="preserve"> de 2025</w:t>
      </w:r>
    </w:p>
    <w:p w14:paraId="77C5F631" w14:textId="77777777" w:rsidR="00673C93" w:rsidRPr="00E564E6" w:rsidRDefault="00673C93" w:rsidP="00673C93">
      <w:pPr>
        <w:jc w:val="center"/>
        <w:rPr>
          <w:rFonts w:ascii="Book Antiqua" w:hAnsi="Book Antiqua" w:cs="Arial"/>
          <w:caps/>
          <w:sz w:val="24"/>
          <w:szCs w:val="32"/>
          <w:lang w:val="es-ES"/>
        </w:rPr>
      </w:pPr>
    </w:p>
    <w:p w14:paraId="0082B316" w14:textId="00F7AFBF" w:rsidR="00673C93" w:rsidRPr="00A31F93" w:rsidRDefault="00673C93" w:rsidP="00673C93">
      <w:pPr>
        <w:jc w:val="center"/>
        <w:rPr>
          <w:rFonts w:ascii="Book Antiqua" w:hAnsi="Book Antiqua" w:cs="Arial"/>
          <w:i/>
          <w:iCs/>
          <w:sz w:val="24"/>
          <w:szCs w:val="32"/>
          <w:lang w:val="es-ES"/>
        </w:rPr>
      </w:pPr>
      <w:r w:rsidRPr="00E564E6">
        <w:rPr>
          <w:rFonts w:ascii="Book Antiqua" w:hAnsi="Book Antiqua" w:cs="Arial"/>
          <w:sz w:val="24"/>
          <w:szCs w:val="32"/>
          <w:lang w:val="es-ES"/>
        </w:rPr>
        <w:t>Presentado por l</w:t>
      </w:r>
      <w:r w:rsidR="00655B95">
        <w:rPr>
          <w:rFonts w:ascii="Book Antiqua" w:hAnsi="Book Antiqua" w:cs="Arial"/>
          <w:sz w:val="24"/>
          <w:szCs w:val="32"/>
          <w:lang w:val="es-ES"/>
        </w:rPr>
        <w:t>os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representante</w:t>
      </w:r>
      <w:r w:rsidR="00655B95">
        <w:rPr>
          <w:rFonts w:ascii="Book Antiqua" w:hAnsi="Book Antiqua" w:cs="Arial"/>
          <w:sz w:val="24"/>
          <w:szCs w:val="32"/>
          <w:lang w:val="es-ES"/>
        </w:rPr>
        <w:t>s</w:t>
      </w:r>
      <w:r w:rsidRPr="00E564E6">
        <w:rPr>
          <w:rFonts w:ascii="Book Antiqua" w:hAnsi="Book Antiqua" w:cs="Arial"/>
          <w:sz w:val="24"/>
          <w:szCs w:val="32"/>
          <w:lang w:val="es-ES"/>
        </w:rPr>
        <w:t xml:space="preserve"> </w:t>
      </w:r>
      <w:r w:rsidR="00A31F93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Nieves Rosario, </w:t>
      </w:r>
      <w:r w:rsidR="0062797C">
        <w:rPr>
          <w:rFonts w:ascii="Book Antiqua" w:hAnsi="Book Antiqua" w:cs="Arial"/>
          <w:i/>
          <w:iCs/>
          <w:sz w:val="24"/>
          <w:szCs w:val="32"/>
          <w:lang w:val="es-ES"/>
        </w:rPr>
        <w:t>Jiménez Torres</w:t>
      </w:r>
      <w:r w:rsidR="008E3201">
        <w:rPr>
          <w:rFonts w:ascii="Book Antiqua" w:hAnsi="Book Antiqua" w:cs="Arial"/>
          <w:i/>
          <w:iCs/>
          <w:sz w:val="24"/>
          <w:szCs w:val="32"/>
          <w:lang w:val="es-ES"/>
        </w:rPr>
        <w:t xml:space="preserve"> y Colón Rodríguez</w:t>
      </w:r>
    </w:p>
    <w:p w14:paraId="311CFB14" w14:textId="77777777" w:rsidR="00673C93" w:rsidRPr="00E564E6" w:rsidRDefault="00673C93" w:rsidP="00673C93">
      <w:pPr>
        <w:jc w:val="center"/>
        <w:rPr>
          <w:rFonts w:ascii="Book Antiqua" w:hAnsi="Book Antiqua" w:cs="Arial"/>
          <w:sz w:val="24"/>
          <w:szCs w:val="32"/>
          <w:lang w:val="es-ES"/>
        </w:rPr>
      </w:pPr>
    </w:p>
    <w:p w14:paraId="051E6538" w14:textId="760005EC" w:rsidR="00673C93" w:rsidRDefault="00673C93" w:rsidP="00673C93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Referido a </w:t>
      </w:r>
      <w:r w:rsidR="00911F9E" w:rsidRPr="00E564E6">
        <w:rPr>
          <w:rFonts w:ascii="Book Antiqua" w:hAnsi="Book Antiqua"/>
          <w:sz w:val="24"/>
          <w:szCs w:val="24"/>
          <w:lang w:val="es-ES"/>
        </w:rPr>
        <w:t xml:space="preserve">la Comisión </w:t>
      </w:r>
      <w:r w:rsidR="00C23B64" w:rsidRPr="00E564E6">
        <w:rPr>
          <w:rFonts w:ascii="Book Antiqua" w:hAnsi="Book Antiqua"/>
          <w:sz w:val="24"/>
          <w:szCs w:val="24"/>
          <w:lang w:val="es-ES"/>
        </w:rPr>
        <w:t xml:space="preserve">de </w:t>
      </w:r>
      <w:r w:rsidR="000716E2">
        <w:rPr>
          <w:rFonts w:ascii="Book Antiqua" w:hAnsi="Book Antiqua"/>
          <w:sz w:val="24"/>
          <w:szCs w:val="24"/>
          <w:lang w:val="es-ES"/>
        </w:rPr>
        <w:t>Salud</w:t>
      </w:r>
    </w:p>
    <w:p w14:paraId="0C41861D" w14:textId="77777777" w:rsidR="000716E2" w:rsidRPr="00E564E6" w:rsidRDefault="000716E2" w:rsidP="00673C93">
      <w:pPr>
        <w:jc w:val="center"/>
        <w:rPr>
          <w:rFonts w:ascii="Book Antiqua" w:hAnsi="Book Antiqua"/>
          <w:b/>
          <w:sz w:val="24"/>
          <w:szCs w:val="32"/>
          <w:lang w:val="es-ES"/>
        </w:rPr>
      </w:pPr>
    </w:p>
    <w:p w14:paraId="7A1DB94E" w14:textId="77777777" w:rsidR="00673C93" w:rsidRPr="00E564E6" w:rsidRDefault="00673C93" w:rsidP="00673C93">
      <w:pPr>
        <w:jc w:val="center"/>
        <w:rPr>
          <w:rFonts w:ascii="Book Antiqua" w:hAnsi="Book Antiqua"/>
          <w:b/>
          <w:sz w:val="28"/>
          <w:szCs w:val="28"/>
          <w:lang w:val="es-ES"/>
        </w:rPr>
      </w:pPr>
      <w:r w:rsidRPr="00E564E6">
        <w:rPr>
          <w:rFonts w:ascii="Book Antiqua" w:hAnsi="Book Antiqua"/>
          <w:b/>
          <w:sz w:val="28"/>
          <w:szCs w:val="28"/>
          <w:lang w:val="es-ES"/>
        </w:rPr>
        <w:t>LEY</w:t>
      </w:r>
    </w:p>
    <w:p w14:paraId="615AECBB" w14:textId="77777777" w:rsidR="00673C93" w:rsidRPr="00E564E6" w:rsidRDefault="00673C93" w:rsidP="00673C93">
      <w:pPr>
        <w:jc w:val="center"/>
        <w:rPr>
          <w:rFonts w:ascii="Book Antiqua" w:hAnsi="Book Antiqua"/>
          <w:b/>
          <w:szCs w:val="24"/>
          <w:lang w:val="es-ES"/>
        </w:rPr>
      </w:pPr>
    </w:p>
    <w:p w14:paraId="275D1A4E" w14:textId="6EDAFD02" w:rsidR="003843AC" w:rsidRDefault="000E405B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  <w:r w:rsidRPr="000E405B">
        <w:rPr>
          <w:rFonts w:ascii="Book Antiqua" w:hAnsi="Book Antiqua"/>
          <w:sz w:val="24"/>
          <w:szCs w:val="24"/>
          <w:lang w:val="es-ES"/>
        </w:rPr>
        <w:t xml:space="preserve">Para enmendar los Artículos 2 y 5 de la Ley Núm. 97 de 25 de junio de 1962, según enmendada, conocida como la “Ley para reglamentar el establecimiento y operación de los laboratorios de análisis clínicos, centros de plasmaféresis, centros de </w:t>
      </w:r>
      <w:proofErr w:type="spellStart"/>
      <w:r w:rsidRPr="000E405B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0E405B">
        <w:rPr>
          <w:rFonts w:ascii="Book Antiqua" w:hAnsi="Book Antiqua"/>
          <w:sz w:val="24"/>
          <w:szCs w:val="24"/>
          <w:lang w:val="es-ES"/>
        </w:rPr>
        <w:t xml:space="preserve"> y bancos de sangre en Puerto Rico”, a los fines de autorizar a los laboratorios de análisis clínicos debidamente licenciados a administrar vacunas; establecer los requisitos mínimos para dicha autorización; y facultar al Secretario de Salud a crear la reglamentación necesaria para su supervisión y fiscalización</w:t>
      </w:r>
      <w:r w:rsidR="004F737A" w:rsidRPr="004F737A">
        <w:rPr>
          <w:rFonts w:ascii="Book Antiqua" w:hAnsi="Book Antiqua"/>
          <w:sz w:val="24"/>
          <w:szCs w:val="24"/>
          <w:lang w:val="es-ES"/>
        </w:rPr>
        <w:t>.</w:t>
      </w:r>
    </w:p>
    <w:p w14:paraId="60C6ED78" w14:textId="77777777" w:rsidR="004F737A" w:rsidRPr="00E564E6" w:rsidRDefault="004F737A" w:rsidP="00BB2D32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ES"/>
        </w:rPr>
      </w:pPr>
    </w:p>
    <w:p w14:paraId="39C6F2CF" w14:textId="160C63BA" w:rsidR="00F85F88" w:rsidRPr="00E564E6" w:rsidRDefault="003843AC" w:rsidP="00F85F88">
      <w:pPr>
        <w:jc w:val="center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>EXPOSICIÓN DE MOTIVO</w:t>
      </w:r>
      <w:r w:rsidR="004F737A">
        <w:rPr>
          <w:rFonts w:ascii="Book Antiqua" w:hAnsi="Book Antiqua"/>
          <w:sz w:val="24"/>
          <w:szCs w:val="24"/>
          <w:lang w:val="es-ES"/>
        </w:rPr>
        <w:t>S</w:t>
      </w:r>
    </w:p>
    <w:p w14:paraId="21E74D19" w14:textId="77777777" w:rsidR="000B5FE3" w:rsidRDefault="003676C0" w:rsidP="000B5FE3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729E4E5B" w14:textId="32C68A2E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La vacunación es una de las herramientas más efectivas de la salud pública para la prevención de enfermedades infecciosas y la protección de la comunidad. La pandemia del COVID-19 resaltó la necesidad crítica de ampliar los puntos de acceso a la vacunación para garantizar una cobertura rápida y eficiente en toda la población. Actualmente, la administración de vacunas se concentra en oficinas médicas, farmacias y centros del Departamento de Salud, pero existe una oportunidad para fortalecer esta red utilizando la infraestructura de salud existente.</w:t>
      </w:r>
    </w:p>
    <w:p w14:paraId="3E30DB37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5E059B10" w14:textId="779BC8ED" w:rsidR="00631734" w:rsidRPr="00631734" w:rsidRDefault="00631734" w:rsidP="00AB23FD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t>Los laboratorios clínicos en Puerto Rico son componentes integrales del sistema de salud, con personal altamente capacitado y una presencia accesible en múltiples comunidades a través de toda la isla. Estos laboratorios ya cumplen con rigurosos estándares de calidad y bioseguridad bajo la supervisión del Departamento de Salud. Su inclusión como centros de vacunación autorizados, bajo un marco regulatorio claro, representaría un avance significativo para la salud pública.</w:t>
      </w:r>
    </w:p>
    <w:p w14:paraId="181AA489" w14:textId="77777777" w:rsid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31734">
        <w:rPr>
          <w:rFonts w:ascii="Book Antiqua" w:hAnsi="Book Antiqua"/>
          <w:sz w:val="24"/>
          <w:szCs w:val="24"/>
          <w:lang w:val="es-ES"/>
        </w:rPr>
        <w:lastRenderedPageBreak/>
        <w:t>Permitir que los laboratorios clínicos administren vacunas no solo aumentaría la capacidad de respuesta del sistema de salud ante futuras emergencias sanitarias, sino que también facilitaría el acceso a la inmunización rutinaria para miles de ciudadanos. Los pacientes que acuden a laboratorios para pruebas diagnósticas podrían, en una misma visita, recibir las vacunas recomendadas, mejorando las tasas de vacunación y reduciendo las barreras de acceso.</w:t>
      </w:r>
    </w:p>
    <w:p w14:paraId="141BB716" w14:textId="77777777" w:rsidR="00B77D50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7F7A3CE1" w14:textId="747B0BBD" w:rsidR="00B77D50" w:rsidRPr="00631734" w:rsidRDefault="00B77D50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B77D50">
        <w:rPr>
          <w:rFonts w:ascii="Book Antiqua" w:hAnsi="Book Antiqua"/>
          <w:sz w:val="24"/>
          <w:szCs w:val="24"/>
          <w:lang w:val="es-ES"/>
        </w:rPr>
        <w:t xml:space="preserve">Esta medida propone enmendar la ley que reglamenta los laboratorios clínicos para autorizarlos a administrar vacunas, siempre que cumplan con los requisitos de personal cualificado—como la presencia de profesionales de enfermería </w:t>
      </w:r>
      <w:r w:rsidRPr="00A80EF9">
        <w:rPr>
          <w:rFonts w:ascii="Book Antiqua" w:hAnsi="Book Antiqua"/>
          <w:strike/>
          <w:sz w:val="24"/>
          <w:szCs w:val="24"/>
          <w:lang w:val="es-ES"/>
        </w:rPr>
        <w:t xml:space="preserve">o tecnólogos médicos </w:t>
      </w:r>
      <w:r w:rsidRPr="00B77D50">
        <w:rPr>
          <w:rFonts w:ascii="Book Antiqua" w:hAnsi="Book Antiqua"/>
          <w:sz w:val="24"/>
          <w:szCs w:val="24"/>
          <w:lang w:val="es-ES"/>
        </w:rPr>
        <w:t xml:space="preserve">debidamente certificados. Asimismo, se faculta al </w:t>
      </w:r>
      <w:proofErr w:type="gramStart"/>
      <w:r w:rsidRPr="00B77D50">
        <w:rPr>
          <w:rFonts w:ascii="Book Antiqua" w:hAnsi="Book Antiqua"/>
          <w:sz w:val="24"/>
          <w:szCs w:val="24"/>
          <w:lang w:val="es-ES"/>
        </w:rPr>
        <w:t>Secretario</w:t>
      </w:r>
      <w:proofErr w:type="gramEnd"/>
      <w:r w:rsidRPr="00B77D50">
        <w:rPr>
          <w:rFonts w:ascii="Book Antiqua" w:hAnsi="Book Antiqua"/>
          <w:sz w:val="24"/>
          <w:szCs w:val="24"/>
          <w:lang w:val="es-ES"/>
        </w:rPr>
        <w:t xml:space="preserve"> de Salud a crear la reglamentación necesaria para garantizar que estos servicios se ofrezcan con los más altos estándares de seguridad, calidad y supervisión.</w:t>
      </w:r>
    </w:p>
    <w:p w14:paraId="5126C893" w14:textId="77777777" w:rsidR="00631734" w:rsidRPr="00631734" w:rsidRDefault="00631734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5D50A760" w14:textId="328C5455" w:rsidR="007B0B47" w:rsidRPr="00E564E6" w:rsidRDefault="007B0B47" w:rsidP="00631734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B0B47">
        <w:rPr>
          <w:rFonts w:ascii="Book Antiqua" w:hAnsi="Book Antiqua"/>
          <w:sz w:val="24"/>
          <w:szCs w:val="24"/>
          <w:lang w:val="es-ES"/>
        </w:rPr>
        <w:t>Al fortalecer nuestra infraestructura de vacunación, esta Asamblea Legislativa reafirma su compromiso con la prevención de enfermedades y la protección de la salud de todos los puertorriqueños.</w:t>
      </w:r>
    </w:p>
    <w:p w14:paraId="496F10DF" w14:textId="319363A8" w:rsidR="00EB49EF" w:rsidRPr="00E564E6" w:rsidRDefault="003676C0" w:rsidP="00EB49EF">
      <w:pPr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ab/>
      </w:r>
    </w:p>
    <w:p w14:paraId="508769C2" w14:textId="35A0F6C1" w:rsidR="003843AC" w:rsidRPr="00E564E6" w:rsidRDefault="005A27CB" w:rsidP="00BB2D32">
      <w:pPr>
        <w:suppressAutoHyphens/>
        <w:spacing w:line="480" w:lineRule="auto"/>
        <w:jc w:val="both"/>
        <w:rPr>
          <w:rFonts w:ascii="Book Antiqua" w:hAnsi="Book Antiqua"/>
          <w:i/>
          <w:sz w:val="24"/>
          <w:szCs w:val="24"/>
          <w:lang w:val="es-ES"/>
        </w:rPr>
      </w:pPr>
      <w:r w:rsidRPr="00E564E6">
        <w:rPr>
          <w:rFonts w:ascii="Book Antiqua" w:hAnsi="Book Antiqua"/>
          <w:i/>
          <w:sz w:val="24"/>
          <w:szCs w:val="24"/>
          <w:lang w:val="es-ES"/>
        </w:rPr>
        <w:t>DECR</w:t>
      </w:r>
      <w:r w:rsidR="00655B95">
        <w:rPr>
          <w:rFonts w:ascii="Book Antiqua" w:hAnsi="Book Antiqua"/>
          <w:i/>
          <w:sz w:val="24"/>
          <w:szCs w:val="24"/>
          <w:lang w:val="es-ES"/>
        </w:rPr>
        <w:t>É</w:t>
      </w:r>
      <w:r w:rsidRPr="00E564E6">
        <w:rPr>
          <w:rFonts w:ascii="Book Antiqua" w:hAnsi="Book Antiqua"/>
          <w:i/>
          <w:sz w:val="24"/>
          <w:szCs w:val="24"/>
          <w:lang w:val="es-ES"/>
        </w:rPr>
        <w:t>T</w:t>
      </w:r>
      <w:r w:rsidR="00655B95">
        <w:rPr>
          <w:rFonts w:ascii="Book Antiqua" w:hAnsi="Book Antiqua"/>
          <w:i/>
          <w:sz w:val="24"/>
          <w:szCs w:val="24"/>
          <w:lang w:val="es-ES"/>
        </w:rPr>
        <w:t>A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SE POR LA</w:t>
      </w:r>
      <w:r w:rsidR="00A63B84" w:rsidRPr="00E564E6">
        <w:rPr>
          <w:rFonts w:ascii="Book Antiqua" w:hAnsi="Book Antiqua"/>
          <w:i/>
          <w:sz w:val="24"/>
          <w:szCs w:val="24"/>
          <w:lang w:val="es-ES"/>
        </w:rPr>
        <w:t xml:space="preserve"> </w:t>
      </w:r>
      <w:r w:rsidR="00700BEC" w:rsidRPr="00E564E6">
        <w:rPr>
          <w:rFonts w:ascii="Book Antiqua" w:hAnsi="Book Antiqua"/>
          <w:i/>
          <w:sz w:val="24"/>
          <w:szCs w:val="24"/>
          <w:lang w:val="es-ES"/>
        </w:rPr>
        <w:t>ASAMBLEA LEGISLATIVA DE PUERTO RICO</w:t>
      </w:r>
      <w:r w:rsidR="003843AC" w:rsidRPr="00E564E6">
        <w:rPr>
          <w:rFonts w:ascii="Book Antiqua" w:hAnsi="Book Antiqua"/>
          <w:i/>
          <w:sz w:val="24"/>
          <w:szCs w:val="24"/>
          <w:lang w:val="es-ES"/>
        </w:rPr>
        <w:t>:</w:t>
      </w:r>
    </w:p>
    <w:p w14:paraId="75F11150" w14:textId="77777777" w:rsidR="003843AC" w:rsidRPr="00E564E6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  <w:sectPr w:rsidR="003843AC" w:rsidRPr="00E564E6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B5C8E0D" w14:textId="7F319D4B" w:rsidR="00F07FCE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F07FCE" w:rsidRPr="00F07FCE">
        <w:rPr>
          <w:rFonts w:ascii="Book Antiqua" w:hAnsi="Book Antiqua"/>
          <w:sz w:val="24"/>
          <w:szCs w:val="24"/>
          <w:lang w:val="es-ES"/>
        </w:rPr>
        <w:t xml:space="preserve"> 1.</w:t>
      </w:r>
      <w:r>
        <w:rPr>
          <w:rFonts w:ascii="Book Antiqua" w:hAnsi="Book Antiqua"/>
          <w:sz w:val="24"/>
          <w:szCs w:val="24"/>
          <w:lang w:val="es-ES"/>
        </w:rPr>
        <w:t>-</w:t>
      </w:r>
      <w:r w:rsidR="00F07FCE">
        <w:rPr>
          <w:rFonts w:ascii="Book Antiqua" w:hAnsi="Book Antiqua"/>
          <w:sz w:val="24"/>
          <w:szCs w:val="24"/>
          <w:lang w:val="es-ES"/>
        </w:rPr>
        <w:t xml:space="preserve"> </w:t>
      </w:r>
      <w:r w:rsidR="00F07FCE" w:rsidRPr="00F07FCE">
        <w:rPr>
          <w:rFonts w:ascii="Book Antiqua" w:hAnsi="Book Antiqua"/>
          <w:sz w:val="24"/>
          <w:szCs w:val="24"/>
          <w:lang w:val="es-ES"/>
        </w:rPr>
        <w:t>Se enmienda el Artículo 2 de la Ley Núm. 97 de 25 de junio de 1962, según enmendada, para que lea como sigue:</w:t>
      </w:r>
    </w:p>
    <w:p w14:paraId="4804F7CD" w14:textId="2CC168FA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“Artículo 2.- Definiciones - </w:t>
      </w:r>
    </w:p>
    <w:p w14:paraId="4EEF2C1D" w14:textId="5572FC4B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 xml:space="preserve">1.- Laboratorio de análisis clínico - Se entenderá por laboratorio de análisis clínico cualquier institución en que se practiquen exámenes bacteriológicos, microscópicos, hematológicos, bioquímicos, serológicos, o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histo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-patológicos que ayuden en el diagnóstico, control, prevención o tratamiento de enfermedades de la raza humana. 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>Además, podrá incluir la administración de vacunas a</w:t>
      </w:r>
      <w:r w:rsidR="00AB23FD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AB23FD">
        <w:rPr>
          <w:rFonts w:ascii="Book Antiqua" w:hAnsi="Book Antiqua"/>
          <w:i/>
          <w:iCs/>
          <w:sz w:val="24"/>
          <w:szCs w:val="24"/>
          <w:u w:val="single"/>
          <w:lang w:val="es-ES"/>
        </w:rPr>
        <w:t>adultos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Pr="00AB23FD">
        <w:rPr>
          <w:rFonts w:ascii="Book Antiqua" w:hAnsi="Book Antiqua"/>
          <w:i/>
          <w:iCs/>
          <w:strike/>
          <w:sz w:val="24"/>
          <w:szCs w:val="24"/>
          <w:lang w:val="es-ES"/>
        </w:rPr>
        <w:t>seres humanos</w:t>
      </w:r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, siempre y cuando cumpla con los requisitos establecidos en esta Ley y la reglamentación aplicable promulgada por el </w:t>
      </w:r>
      <w:proofErr w:type="gramStart"/>
      <w:r w:rsidRPr="007E01E5">
        <w:rPr>
          <w:rFonts w:ascii="Book Antiqua" w:hAnsi="Book Antiqua"/>
          <w:i/>
          <w:iCs/>
          <w:sz w:val="24"/>
          <w:szCs w:val="24"/>
          <w:lang w:val="es-ES"/>
        </w:rPr>
        <w:t>Secretario</w:t>
      </w:r>
      <w:proofErr w:type="gramEnd"/>
      <w:r w:rsidRPr="007E01E5">
        <w:rPr>
          <w:rFonts w:ascii="Book Antiqua" w:hAnsi="Book Antiqua"/>
          <w:i/>
          <w:iCs/>
          <w:sz w:val="24"/>
          <w:szCs w:val="24"/>
          <w:lang w:val="es-ES"/>
        </w:rPr>
        <w:t xml:space="preserve"> de Salud.</w:t>
      </w:r>
    </w:p>
    <w:p w14:paraId="487C357E" w14:textId="77777777" w:rsidR="00F07FCE" w:rsidRPr="00F07FCE" w:rsidRDefault="00F07FCE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2.- Banco de sangre - ...</w:t>
      </w:r>
    </w:p>
    <w:p w14:paraId="535321DC" w14:textId="77777777" w:rsidR="00F07FCE" w:rsidRPr="00F07FC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t>3.- Centro de Plasmaféresis - ...</w:t>
      </w:r>
    </w:p>
    <w:p w14:paraId="57A2B61E" w14:textId="5E26D124" w:rsidR="00F07FCE" w:rsidRPr="00FD322E" w:rsidRDefault="00F07FCE" w:rsidP="00655B95">
      <w:pPr>
        <w:pStyle w:val="BodyTextIndent2"/>
        <w:spacing w:after="0"/>
        <w:ind w:left="0"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F07FCE">
        <w:rPr>
          <w:rFonts w:ascii="Book Antiqua" w:hAnsi="Book Antiqua"/>
          <w:sz w:val="24"/>
          <w:szCs w:val="24"/>
          <w:lang w:val="es-ES"/>
        </w:rPr>
        <w:lastRenderedPageBreak/>
        <w:t xml:space="preserve">4.- Centro de </w:t>
      </w:r>
      <w:proofErr w:type="spellStart"/>
      <w:r w:rsidRPr="00F07FCE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F07FCE">
        <w:rPr>
          <w:rFonts w:ascii="Book Antiqua" w:hAnsi="Book Antiqua"/>
          <w:sz w:val="24"/>
          <w:szCs w:val="24"/>
          <w:lang w:val="es-ES"/>
        </w:rPr>
        <w:t xml:space="preserve"> - ...”</w:t>
      </w:r>
    </w:p>
    <w:p w14:paraId="22EAA11E" w14:textId="551FA412" w:rsidR="0096402C" w:rsidRPr="0096402C" w:rsidRDefault="00FF3200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.</w:t>
      </w:r>
      <w:r w:rsidR="0096402C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2</w:t>
      </w:r>
      <w:r w:rsidR="0096402C">
        <w:rPr>
          <w:rFonts w:ascii="Book Antiqua" w:hAnsi="Book Antiqua"/>
          <w:sz w:val="24"/>
          <w:szCs w:val="24"/>
          <w:lang w:val="es-ES"/>
        </w:rPr>
        <w:t>- S</w:t>
      </w:r>
      <w:r w:rsidR="0096402C" w:rsidRPr="0096402C">
        <w:rPr>
          <w:rFonts w:ascii="Book Antiqua" w:hAnsi="Book Antiqua"/>
          <w:sz w:val="24"/>
          <w:szCs w:val="24"/>
          <w:lang w:val="es-ES"/>
        </w:rPr>
        <w:t>e enmienda el Artículo 5 de la Ley Núm. 97 de 25 de junio de 1962, según enmendada, para que lea como sigue:</w:t>
      </w:r>
    </w:p>
    <w:p w14:paraId="534F60B6" w14:textId="77777777" w:rsidR="00FF3200" w:rsidRDefault="0096402C" w:rsidP="00655B95">
      <w:pPr>
        <w:pStyle w:val="BodyTextIndent2"/>
        <w:spacing w:after="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“Artículo 5. </w:t>
      </w:r>
    </w:p>
    <w:p w14:paraId="16277F05" w14:textId="03C90EF4" w:rsidR="0096402C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 w:rsidRPr="0096402C">
        <w:rPr>
          <w:rFonts w:ascii="Book Antiqua" w:hAnsi="Book Antiqua"/>
          <w:sz w:val="24"/>
          <w:szCs w:val="24"/>
          <w:lang w:val="es-ES"/>
        </w:rPr>
        <w:t xml:space="preserve">El </w:t>
      </w:r>
      <w:proofErr w:type="gramStart"/>
      <w:r w:rsidRPr="0096402C">
        <w:rPr>
          <w:rFonts w:ascii="Book Antiqua" w:hAnsi="Book Antiqua"/>
          <w:sz w:val="24"/>
          <w:szCs w:val="24"/>
          <w:lang w:val="es-ES"/>
        </w:rPr>
        <w:t>Secretario</w:t>
      </w:r>
      <w:proofErr w:type="gramEnd"/>
      <w:r w:rsidRPr="0096402C">
        <w:rPr>
          <w:rFonts w:ascii="Book Antiqua" w:hAnsi="Book Antiqua"/>
          <w:sz w:val="24"/>
          <w:szCs w:val="24"/>
          <w:lang w:val="es-ES"/>
        </w:rPr>
        <w:t xml:space="preserve"> de Salud queda autorizado para dictar reglamentos sobre las condiciones en que deben mantenerse y operarse los laboratorios de análisis clínico, los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los bancos de sangre. Dichos reglamentos establecerán los requisitos que debe poseer el personal a cargo de los laboratorios de análisis clínico, centros de plasmaféresis, los centros de </w:t>
      </w:r>
      <w:proofErr w:type="spellStart"/>
      <w:r w:rsidRPr="0096402C">
        <w:rPr>
          <w:rFonts w:ascii="Book Antiqua" w:hAnsi="Book Antiqua"/>
          <w:sz w:val="24"/>
          <w:szCs w:val="24"/>
          <w:lang w:val="es-ES"/>
        </w:rPr>
        <w:t>sueroféresis</w:t>
      </w:r>
      <w:proofErr w:type="spellEnd"/>
      <w:r w:rsidRPr="0096402C">
        <w:rPr>
          <w:rFonts w:ascii="Book Antiqua" w:hAnsi="Book Antiqua"/>
          <w:sz w:val="24"/>
          <w:szCs w:val="24"/>
          <w:lang w:val="es-ES"/>
        </w:rPr>
        <w:t xml:space="preserve"> y bancos de sangre y los procedimientos que se utilizarán en dichos establecimientos para llevar a cabo las funciones, así como los récords que deben mantenerse</w:t>
      </w:r>
      <w:r>
        <w:rPr>
          <w:rFonts w:ascii="Book Antiqua" w:hAnsi="Book Antiqua"/>
          <w:sz w:val="24"/>
          <w:szCs w:val="24"/>
          <w:lang w:val="es-ES"/>
        </w:rPr>
        <w:t>.</w:t>
      </w:r>
    </w:p>
    <w:p w14:paraId="40C93697" w14:textId="443232D7" w:rsidR="0056229E" w:rsidRPr="0096402C" w:rsidRDefault="0056229E" w:rsidP="00655B95">
      <w:pPr>
        <w:pStyle w:val="BodyTextIndent2"/>
        <w:spacing w:after="0"/>
        <w:ind w:firstLine="36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…</w:t>
      </w:r>
    </w:p>
    <w:p w14:paraId="40A9A0B0" w14:textId="57BE04B1" w:rsidR="0096402C" w:rsidRPr="006F4CF6" w:rsidRDefault="0096402C" w:rsidP="00655B95">
      <w:pPr>
        <w:pStyle w:val="BodyTextIndent2"/>
        <w:spacing w:after="0"/>
        <w:ind w:firstLine="36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Para aquellos laboratorios de análisis clínicos que opten por ofrecer servicios de vacunación, el </w:t>
      </w:r>
      <w:proofErr w:type="gramStart"/>
      <w:r w:rsidRPr="006F4CF6">
        <w:rPr>
          <w:rFonts w:ascii="Book Antiqua" w:hAnsi="Book Antiqua"/>
          <w:i/>
          <w:iCs/>
          <w:sz w:val="24"/>
          <w:szCs w:val="24"/>
          <w:lang w:val="es-ES"/>
        </w:rPr>
        <w:t>Secretario</w:t>
      </w:r>
      <w:proofErr w:type="gramEnd"/>
      <w:r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de Salud deberá establecer mediante reglamento los siguientes requisitos mínimos:</w:t>
      </w:r>
    </w:p>
    <w:p w14:paraId="2C9EE86A" w14:textId="747F2844" w:rsidR="0096402C" w:rsidRPr="00A80EF9" w:rsidRDefault="006F4CF6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trike/>
          <w:sz w:val="24"/>
          <w:szCs w:val="24"/>
          <w:lang w:val="es-ES"/>
        </w:rPr>
      </w:pPr>
      <w:r>
        <w:rPr>
          <w:rFonts w:ascii="Book Antiqua" w:hAnsi="Book Antiqua"/>
          <w:i/>
          <w:iCs/>
          <w:sz w:val="24"/>
          <w:szCs w:val="24"/>
          <w:lang w:val="es-ES"/>
        </w:rPr>
        <w:t>1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>. Personal Cualificado: El laboratorio deberá contar con personal clínico debidamente licenciado y certificado para la administración de vacunas,</w:t>
      </w:r>
      <w:r w:rsidR="00A80EF9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A80EF9">
        <w:rPr>
          <w:rFonts w:ascii="Book Antiqua" w:hAnsi="Book Antiqua"/>
          <w:i/>
          <w:iCs/>
          <w:sz w:val="24"/>
          <w:szCs w:val="24"/>
          <w:u w:val="single"/>
          <w:lang w:val="es-ES"/>
        </w:rPr>
        <w:t>que sean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  <w:r w:rsidR="0096402C" w:rsidRPr="00A80EF9">
        <w:rPr>
          <w:rFonts w:ascii="Book Antiqua" w:hAnsi="Book Antiqua"/>
          <w:i/>
          <w:iCs/>
          <w:strike/>
          <w:sz w:val="24"/>
          <w:szCs w:val="24"/>
          <w:lang w:val="es-ES"/>
        </w:rPr>
        <w:t>incluyendo, pero sin limitarse a,</w:t>
      </w:r>
      <w:r w:rsidR="0096402C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profesionales de la enfermería</w:t>
      </w:r>
      <w:r w:rsidR="0096402C" w:rsidRPr="00A80EF9">
        <w:rPr>
          <w:rFonts w:ascii="Book Antiqua" w:hAnsi="Book Antiqua"/>
          <w:i/>
          <w:iCs/>
          <w:strike/>
          <w:sz w:val="24"/>
          <w:szCs w:val="24"/>
          <w:lang w:val="es-ES"/>
        </w:rPr>
        <w:t>, tecnólogos médicos con la debida certificación en inmunización</w:t>
      </w:r>
      <w:r w:rsidR="001E4369" w:rsidRPr="00A80EF9">
        <w:rPr>
          <w:rFonts w:ascii="Book Antiqua" w:hAnsi="Book Antiqua"/>
          <w:i/>
          <w:iCs/>
          <w:sz w:val="24"/>
          <w:szCs w:val="24"/>
          <w:lang w:val="es-ES"/>
        </w:rPr>
        <w:t>.</w:t>
      </w:r>
      <w:r w:rsidR="0096402C" w:rsidRPr="00A80EF9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261D8E71" w14:textId="7FEA1A8C" w:rsidR="0096402C" w:rsidRPr="006F4CF6" w:rsidRDefault="0096402C" w:rsidP="00655B95">
      <w:pPr>
        <w:pStyle w:val="BodyTextIndent2"/>
        <w:spacing w:after="0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t>2. Infraestructura y Equipo: El laboratorio deberá disponer de un área designada y equipada para la administración segura de vacunas, que garantice la privacidad del paciente, el manejo de la cadena de frío, y el equipo necesario para responder a posibles reacciones adversas a la vacunación.</w:t>
      </w:r>
    </w:p>
    <w:p w14:paraId="00CC784C" w14:textId="56EE5A65" w:rsidR="00162F31" w:rsidRPr="006F4CF6" w:rsidRDefault="0096402C" w:rsidP="006F4CF6">
      <w:pPr>
        <w:pStyle w:val="BodyTextIndent2"/>
        <w:ind w:left="720"/>
        <w:jc w:val="both"/>
        <w:rPr>
          <w:rFonts w:ascii="Book Antiqua" w:hAnsi="Book Antiqua"/>
          <w:i/>
          <w:iCs/>
          <w:sz w:val="24"/>
          <w:szCs w:val="24"/>
          <w:lang w:val="es-ES"/>
        </w:rPr>
      </w:pPr>
      <w:r w:rsidRPr="006F4CF6">
        <w:rPr>
          <w:rFonts w:ascii="Book Antiqua" w:hAnsi="Book Antiqua"/>
          <w:i/>
          <w:iCs/>
          <w:sz w:val="24"/>
          <w:szCs w:val="24"/>
          <w:lang w:val="es-ES"/>
        </w:rPr>
        <w:lastRenderedPageBreak/>
        <w:t>3. Protocolos y Adiestramiento: El personal deberá estar adiestrado en los protocolos de vacunación del Departamento de Salud y las agencias federales competentes, incluyendo el manejo, almacenamiento y desecho de material biológico, así como el reporte de las vacunas administradas al Registro de Inmunización de Puerto Rico.</w:t>
      </w:r>
      <w:r w:rsidR="00FD322E" w:rsidRPr="006F4CF6">
        <w:rPr>
          <w:rFonts w:ascii="Book Antiqua" w:hAnsi="Book Antiqua"/>
          <w:i/>
          <w:iCs/>
          <w:sz w:val="24"/>
          <w:szCs w:val="24"/>
          <w:lang w:val="es-ES"/>
        </w:rPr>
        <w:t xml:space="preserve"> </w:t>
      </w:r>
    </w:p>
    <w:p w14:paraId="48650E5A" w14:textId="59F730F4" w:rsidR="00A94EE4" w:rsidRPr="00E564E6" w:rsidRDefault="00E358B7" w:rsidP="002A4C8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3</w:t>
      </w:r>
      <w:r w:rsidR="00AA2591" w:rsidRPr="00E564E6">
        <w:rPr>
          <w:rFonts w:ascii="Book Antiqua" w:hAnsi="Book Antiqua"/>
          <w:sz w:val="24"/>
          <w:szCs w:val="24"/>
          <w:lang w:val="es-ES"/>
        </w:rPr>
        <w:t>.-</w:t>
      </w:r>
      <w:r w:rsidR="00A94EE4" w:rsidRPr="00E564E6">
        <w:rPr>
          <w:rFonts w:ascii="Book Antiqua" w:hAnsi="Book Antiqua"/>
          <w:sz w:val="24"/>
          <w:szCs w:val="24"/>
          <w:lang w:val="es-ES"/>
        </w:rPr>
        <w:t xml:space="preserve">Reglamentación </w:t>
      </w:r>
    </w:p>
    <w:p w14:paraId="67E47260" w14:textId="34219B6B" w:rsidR="00A94EE4" w:rsidRPr="00E564E6" w:rsidRDefault="00A94EE4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Se faculta al Departamento de </w:t>
      </w:r>
      <w:r w:rsidR="00E358B7">
        <w:rPr>
          <w:rFonts w:ascii="Book Antiqua" w:hAnsi="Book Antiqua"/>
          <w:sz w:val="24"/>
          <w:szCs w:val="24"/>
          <w:lang w:val="es-ES"/>
        </w:rPr>
        <w:t xml:space="preserve">Salud </w:t>
      </w:r>
      <w:r w:rsidRPr="00E564E6">
        <w:rPr>
          <w:rFonts w:ascii="Book Antiqua" w:hAnsi="Book Antiqua"/>
          <w:sz w:val="24"/>
          <w:szCs w:val="24"/>
          <w:lang w:val="es-ES"/>
        </w:rPr>
        <w:t xml:space="preserve">a adoptar cualquier reglamentación necesaria que complemente las disposiciones de la presente Ley dentro del término de noventa (90) días contados a partir de la aprobación de </w:t>
      </w:r>
      <w:proofErr w:type="gramStart"/>
      <w:r w:rsidRPr="00E564E6">
        <w:rPr>
          <w:rFonts w:ascii="Book Antiqua" w:hAnsi="Book Antiqua"/>
          <w:sz w:val="24"/>
          <w:szCs w:val="24"/>
          <w:lang w:val="es-ES"/>
        </w:rPr>
        <w:t>la misma</w:t>
      </w:r>
      <w:proofErr w:type="gramEnd"/>
      <w:r w:rsidRPr="00E564E6">
        <w:rPr>
          <w:rFonts w:ascii="Book Antiqua" w:hAnsi="Book Antiqua"/>
          <w:sz w:val="24"/>
          <w:szCs w:val="24"/>
          <w:lang w:val="es-ES"/>
        </w:rPr>
        <w:t xml:space="preserve">. </w:t>
      </w:r>
    </w:p>
    <w:p w14:paraId="4204CB5B" w14:textId="3F386C8B" w:rsidR="003676C0" w:rsidRPr="00E564E6" w:rsidRDefault="00E358B7" w:rsidP="003676C0">
      <w:pPr>
        <w:pStyle w:val="BodyTextIndent2"/>
        <w:ind w:left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4</w:t>
      </w:r>
      <w:r w:rsidR="003676C0" w:rsidRPr="00E564E6">
        <w:rPr>
          <w:rFonts w:ascii="Book Antiqua" w:hAnsi="Book Antiqua"/>
          <w:sz w:val="24"/>
          <w:szCs w:val="24"/>
          <w:lang w:val="es-ES"/>
        </w:rPr>
        <w:t xml:space="preserve">.-Cláusula de Separabilidad </w:t>
      </w:r>
    </w:p>
    <w:p w14:paraId="4CFA2CE9" w14:textId="77777777" w:rsidR="003676C0" w:rsidRPr="00E564E6" w:rsidRDefault="003676C0" w:rsidP="003676C0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E564E6">
        <w:rPr>
          <w:rFonts w:ascii="Book Antiqua" w:hAnsi="Book Antiqua"/>
          <w:sz w:val="24"/>
          <w:szCs w:val="24"/>
          <w:lang w:val="es-ES"/>
        </w:rPr>
        <w:t xml:space="preserve">Si alguna cláusula, párrafo, artículo, o parte de esta Ley fuera declarada nula o inconstitucional por un tribunal con jurisdicción competente, tal sentencia o resolución dictada al efecto, no invalidará las demás disposiciones de esta Ley. </w:t>
      </w:r>
    </w:p>
    <w:p w14:paraId="3499D218" w14:textId="1EB960DD" w:rsidR="00FA67AD" w:rsidRPr="00E564E6" w:rsidRDefault="00E358B7" w:rsidP="003676C0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</w:t>
      </w:r>
      <w:r w:rsidR="000A5F5D" w:rsidRPr="00E564E6">
        <w:rPr>
          <w:rFonts w:ascii="Book Antiqua" w:hAnsi="Book Antiqua"/>
          <w:sz w:val="24"/>
          <w:szCs w:val="24"/>
          <w:lang w:val="es-ES"/>
        </w:rPr>
        <w:t xml:space="preserve"> </w:t>
      </w:r>
      <w:r w:rsidR="000347CB">
        <w:rPr>
          <w:rFonts w:ascii="Book Antiqua" w:hAnsi="Book Antiqua"/>
          <w:sz w:val="24"/>
          <w:szCs w:val="24"/>
          <w:lang w:val="es-ES"/>
        </w:rPr>
        <w:t>5</w:t>
      </w:r>
      <w:r w:rsidR="003676C0" w:rsidRPr="00E564E6">
        <w:rPr>
          <w:rFonts w:ascii="Book Antiqua" w:hAnsi="Book Antiqua"/>
          <w:sz w:val="24"/>
          <w:szCs w:val="24"/>
          <w:lang w:val="es-ES"/>
        </w:rPr>
        <w:t>.-Esta Ley comenzará a regir inmediatamente después de su aprobación.</w:t>
      </w:r>
    </w:p>
    <w:sectPr w:rsidR="00FA67AD" w:rsidRPr="00E564E6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D2433" w14:textId="77777777" w:rsidR="00CC35BA" w:rsidRDefault="00CC35BA">
      <w:r>
        <w:separator/>
      </w:r>
    </w:p>
  </w:endnote>
  <w:endnote w:type="continuationSeparator" w:id="0">
    <w:p w14:paraId="24D33D76" w14:textId="77777777" w:rsidR="00CC35BA" w:rsidRDefault="00CC3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E7B10" w14:textId="77777777" w:rsidR="00CC35BA" w:rsidRDefault="00CC35BA">
      <w:r>
        <w:separator/>
      </w:r>
    </w:p>
  </w:footnote>
  <w:footnote w:type="continuationSeparator" w:id="0">
    <w:p w14:paraId="65A4F540" w14:textId="77777777" w:rsidR="00CC35BA" w:rsidRDefault="00CC3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1A3F5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29BE344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5173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2</w:t>
    </w:r>
    <w:r>
      <w:rPr>
        <w:rStyle w:val="PageNumber"/>
      </w:rPr>
      <w:fldChar w:fldCharType="end"/>
    </w:r>
  </w:p>
  <w:p w14:paraId="057B8D09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3FBB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A4BC4DF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A3D46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1F9E">
      <w:rPr>
        <w:rStyle w:val="PageNumber"/>
        <w:noProof/>
      </w:rPr>
      <w:t>7</w:t>
    </w:r>
    <w:r>
      <w:rPr>
        <w:rStyle w:val="PageNumber"/>
      </w:rPr>
      <w:fldChar w:fldCharType="end"/>
    </w:r>
  </w:p>
  <w:p w14:paraId="275D7F26" w14:textId="6059A328" w:rsidR="003843AC" w:rsidRDefault="00673C93">
    <w:pPr>
      <w:widowControl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A9CF1E7" wp14:editId="35E2FEE7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F92B7F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6F067549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9CF1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21F92B7F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6F067549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51F3"/>
    <w:multiLevelType w:val="hybridMultilevel"/>
    <w:tmpl w:val="8D3A5774"/>
    <w:lvl w:ilvl="0" w:tplc="7E1A2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7DD17F8E"/>
    <w:multiLevelType w:val="hybridMultilevel"/>
    <w:tmpl w:val="D758D678"/>
    <w:lvl w:ilvl="0" w:tplc="4EB2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54463">
    <w:abstractNumId w:val="1"/>
  </w:num>
  <w:num w:numId="2" w16cid:durableId="454448339">
    <w:abstractNumId w:val="2"/>
  </w:num>
  <w:num w:numId="3" w16cid:durableId="1839616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06AC4"/>
    <w:rsid w:val="00012440"/>
    <w:rsid w:val="000274F4"/>
    <w:rsid w:val="000347CB"/>
    <w:rsid w:val="00063004"/>
    <w:rsid w:val="000716E2"/>
    <w:rsid w:val="00084AD4"/>
    <w:rsid w:val="00085207"/>
    <w:rsid w:val="000929E4"/>
    <w:rsid w:val="00095A8F"/>
    <w:rsid w:val="000A4092"/>
    <w:rsid w:val="000A50E7"/>
    <w:rsid w:val="000A589A"/>
    <w:rsid w:val="000A5F5D"/>
    <w:rsid w:val="000A7242"/>
    <w:rsid w:val="000B1061"/>
    <w:rsid w:val="000B5FE3"/>
    <w:rsid w:val="000B78C4"/>
    <w:rsid w:val="000C3DAA"/>
    <w:rsid w:val="000D2AF4"/>
    <w:rsid w:val="000D48C5"/>
    <w:rsid w:val="000E405B"/>
    <w:rsid w:val="000F5E37"/>
    <w:rsid w:val="00106064"/>
    <w:rsid w:val="00124F63"/>
    <w:rsid w:val="001436A4"/>
    <w:rsid w:val="00146E6D"/>
    <w:rsid w:val="00155D63"/>
    <w:rsid w:val="00162F31"/>
    <w:rsid w:val="001632B9"/>
    <w:rsid w:val="00170098"/>
    <w:rsid w:val="00174D3E"/>
    <w:rsid w:val="00184377"/>
    <w:rsid w:val="00187D7B"/>
    <w:rsid w:val="00196EB0"/>
    <w:rsid w:val="001A0F94"/>
    <w:rsid w:val="001A1640"/>
    <w:rsid w:val="001A5A1C"/>
    <w:rsid w:val="001A6D97"/>
    <w:rsid w:val="001A7FBF"/>
    <w:rsid w:val="001B2B24"/>
    <w:rsid w:val="001C3F21"/>
    <w:rsid w:val="001D1C3F"/>
    <w:rsid w:val="001D6816"/>
    <w:rsid w:val="001E3D56"/>
    <w:rsid w:val="001E4369"/>
    <w:rsid w:val="001F2AD3"/>
    <w:rsid w:val="001F64FE"/>
    <w:rsid w:val="001F7CAC"/>
    <w:rsid w:val="00220C78"/>
    <w:rsid w:val="00226172"/>
    <w:rsid w:val="002319DE"/>
    <w:rsid w:val="0023299D"/>
    <w:rsid w:val="002375C2"/>
    <w:rsid w:val="00271748"/>
    <w:rsid w:val="002735A9"/>
    <w:rsid w:val="00280BB6"/>
    <w:rsid w:val="00281443"/>
    <w:rsid w:val="002844B3"/>
    <w:rsid w:val="0028642B"/>
    <w:rsid w:val="002A4C80"/>
    <w:rsid w:val="002D75CA"/>
    <w:rsid w:val="002F21ED"/>
    <w:rsid w:val="003143E0"/>
    <w:rsid w:val="00356EDF"/>
    <w:rsid w:val="0036636E"/>
    <w:rsid w:val="003676C0"/>
    <w:rsid w:val="003843AC"/>
    <w:rsid w:val="00387011"/>
    <w:rsid w:val="003A3CFA"/>
    <w:rsid w:val="003D299D"/>
    <w:rsid w:val="003D3ED0"/>
    <w:rsid w:val="003E44AE"/>
    <w:rsid w:val="003E63B3"/>
    <w:rsid w:val="003F47B1"/>
    <w:rsid w:val="003F4FF9"/>
    <w:rsid w:val="003F530A"/>
    <w:rsid w:val="00423E55"/>
    <w:rsid w:val="00450884"/>
    <w:rsid w:val="004532F2"/>
    <w:rsid w:val="00461212"/>
    <w:rsid w:val="00471D9F"/>
    <w:rsid w:val="00483627"/>
    <w:rsid w:val="00492F3D"/>
    <w:rsid w:val="004B1CD0"/>
    <w:rsid w:val="004B3913"/>
    <w:rsid w:val="004C6B37"/>
    <w:rsid w:val="004D1BD8"/>
    <w:rsid w:val="004D67E5"/>
    <w:rsid w:val="004F2541"/>
    <w:rsid w:val="004F737A"/>
    <w:rsid w:val="004F7B17"/>
    <w:rsid w:val="00511B28"/>
    <w:rsid w:val="00536AF2"/>
    <w:rsid w:val="00536BBF"/>
    <w:rsid w:val="005454D5"/>
    <w:rsid w:val="005537D6"/>
    <w:rsid w:val="00556367"/>
    <w:rsid w:val="0056229E"/>
    <w:rsid w:val="00572133"/>
    <w:rsid w:val="00575820"/>
    <w:rsid w:val="005A27CB"/>
    <w:rsid w:val="005C7614"/>
    <w:rsid w:val="005D34A1"/>
    <w:rsid w:val="006110C4"/>
    <w:rsid w:val="006244EA"/>
    <w:rsid w:val="0062797C"/>
    <w:rsid w:val="00627ABF"/>
    <w:rsid w:val="00627B2A"/>
    <w:rsid w:val="00630DFC"/>
    <w:rsid w:val="00631734"/>
    <w:rsid w:val="006319DB"/>
    <w:rsid w:val="00655B95"/>
    <w:rsid w:val="00673C93"/>
    <w:rsid w:val="0067433B"/>
    <w:rsid w:val="006A0E70"/>
    <w:rsid w:val="006A1550"/>
    <w:rsid w:val="006A2DAF"/>
    <w:rsid w:val="006A3972"/>
    <w:rsid w:val="006B15AB"/>
    <w:rsid w:val="006C1A97"/>
    <w:rsid w:val="006E4CAD"/>
    <w:rsid w:val="006E6500"/>
    <w:rsid w:val="006F3779"/>
    <w:rsid w:val="006F4CF6"/>
    <w:rsid w:val="00700BEC"/>
    <w:rsid w:val="00705703"/>
    <w:rsid w:val="00715F04"/>
    <w:rsid w:val="007235BE"/>
    <w:rsid w:val="00724158"/>
    <w:rsid w:val="00744C80"/>
    <w:rsid w:val="007725D4"/>
    <w:rsid w:val="007B0B47"/>
    <w:rsid w:val="007B1FF7"/>
    <w:rsid w:val="007B5096"/>
    <w:rsid w:val="007C2522"/>
    <w:rsid w:val="007C4D7F"/>
    <w:rsid w:val="007E01E5"/>
    <w:rsid w:val="007E2BF6"/>
    <w:rsid w:val="0081463E"/>
    <w:rsid w:val="00840FA1"/>
    <w:rsid w:val="00852F2C"/>
    <w:rsid w:val="008578FC"/>
    <w:rsid w:val="00862BEB"/>
    <w:rsid w:val="008665D2"/>
    <w:rsid w:val="00867899"/>
    <w:rsid w:val="0087057B"/>
    <w:rsid w:val="00890027"/>
    <w:rsid w:val="00896C0D"/>
    <w:rsid w:val="00897DA9"/>
    <w:rsid w:val="008A57C2"/>
    <w:rsid w:val="008A61FD"/>
    <w:rsid w:val="008C4F6D"/>
    <w:rsid w:val="008D0A88"/>
    <w:rsid w:val="008D5726"/>
    <w:rsid w:val="008E3201"/>
    <w:rsid w:val="00900A97"/>
    <w:rsid w:val="009066F4"/>
    <w:rsid w:val="0091197A"/>
    <w:rsid w:val="00911F9E"/>
    <w:rsid w:val="00916EC7"/>
    <w:rsid w:val="009209B0"/>
    <w:rsid w:val="00922655"/>
    <w:rsid w:val="009237B2"/>
    <w:rsid w:val="0092734C"/>
    <w:rsid w:val="00936F29"/>
    <w:rsid w:val="00957D55"/>
    <w:rsid w:val="00961048"/>
    <w:rsid w:val="0096402C"/>
    <w:rsid w:val="009B289F"/>
    <w:rsid w:val="009D1E80"/>
    <w:rsid w:val="009E6095"/>
    <w:rsid w:val="009F3AA9"/>
    <w:rsid w:val="009F5743"/>
    <w:rsid w:val="00A00C32"/>
    <w:rsid w:val="00A03736"/>
    <w:rsid w:val="00A049F6"/>
    <w:rsid w:val="00A04F17"/>
    <w:rsid w:val="00A069B7"/>
    <w:rsid w:val="00A3165B"/>
    <w:rsid w:val="00A3184D"/>
    <w:rsid w:val="00A31F93"/>
    <w:rsid w:val="00A379EB"/>
    <w:rsid w:val="00A37B57"/>
    <w:rsid w:val="00A44350"/>
    <w:rsid w:val="00A50199"/>
    <w:rsid w:val="00A63B84"/>
    <w:rsid w:val="00A80EF9"/>
    <w:rsid w:val="00A83DEF"/>
    <w:rsid w:val="00A94EE4"/>
    <w:rsid w:val="00A96750"/>
    <w:rsid w:val="00A97761"/>
    <w:rsid w:val="00AA2591"/>
    <w:rsid w:val="00AB23FD"/>
    <w:rsid w:val="00AC4736"/>
    <w:rsid w:val="00AE43A4"/>
    <w:rsid w:val="00AF273A"/>
    <w:rsid w:val="00B04451"/>
    <w:rsid w:val="00B0491F"/>
    <w:rsid w:val="00B12CDA"/>
    <w:rsid w:val="00B145A5"/>
    <w:rsid w:val="00B24AB1"/>
    <w:rsid w:val="00B3446E"/>
    <w:rsid w:val="00B45FD7"/>
    <w:rsid w:val="00B719AE"/>
    <w:rsid w:val="00B77D50"/>
    <w:rsid w:val="00B77FF1"/>
    <w:rsid w:val="00B80109"/>
    <w:rsid w:val="00B85464"/>
    <w:rsid w:val="00B90C3F"/>
    <w:rsid w:val="00B94A16"/>
    <w:rsid w:val="00BA5D25"/>
    <w:rsid w:val="00BB2D32"/>
    <w:rsid w:val="00BB3258"/>
    <w:rsid w:val="00BC0F2E"/>
    <w:rsid w:val="00BF05C9"/>
    <w:rsid w:val="00BF542E"/>
    <w:rsid w:val="00C164CA"/>
    <w:rsid w:val="00C23B64"/>
    <w:rsid w:val="00C27AD3"/>
    <w:rsid w:val="00C3527C"/>
    <w:rsid w:val="00C42A3B"/>
    <w:rsid w:val="00C42F89"/>
    <w:rsid w:val="00C564CA"/>
    <w:rsid w:val="00C62796"/>
    <w:rsid w:val="00C62A80"/>
    <w:rsid w:val="00C63D31"/>
    <w:rsid w:val="00C678AB"/>
    <w:rsid w:val="00C82454"/>
    <w:rsid w:val="00CA4682"/>
    <w:rsid w:val="00CA7955"/>
    <w:rsid w:val="00CB1DC8"/>
    <w:rsid w:val="00CB616A"/>
    <w:rsid w:val="00CC35BA"/>
    <w:rsid w:val="00CC7366"/>
    <w:rsid w:val="00CD1259"/>
    <w:rsid w:val="00CD3376"/>
    <w:rsid w:val="00CD3C85"/>
    <w:rsid w:val="00CF0593"/>
    <w:rsid w:val="00CF0C7C"/>
    <w:rsid w:val="00CF5456"/>
    <w:rsid w:val="00CF5EF5"/>
    <w:rsid w:val="00D01701"/>
    <w:rsid w:val="00D05F30"/>
    <w:rsid w:val="00D5263B"/>
    <w:rsid w:val="00D54698"/>
    <w:rsid w:val="00D5488F"/>
    <w:rsid w:val="00D556B6"/>
    <w:rsid w:val="00D65CD0"/>
    <w:rsid w:val="00D669D9"/>
    <w:rsid w:val="00DA0D90"/>
    <w:rsid w:val="00DC26D0"/>
    <w:rsid w:val="00DC3265"/>
    <w:rsid w:val="00DC4219"/>
    <w:rsid w:val="00DE7F05"/>
    <w:rsid w:val="00DF57B6"/>
    <w:rsid w:val="00E25D2B"/>
    <w:rsid w:val="00E358B7"/>
    <w:rsid w:val="00E37A6C"/>
    <w:rsid w:val="00E42E4C"/>
    <w:rsid w:val="00E564E6"/>
    <w:rsid w:val="00E57784"/>
    <w:rsid w:val="00E60811"/>
    <w:rsid w:val="00E713DA"/>
    <w:rsid w:val="00EA01DF"/>
    <w:rsid w:val="00EA25D9"/>
    <w:rsid w:val="00EA7C1B"/>
    <w:rsid w:val="00EB49EF"/>
    <w:rsid w:val="00EB5AF8"/>
    <w:rsid w:val="00EC1E85"/>
    <w:rsid w:val="00ED6934"/>
    <w:rsid w:val="00EF5E38"/>
    <w:rsid w:val="00F00DB1"/>
    <w:rsid w:val="00F07FCE"/>
    <w:rsid w:val="00F2793F"/>
    <w:rsid w:val="00F403AF"/>
    <w:rsid w:val="00F479D4"/>
    <w:rsid w:val="00F535AA"/>
    <w:rsid w:val="00F62E29"/>
    <w:rsid w:val="00F85F88"/>
    <w:rsid w:val="00F85FFD"/>
    <w:rsid w:val="00FA1DC8"/>
    <w:rsid w:val="00FA67AD"/>
    <w:rsid w:val="00FD28F5"/>
    <w:rsid w:val="00FD322E"/>
    <w:rsid w:val="00FD591E"/>
    <w:rsid w:val="00FF3200"/>
    <w:rsid w:val="00FF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51C705"/>
  <w15:chartTrackingRefBased/>
  <w15:docId w15:val="{A1B44E14-35D4-4329-AD4D-D3F086D9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character" w:customStyle="1" w:styleId="apple-converted-space">
    <w:name w:val="apple-converted-space"/>
    <w:rsid w:val="00063004"/>
  </w:style>
  <w:style w:type="character" w:styleId="Strong">
    <w:name w:val="Strong"/>
    <w:uiPriority w:val="22"/>
    <w:qFormat/>
    <w:rsid w:val="00063004"/>
    <w:rPr>
      <w:b/>
      <w:bCs/>
    </w:rPr>
  </w:style>
  <w:style w:type="paragraph" w:styleId="BalloonText">
    <w:name w:val="Balloon Text"/>
    <w:basedOn w:val="Normal"/>
    <w:link w:val="BalloonTextChar"/>
    <w:rsid w:val="00FF52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52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2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947</Words>
  <Characters>5400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Camyl Moreno Pantojas</cp:lastModifiedBy>
  <cp:revision>2</cp:revision>
  <cp:lastPrinted>2019-04-25T14:23:00Z</cp:lastPrinted>
  <dcterms:created xsi:type="dcterms:W3CDTF">2026-06-22T19:10:00Z</dcterms:created>
  <dcterms:modified xsi:type="dcterms:W3CDTF">2026-06-22T19:10:00Z</dcterms:modified>
</cp:coreProperties>
</file>