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BF2E72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F2E72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F2E72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BF2E72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BF2E72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F2E72">
        <w:rPr>
          <w:rFonts w:ascii="Book Antiqua" w:hAnsi="Book Antiqua"/>
          <w:szCs w:val="24"/>
          <w:lang w:val="es-ES_tradnl"/>
        </w:rPr>
        <w:t>20m</w:t>
      </w:r>
      <w:r w:rsidR="002670C1" w:rsidRPr="00BF2E72">
        <w:rPr>
          <w:rFonts w:ascii="Book Antiqua" w:hAnsi="Book Antiqua"/>
          <w:szCs w:val="24"/>
          <w:lang w:val="es-ES_tradnl"/>
        </w:rPr>
        <w:t>a. Asamblea</w:t>
      </w:r>
      <w:r w:rsidR="002670C1" w:rsidRPr="00BF2E72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F2E72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F2E72">
        <w:rPr>
          <w:rFonts w:ascii="Book Antiqua" w:hAnsi="Book Antiqua"/>
          <w:szCs w:val="24"/>
          <w:lang w:val="es-ES_tradnl"/>
        </w:rPr>
        <w:t xml:space="preserve">  </w:t>
      </w:r>
      <w:r w:rsidR="003D1498" w:rsidRPr="00BF2E72">
        <w:rPr>
          <w:rFonts w:ascii="Book Antiqua" w:hAnsi="Book Antiqua"/>
          <w:szCs w:val="24"/>
          <w:lang w:val="es-ES_tradnl"/>
        </w:rPr>
        <w:t>2d</w:t>
      </w:r>
      <w:r w:rsidR="002670C1" w:rsidRPr="00BF2E72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BF2E72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F2E72">
        <w:rPr>
          <w:rFonts w:ascii="Book Antiqua" w:hAnsi="Book Antiqua"/>
          <w:szCs w:val="24"/>
          <w:lang w:val="es-ES_tradnl"/>
        </w:rPr>
        <w:tab/>
        <w:t>Legislativa</w:t>
      </w:r>
      <w:r w:rsidRPr="00BF2E72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F2E72">
        <w:rPr>
          <w:rFonts w:ascii="Book Antiqua" w:hAnsi="Book Antiqua"/>
          <w:szCs w:val="24"/>
          <w:lang w:val="es-ES_tradnl"/>
        </w:rPr>
        <w:t xml:space="preserve">       </w:t>
      </w:r>
      <w:r w:rsidRPr="00BF2E72">
        <w:rPr>
          <w:rFonts w:ascii="Book Antiqua" w:hAnsi="Book Antiqua"/>
          <w:szCs w:val="24"/>
          <w:lang w:val="es-ES_tradnl"/>
        </w:rPr>
        <w:t xml:space="preserve"> </w:t>
      </w:r>
      <w:r w:rsidR="00632DBA" w:rsidRPr="00BF2E72">
        <w:rPr>
          <w:rFonts w:ascii="Book Antiqua" w:hAnsi="Book Antiqua"/>
          <w:szCs w:val="24"/>
          <w:lang w:val="es-ES_tradnl"/>
        </w:rPr>
        <w:t xml:space="preserve"> </w:t>
      </w:r>
      <w:r w:rsidRPr="00BF2E72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BF2E72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BF2E72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F2E72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BF2E7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BF2E7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4BAD4DF" w:rsidR="002670C1" w:rsidRPr="00BF2E72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F2E72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F2E72" w:rsidRPr="00BF2E72">
        <w:rPr>
          <w:rFonts w:ascii="Book Antiqua" w:hAnsi="Book Antiqua" w:cs="Tahoma"/>
          <w:b/>
          <w:sz w:val="52"/>
          <w:szCs w:val="52"/>
          <w:lang w:val="es-ES_tradnl"/>
        </w:rPr>
        <w:t>443</w:t>
      </w:r>
    </w:p>
    <w:p w14:paraId="2AB71EBC" w14:textId="77777777" w:rsidR="001A14B6" w:rsidRPr="00BF2E72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BF2E72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F2E72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F2E72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BF2E72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4078CE7" w:rsidR="002670C1" w:rsidRPr="00BF2E72" w:rsidRDefault="00BF2E72" w:rsidP="002670C1">
      <w:pPr>
        <w:jc w:val="center"/>
        <w:rPr>
          <w:rFonts w:ascii="Book Antiqua" w:hAnsi="Book Antiqua" w:cs="Tahoma"/>
          <w:lang w:val="es-ES_tradnl"/>
        </w:rPr>
      </w:pPr>
      <w:r w:rsidRPr="00BF2E72">
        <w:rPr>
          <w:rFonts w:ascii="Book Antiqua" w:hAnsi="Book Antiqua" w:cs="Tahoma"/>
          <w:lang w:val="es-ES_tradnl"/>
        </w:rPr>
        <w:t>15</w:t>
      </w:r>
      <w:r w:rsidR="002670C1" w:rsidRPr="00BF2E72">
        <w:rPr>
          <w:rFonts w:ascii="Book Antiqua" w:hAnsi="Book Antiqua" w:cs="Tahoma"/>
          <w:lang w:val="es-ES_tradnl"/>
        </w:rPr>
        <w:t xml:space="preserve"> de </w:t>
      </w:r>
      <w:r w:rsidR="008A0F7D" w:rsidRPr="00BF2E72">
        <w:rPr>
          <w:rFonts w:ascii="Book Antiqua" w:hAnsi="Book Antiqua" w:cs="Tahoma"/>
          <w:lang w:val="es-ES_tradnl"/>
        </w:rPr>
        <w:t>octubre</w:t>
      </w:r>
      <w:r w:rsidR="002670C1" w:rsidRPr="00BF2E72">
        <w:rPr>
          <w:rFonts w:ascii="Book Antiqua" w:hAnsi="Book Antiqua" w:cs="Tahoma"/>
          <w:lang w:val="es-ES_tradnl"/>
        </w:rPr>
        <w:t xml:space="preserve"> de </w:t>
      </w:r>
      <w:r w:rsidR="00333864" w:rsidRPr="00BF2E72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BF2E72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BF2E72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BF2E72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BF2E72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BF2E72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65576EA" w:rsidR="00682883" w:rsidRPr="00BF2E72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BF2E72">
        <w:rPr>
          <w:rFonts w:ascii="Book Antiqua" w:hAnsi="Book Antiqua" w:cs="Tahoma"/>
          <w:lang w:val="es-ES_tradnl"/>
        </w:rPr>
        <w:tab/>
      </w:r>
      <w:r w:rsidR="008A4022" w:rsidRPr="00BF2E72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BF2E72">
        <w:rPr>
          <w:rFonts w:ascii="Book Antiqua" w:hAnsi="Book Antiqua" w:cs="Tahoma"/>
          <w:lang w:val="es-ES_tradnl"/>
        </w:rPr>
        <w:t>sideración de la R. de la C.</w:t>
      </w:r>
      <w:r w:rsidR="00BF2E72" w:rsidRPr="00BF2E72">
        <w:rPr>
          <w:rFonts w:ascii="Book Antiqua" w:hAnsi="Book Antiqua" w:cs="Tahoma"/>
          <w:lang w:val="es-ES_tradnl"/>
        </w:rPr>
        <w:t xml:space="preserve"> 443</w:t>
      </w:r>
      <w:r w:rsidR="00FA5F29" w:rsidRPr="00BF2E72">
        <w:rPr>
          <w:rFonts w:ascii="Book Antiqua" w:hAnsi="Book Antiqua" w:cs="Tahoma"/>
          <w:lang w:val="es-ES_tradnl"/>
        </w:rPr>
        <w:t xml:space="preserve">, </w:t>
      </w:r>
      <w:r w:rsidR="00682883" w:rsidRPr="00BF2E72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BF2E72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37F287C" w:rsidR="008D4A0A" w:rsidRPr="00BF2E72" w:rsidRDefault="00BC1CB2" w:rsidP="00BF2E72">
      <w:pPr>
        <w:ind w:left="567" w:hanging="567"/>
        <w:jc w:val="both"/>
        <w:rPr>
          <w:rFonts w:ascii="Book Antiqua" w:hAnsi="Book Antiqua"/>
          <w:lang w:val="es-ES_tradnl"/>
        </w:rPr>
      </w:pPr>
      <w:r w:rsidRPr="00BF2E72">
        <w:rPr>
          <w:rFonts w:ascii="Book Antiqua" w:hAnsi="Book Antiqua" w:cs="Tahoma"/>
          <w:lang w:val="es-ES_tradnl"/>
        </w:rPr>
        <w:t xml:space="preserve"> </w:t>
      </w:r>
      <w:r w:rsidR="00E86FF9" w:rsidRPr="00BF2E72">
        <w:rPr>
          <w:rFonts w:ascii="Book Antiqua" w:hAnsi="Book Antiqua" w:cs="Tahoma"/>
          <w:lang w:val="es-ES_tradnl"/>
        </w:rPr>
        <w:t>“</w:t>
      </w:r>
      <w:r w:rsidR="00E86FF9" w:rsidRPr="00BF2E72">
        <w:rPr>
          <w:rFonts w:ascii="Book Antiqua" w:hAnsi="Book Antiqua"/>
          <w:lang w:val="es-ES_tradnl"/>
        </w:rPr>
        <w:t>Para</w:t>
      </w:r>
      <w:r w:rsidR="00E86FF9" w:rsidRPr="00BF2E72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BF2E72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BF2E72">
        <w:rPr>
          <w:rFonts w:ascii="Book Antiqua" w:hAnsi="Book Antiqua"/>
          <w:lang w:val="es-ES_tradnl"/>
        </w:rPr>
        <w:t xml:space="preserve">a la Comisión </w:t>
      </w:r>
      <w:r w:rsidR="00C321E8" w:rsidRPr="00BF2E72">
        <w:rPr>
          <w:rFonts w:ascii="Book Antiqua" w:hAnsi="Book Antiqua"/>
          <w:lang w:val="es-ES_tradnl"/>
        </w:rPr>
        <w:t>de</w:t>
      </w:r>
      <w:r w:rsidR="00DF3E6F" w:rsidRPr="00BF2E72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BF2E72" w:rsidRPr="00BF2E72">
        <w:rPr>
          <w:rFonts w:ascii="Book Antiqua" w:hAnsi="Book Antiqua"/>
          <w:lang w:val="es-ES_tradnl"/>
        </w:rPr>
        <w:t xml:space="preserve">Gobierno de la Cámara de Representantes de Puerto Rico llevar a cabo una investigación exhaustiva sobre </w:t>
      </w:r>
      <w:r w:rsidR="00BF2E72" w:rsidRPr="00BF2E72">
        <w:rPr>
          <w:rFonts w:ascii="Book Antiqua" w:hAnsi="Book Antiqua"/>
          <w:iCs/>
          <w:lang w:val="es-ES_tradnl"/>
        </w:rPr>
        <w:t>las iniciativas, reglamentaciones y procesos en curso por las agencias e</w:t>
      </w:r>
      <w:r w:rsidR="00BF2E72" w:rsidRPr="00BF2E72">
        <w:rPr>
          <w:rFonts w:ascii="Book Antiqua" w:hAnsi="Book Antiqua"/>
          <w:lang w:val="es-ES_tradnl"/>
        </w:rPr>
        <w:t xml:space="preserve"> instrumentalidades del Gobierno de Puerto Rico </w:t>
      </w:r>
      <w:r w:rsidR="00BF2E72" w:rsidRPr="00BF2E72">
        <w:rPr>
          <w:rFonts w:ascii="Book Antiqua" w:hAnsi="Book Antiqua"/>
          <w:iCs/>
          <w:lang w:val="es-ES_tradnl"/>
        </w:rPr>
        <w:t>orientados a la integración y operación segura</w:t>
      </w:r>
      <w:r w:rsidR="00BF2E72" w:rsidRPr="00BF2E72">
        <w:rPr>
          <w:rFonts w:ascii="Book Antiqua" w:hAnsi="Book Antiqua"/>
          <w:lang w:val="es-ES_tradnl"/>
        </w:rPr>
        <w:t xml:space="preserve"> de los Vehículos Avanzados de Movilidad Aérea (AAM, por sus siglas en </w:t>
      </w:r>
      <w:r w:rsidR="00BF2E72" w:rsidRPr="00BF2E72">
        <w:rPr>
          <w:rFonts w:ascii="Book Antiqua" w:hAnsi="Book Antiqua"/>
          <w:iCs/>
          <w:lang w:val="es-ES_tradnl"/>
        </w:rPr>
        <w:t>inglés</w:t>
      </w:r>
      <w:r w:rsidR="00BF2E72" w:rsidRPr="00BF2E72">
        <w:rPr>
          <w:rFonts w:ascii="Book Antiqua" w:hAnsi="Book Antiqua"/>
          <w:lang w:val="es-ES_tradnl"/>
        </w:rPr>
        <w:t xml:space="preserve">), </w:t>
      </w:r>
      <w:r w:rsidR="00BF2E72" w:rsidRPr="00BF2E72">
        <w:rPr>
          <w:rFonts w:ascii="Book Antiqua" w:hAnsi="Book Antiqua"/>
          <w:iCs/>
          <w:lang w:val="es-ES_tradnl"/>
        </w:rPr>
        <w:t>así como evaluar la necesidad de legislación estatal que viabilice su adopción ordenada y armonizada con las disposiciones federales aplicables</w:t>
      </w:r>
      <w:r w:rsidR="00BF2E72" w:rsidRPr="00BF2E72">
        <w:rPr>
          <w:rFonts w:ascii="Book Antiqua" w:hAnsi="Book Antiqua"/>
          <w:lang w:val="es-ES_tradnl"/>
        </w:rPr>
        <w:t>; y para otros fines relacionados.</w:t>
      </w:r>
      <w:r w:rsidR="00FA5F29" w:rsidRPr="00BF2E72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BF2E72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BF2E72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BF2E72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BF2E72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7E114D1" w14:textId="31B4D3DB" w:rsidR="00BF2E72" w:rsidRPr="00BF2E72" w:rsidRDefault="00CC4336" w:rsidP="00BF2E72">
      <w:pPr>
        <w:jc w:val="both"/>
        <w:rPr>
          <w:rFonts w:ascii="Book Antiqua" w:hAnsi="Book Antiqua"/>
          <w:lang w:val="es-ES_tradnl"/>
        </w:rPr>
      </w:pPr>
      <w:r w:rsidRPr="00BF2E72">
        <w:rPr>
          <w:rFonts w:ascii="Book Antiqua" w:eastAsiaTheme="minorHAnsi" w:hAnsi="Book Antiqua"/>
          <w:lang w:val="es-ES_tradnl"/>
        </w:rPr>
        <w:t xml:space="preserve">     </w:t>
      </w:r>
      <w:r w:rsidR="00DE02EB" w:rsidRPr="00BF2E72">
        <w:rPr>
          <w:rFonts w:ascii="Book Antiqua" w:hAnsi="Book Antiqua"/>
          <w:lang w:val="es-ES_tradnl"/>
        </w:rPr>
        <w:t>La</w:t>
      </w:r>
      <w:r w:rsidR="00194744" w:rsidRPr="00BF2E72">
        <w:rPr>
          <w:rFonts w:ascii="Book Antiqua" w:hAnsi="Book Antiqua"/>
          <w:lang w:val="es-ES_tradnl"/>
        </w:rPr>
        <w:t xml:space="preserve"> Resolución de la Cámara Núm.</w:t>
      </w:r>
      <w:r w:rsidR="00BF2E72" w:rsidRPr="00BF2E72">
        <w:rPr>
          <w:rFonts w:ascii="Book Antiqua" w:hAnsi="Book Antiqua"/>
          <w:lang w:val="es-ES_tradnl"/>
        </w:rPr>
        <w:t xml:space="preserve"> 443 </w:t>
      </w:r>
      <w:r w:rsidR="00DF3E6F" w:rsidRPr="00BF2E72">
        <w:rPr>
          <w:rFonts w:ascii="Book Antiqua" w:hAnsi="Book Antiqua"/>
          <w:lang w:val="es-ES_tradnl"/>
        </w:rPr>
        <w:t>tiene el propósito de realizar una</w:t>
      </w:r>
      <w:r w:rsidR="00BF2E72" w:rsidRPr="00BF2E72">
        <w:rPr>
          <w:rFonts w:ascii="Book Antiqua" w:hAnsi="Book Antiqua"/>
          <w:lang w:val="es-ES_tradnl"/>
        </w:rPr>
        <w:t xml:space="preserve"> investigación exhaustiva sobre la reglamentación, los procesos administrativos y las iniciativas que actualmente desarrollan las agencias e instrumentalidades del Gobierno de Puerto Rico para atender la inminente llegada e integración de los </w:t>
      </w:r>
      <w:r w:rsidR="00BF2E72" w:rsidRPr="00BF2E72">
        <w:rPr>
          <w:rFonts w:ascii="Book Antiqua" w:hAnsi="Book Antiqua"/>
          <w:bCs/>
          <w:lang w:val="es-ES_tradnl"/>
        </w:rPr>
        <w:t>Vehículos Avanzados de Movilidad Aérea (AAM)</w:t>
      </w:r>
      <w:r w:rsidR="00BF2E72" w:rsidRPr="00BF2E72">
        <w:rPr>
          <w:rFonts w:ascii="Book Antiqua" w:hAnsi="Book Antiqua"/>
          <w:lang w:val="es-ES_tradnl"/>
        </w:rPr>
        <w:t>.</w:t>
      </w:r>
    </w:p>
    <w:p w14:paraId="0130491C" w14:textId="77777777" w:rsidR="00BF2E72" w:rsidRPr="00BF2E72" w:rsidRDefault="00BF2E72" w:rsidP="00BF2E72">
      <w:pPr>
        <w:jc w:val="both"/>
        <w:rPr>
          <w:rFonts w:ascii="Book Antiqua" w:hAnsi="Book Antiqua"/>
          <w:lang w:val="es-ES_tradnl"/>
        </w:rPr>
      </w:pPr>
    </w:p>
    <w:p w14:paraId="50E86C2B" w14:textId="347174C4" w:rsidR="00BF2E72" w:rsidRPr="00BF2E72" w:rsidRDefault="00BF2E72" w:rsidP="00BF2E72">
      <w:pPr>
        <w:jc w:val="both"/>
        <w:rPr>
          <w:rFonts w:ascii="Book Antiqua" w:hAnsi="Book Antiqua"/>
          <w:lang w:val="es-ES_tradnl"/>
        </w:rPr>
      </w:pPr>
      <w:r w:rsidRPr="00BF2E72">
        <w:rPr>
          <w:rFonts w:ascii="Book Antiqua" w:hAnsi="Book Antiqua"/>
          <w:lang w:val="es-ES_tradnl"/>
        </w:rPr>
        <w:t xml:space="preserve">     Estos sistemas representan una nueva generación de aeronaves eléctricas o híbridas de </w:t>
      </w:r>
      <w:r w:rsidRPr="00BF2E72">
        <w:rPr>
          <w:rFonts w:ascii="Book Antiqua" w:hAnsi="Book Antiqua"/>
          <w:bCs/>
          <w:lang w:val="es-ES_tradnl"/>
        </w:rPr>
        <w:t>despegue y aterrizaje vertical (VTOL)</w:t>
      </w:r>
      <w:r w:rsidRPr="00BF2E72">
        <w:rPr>
          <w:rFonts w:ascii="Book Antiqua" w:hAnsi="Book Antiqua"/>
          <w:lang w:val="es-ES_tradnl"/>
        </w:rPr>
        <w:t xml:space="preserve">, con potencial para revolucionar el transporte </w:t>
      </w:r>
      <w:r w:rsidRPr="00BF2E72">
        <w:rPr>
          <w:rFonts w:ascii="Book Antiqua" w:hAnsi="Book Antiqua"/>
          <w:lang w:val="es-ES_tradnl"/>
        </w:rPr>
        <w:lastRenderedPageBreak/>
        <w:t xml:space="preserve">urbano, la logística de carga y los servicios de emergencia. La medida busca que Puerto Rico adopte una postura proactiva ante este avance tecnológico, asegurando que su marco normativo esté armonizado con las disposiciones y estándares federales emitidos por la </w:t>
      </w:r>
      <w:r w:rsidRPr="00BF2E72">
        <w:rPr>
          <w:rFonts w:ascii="Book Antiqua" w:hAnsi="Book Antiqua"/>
          <w:bCs/>
          <w:lang w:val="es-ES_tradnl"/>
        </w:rPr>
        <w:t>Administración Federal de Aviación (FAA)</w:t>
      </w:r>
      <w:r w:rsidRPr="00BF2E72">
        <w:rPr>
          <w:rFonts w:ascii="Book Antiqua" w:hAnsi="Book Antiqua"/>
          <w:lang w:val="es-ES_tradnl"/>
        </w:rPr>
        <w:t>.</w:t>
      </w:r>
    </w:p>
    <w:p w14:paraId="7F994284" w14:textId="77777777" w:rsidR="00BF2E72" w:rsidRPr="00BF2E72" w:rsidRDefault="00BF2E72" w:rsidP="00BF2E72">
      <w:pPr>
        <w:jc w:val="both"/>
        <w:rPr>
          <w:rFonts w:ascii="Book Antiqua" w:hAnsi="Book Antiqua"/>
          <w:lang w:val="es-ES_tradnl"/>
        </w:rPr>
      </w:pPr>
    </w:p>
    <w:p w14:paraId="7F8A8A14" w14:textId="13326EB2" w:rsidR="00BF2E72" w:rsidRPr="00BF2E72" w:rsidRDefault="00BF2E72" w:rsidP="00BF2E72">
      <w:pPr>
        <w:jc w:val="both"/>
        <w:rPr>
          <w:rFonts w:ascii="Book Antiqua" w:hAnsi="Book Antiqua"/>
          <w:lang w:val="es-ES_tradnl"/>
        </w:rPr>
      </w:pPr>
      <w:r w:rsidRPr="00BF2E72">
        <w:rPr>
          <w:rFonts w:ascii="Book Antiqua" w:hAnsi="Book Antiqua"/>
          <w:lang w:val="es-ES_tradnl"/>
        </w:rPr>
        <w:t xml:space="preserve">     La Exposición de Motivos de la Resolución destaca que Estados Unidos ha iniciado el </w:t>
      </w:r>
      <w:r w:rsidRPr="00BF2E72">
        <w:rPr>
          <w:rFonts w:ascii="Book Antiqua" w:hAnsi="Book Antiqua"/>
          <w:bCs/>
          <w:lang w:val="es-ES_tradnl"/>
        </w:rPr>
        <w:t>“Programa Piloto de Integración de Despegue y Aterrizaje Vertical Eléctrico”</w:t>
      </w:r>
      <w:r w:rsidRPr="00BF2E72">
        <w:rPr>
          <w:rFonts w:ascii="Book Antiqua" w:hAnsi="Book Antiqua"/>
          <w:lang w:val="es-ES_tradnl"/>
        </w:rPr>
        <w:t>, mediante el cual varias jurisdicciones están estableciendo la infraestructura, protocolos y políticas regulatorias necesarias para permitir la operación segura de estas aeronaves. Puerto Rico, como territorio bajo jurisdicción federal, debe prepararse para integrarse a este proceso con la debida planificación legislativa y técnica.</w:t>
      </w:r>
    </w:p>
    <w:p w14:paraId="10CD5BB0" w14:textId="77777777" w:rsidR="00BF2E72" w:rsidRPr="00BF2E72" w:rsidRDefault="00BF2E72" w:rsidP="00BF2E72">
      <w:pPr>
        <w:jc w:val="both"/>
        <w:rPr>
          <w:rFonts w:ascii="Book Antiqua" w:hAnsi="Book Antiqua"/>
          <w:lang w:val="es-ES_tradnl"/>
        </w:rPr>
      </w:pPr>
    </w:p>
    <w:p w14:paraId="05E78832" w14:textId="267C6CD8" w:rsidR="00DF3E6F" w:rsidRPr="00BF2E72" w:rsidRDefault="00BF2E72" w:rsidP="00DF3E6F">
      <w:pPr>
        <w:jc w:val="both"/>
        <w:rPr>
          <w:rFonts w:ascii="Book Antiqua" w:hAnsi="Book Antiqua"/>
          <w:lang w:val="es-ES_tradnl"/>
        </w:rPr>
      </w:pPr>
      <w:r w:rsidRPr="00BF2E72">
        <w:rPr>
          <w:rFonts w:ascii="Book Antiqua" w:hAnsi="Book Antiqua"/>
          <w:lang w:val="es-ES_tradnl"/>
        </w:rPr>
        <w:t xml:space="preserve">     De igual forma, la medida dispone que la </w:t>
      </w:r>
      <w:r w:rsidRPr="00BF2E72">
        <w:rPr>
          <w:rFonts w:ascii="Book Antiqua" w:hAnsi="Book Antiqua"/>
          <w:bCs/>
          <w:lang w:val="es-ES_tradnl"/>
        </w:rPr>
        <w:t>Comisión de Gobierno</w:t>
      </w:r>
      <w:r w:rsidRPr="00BF2E72">
        <w:rPr>
          <w:rFonts w:ascii="Book Antiqua" w:hAnsi="Book Antiqua"/>
          <w:lang w:val="es-ES_tradnl"/>
        </w:rPr>
        <w:t xml:space="preserve"> evaluará la pertinencia de legislación estatal adicional que facilite la adopción responsable de esta tecnología y su integración al espacio aéreo local, conforme a los lineamientos de seguridad, sostenibilidad y eficiencia energética.</w:t>
      </w:r>
    </w:p>
    <w:p w14:paraId="7645A4CC" w14:textId="77777777" w:rsidR="006150BB" w:rsidRPr="00BF2E72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BF2E72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5866BE59" w:rsidR="001A02E8" w:rsidRPr="00BF2E72" w:rsidRDefault="001A02E8" w:rsidP="00BF2E72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BF2E72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BF2E72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BF2E72">
        <w:rPr>
          <w:rFonts w:ascii="Book Antiqua" w:hAnsi="Book Antiqua"/>
          <w:sz w:val="24"/>
          <w:szCs w:val="24"/>
          <w:lang w:val="es-ES_tradnl"/>
        </w:rPr>
        <w:t>e l</w:t>
      </w:r>
      <w:r w:rsidR="00BF2E72" w:rsidRPr="00BF2E72">
        <w:rPr>
          <w:rFonts w:ascii="Book Antiqua" w:hAnsi="Book Antiqua"/>
          <w:sz w:val="24"/>
          <w:szCs w:val="24"/>
          <w:lang w:val="es-ES_tradnl"/>
        </w:rPr>
        <w:t>a Resolución de la Cámara 443</w:t>
      </w:r>
      <w:r w:rsidR="008B1E7C" w:rsidRPr="00BF2E72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  <w:r w:rsidRPr="00BF2E72">
        <w:rPr>
          <w:rFonts w:ascii="Book Antiqua" w:hAnsi="Book Antiqua"/>
          <w:sz w:val="24"/>
          <w:szCs w:val="24"/>
          <w:lang w:val="es-ES_tradnl"/>
        </w:rPr>
        <w:t xml:space="preserve">  </w:t>
      </w:r>
    </w:p>
    <w:p w14:paraId="50FFCE58" w14:textId="77777777" w:rsidR="006150BB" w:rsidRPr="00BF2E72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F2E72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BF2E72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BF2E72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F2E72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BF2E72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BF2E72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BF2E72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BF2E72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BF2E72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F2E72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F2E72">
        <w:rPr>
          <w:rFonts w:ascii="Book Antiqua" w:hAnsi="Book Antiqua" w:cs="Tahoma"/>
          <w:lang w:val="es-ES_tradnl"/>
        </w:rPr>
        <w:br/>
        <w:t>Presidente</w:t>
      </w:r>
      <w:r w:rsidRPr="00BF2E72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F2E72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2E7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714234">
    <w:abstractNumId w:val="6"/>
  </w:num>
  <w:num w:numId="2" w16cid:durableId="1583031549">
    <w:abstractNumId w:val="12"/>
  </w:num>
  <w:num w:numId="3" w16cid:durableId="2118210642">
    <w:abstractNumId w:val="3"/>
  </w:num>
  <w:num w:numId="4" w16cid:durableId="2113476131">
    <w:abstractNumId w:val="1"/>
  </w:num>
  <w:num w:numId="5" w16cid:durableId="1738164219">
    <w:abstractNumId w:val="7"/>
  </w:num>
  <w:num w:numId="6" w16cid:durableId="2062904765">
    <w:abstractNumId w:val="4"/>
  </w:num>
  <w:num w:numId="7" w16cid:durableId="2001350113">
    <w:abstractNumId w:val="5"/>
  </w:num>
  <w:num w:numId="8" w16cid:durableId="363753711">
    <w:abstractNumId w:val="8"/>
  </w:num>
  <w:num w:numId="9" w16cid:durableId="195898551">
    <w:abstractNumId w:val="9"/>
  </w:num>
  <w:num w:numId="10" w16cid:durableId="973482285">
    <w:abstractNumId w:val="0"/>
  </w:num>
  <w:num w:numId="11" w16cid:durableId="1816213944">
    <w:abstractNumId w:val="2"/>
  </w:num>
  <w:num w:numId="12" w16cid:durableId="156964496">
    <w:abstractNumId w:val="11"/>
  </w:num>
  <w:num w:numId="13" w16cid:durableId="15821069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B69EF"/>
    <w:rsid w:val="007C5A2C"/>
    <w:rsid w:val="007D7209"/>
    <w:rsid w:val="007F0E20"/>
    <w:rsid w:val="007F3B99"/>
    <w:rsid w:val="00812C0F"/>
    <w:rsid w:val="008171E8"/>
    <w:rsid w:val="00846B7C"/>
    <w:rsid w:val="008510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2E72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D52E557-0ED5-455B-9EA6-AA43813A0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2771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Alondra Negrón Rivera</cp:lastModifiedBy>
  <cp:revision>2</cp:revision>
  <cp:lastPrinted>2025-02-17T12:55:00Z</cp:lastPrinted>
  <dcterms:created xsi:type="dcterms:W3CDTF">2025-10-15T15:02:00Z</dcterms:created>
  <dcterms:modified xsi:type="dcterms:W3CDTF">2025-10-15T15:02:00Z</dcterms:modified>
</cp:coreProperties>
</file>