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1649EF" w:rsidRDefault="00426A07" w:rsidP="00426A07">
      <w:pPr>
        <w:jc w:val="center"/>
        <w:rPr>
          <w:rFonts w:ascii="Book Antiqua" w:eastAsia="Book Antiqua" w:hAnsi="Book Antiqua" w:cs="Book Antiqua"/>
          <w:bCs/>
          <w:sz w:val="28"/>
          <w:szCs w:val="28"/>
          <w:lang w:val="es-ES"/>
        </w:rPr>
      </w:pPr>
      <w:r w:rsidRPr="001649EF">
        <w:rPr>
          <w:rFonts w:ascii="Book Antiqua" w:eastAsia="Book Antiqua" w:hAnsi="Book Antiqua" w:cs="Book Antiqua"/>
          <w:bCs/>
          <w:sz w:val="28"/>
          <w:szCs w:val="28"/>
          <w:lang w:val="es-ES"/>
        </w:rPr>
        <w:t>GOBIERNO DE PUERTO RICO</w:t>
      </w:r>
    </w:p>
    <w:p w14:paraId="4F775E7F" w14:textId="77777777" w:rsidR="00426A07" w:rsidRPr="000273A0" w:rsidRDefault="00426A07" w:rsidP="00426A07">
      <w:pPr>
        <w:jc w:val="center"/>
        <w:rPr>
          <w:rFonts w:ascii="Book Antiqua" w:eastAsia="Book Antiqua" w:hAnsi="Book Antiqua" w:cs="Book Antiqua"/>
          <w:lang w:val="es-ES"/>
        </w:rPr>
      </w:pPr>
    </w:p>
    <w:p w14:paraId="3170FE29" w14:textId="70F17A66"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 xml:space="preserve">20 </w:t>
      </w:r>
      <w:r w:rsidRPr="000273A0">
        <w:rPr>
          <w:rFonts w:ascii="Book Antiqua" w:eastAsia="Book Antiqua" w:hAnsi="Book Antiqua" w:cs="Book Antiqua"/>
          <w:color w:val="000000"/>
          <w:sz w:val="24"/>
          <w:szCs w:val="24"/>
          <w:vertAlign w:val="superscript"/>
          <w:lang w:val="es-ES"/>
        </w:rPr>
        <w:t>ma.</w:t>
      </w:r>
      <w:r w:rsidRPr="000273A0">
        <w:rPr>
          <w:rFonts w:ascii="Book Antiqua" w:eastAsia="Book Antiqua" w:hAnsi="Book Antiqua" w:cs="Book Antiqua"/>
          <w:color w:val="000000"/>
          <w:sz w:val="24"/>
          <w:szCs w:val="24"/>
          <w:lang w:val="es-ES"/>
        </w:rPr>
        <w:tab/>
        <w:t>Asamblea</w:t>
      </w:r>
      <w:r w:rsidRPr="000273A0">
        <w:rPr>
          <w:rFonts w:ascii="Book Antiqua" w:eastAsia="Book Antiqua" w:hAnsi="Book Antiqua" w:cs="Book Antiqua"/>
          <w:color w:val="000000"/>
          <w:sz w:val="24"/>
          <w:szCs w:val="24"/>
          <w:lang w:val="es-ES"/>
        </w:rPr>
        <w:tab/>
      </w:r>
      <w:r w:rsidR="00AD746B">
        <w:rPr>
          <w:rFonts w:ascii="Book Antiqua" w:eastAsia="Book Antiqua" w:hAnsi="Book Antiqua" w:cs="Book Antiqua"/>
          <w:color w:val="000000"/>
          <w:sz w:val="24"/>
          <w:szCs w:val="24"/>
          <w:lang w:val="es-ES"/>
        </w:rPr>
        <w:t>2</w:t>
      </w:r>
      <w:r w:rsidR="00C671E3">
        <w:rPr>
          <w:rFonts w:ascii="Book Antiqua" w:eastAsia="Book Antiqua" w:hAnsi="Book Antiqua" w:cs="Book Antiqua"/>
          <w:color w:val="000000"/>
          <w:sz w:val="24"/>
          <w:szCs w:val="24"/>
          <w:lang w:val="es-ES"/>
        </w:rPr>
        <w:t xml:space="preserve"> </w:t>
      </w:r>
      <w:r w:rsidR="00AD746B">
        <w:rPr>
          <w:rFonts w:ascii="Book Antiqua" w:eastAsia="Book Antiqua" w:hAnsi="Book Antiqua" w:cs="Book Antiqua"/>
          <w:color w:val="000000"/>
          <w:sz w:val="24"/>
          <w:szCs w:val="24"/>
          <w:vertAlign w:val="superscript"/>
          <w:lang w:val="es-ES"/>
        </w:rPr>
        <w:t>d</w:t>
      </w:r>
      <w:r w:rsidRPr="000273A0">
        <w:rPr>
          <w:rFonts w:ascii="Book Antiqua" w:eastAsia="Book Antiqua" w:hAnsi="Book Antiqua" w:cs="Book Antiqua"/>
          <w:color w:val="000000"/>
          <w:sz w:val="24"/>
          <w:szCs w:val="24"/>
          <w:vertAlign w:val="superscript"/>
          <w:lang w:val="es-ES"/>
        </w:rPr>
        <w:t>a.</w:t>
      </w:r>
      <w:r w:rsidRPr="000273A0">
        <w:rPr>
          <w:rFonts w:ascii="Book Antiqua" w:eastAsia="Book Antiqua" w:hAnsi="Book Antiqua" w:cs="Book Antiqua"/>
          <w:color w:val="000000"/>
          <w:sz w:val="24"/>
          <w:szCs w:val="24"/>
          <w:vertAlign w:val="superscript"/>
          <w:lang w:val="es-ES"/>
        </w:rPr>
        <w:tab/>
      </w:r>
      <w:r w:rsidRPr="000273A0">
        <w:rPr>
          <w:rFonts w:ascii="Book Antiqua" w:eastAsia="Book Antiqua" w:hAnsi="Book Antiqua" w:cs="Book Antiqua"/>
          <w:color w:val="000000"/>
          <w:sz w:val="24"/>
          <w:szCs w:val="24"/>
          <w:lang w:val="es-ES"/>
        </w:rPr>
        <w:t>Sesión</w:t>
      </w:r>
    </w:p>
    <w:p w14:paraId="56D3446F" w14:textId="3C67D092"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ab/>
        <w:t xml:space="preserve">Legislativa                                                                                     </w:t>
      </w:r>
      <w:r w:rsidR="00BF407C" w:rsidRPr="000273A0">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 xml:space="preserve">        </w:t>
      </w:r>
      <w:r w:rsidR="00E6073C">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Ordinaria</w:t>
      </w:r>
    </w:p>
    <w:p w14:paraId="01F5327D" w14:textId="77777777" w:rsidR="00426A07" w:rsidRPr="000273A0" w:rsidRDefault="00426A07" w:rsidP="00426A07">
      <w:pPr>
        <w:spacing w:after="0"/>
        <w:rPr>
          <w:rFonts w:ascii="Book Antiqua" w:eastAsia="Book Antiqua" w:hAnsi="Book Antiqua" w:cs="Book Antiqua"/>
          <w:lang w:val="es-ES"/>
        </w:rPr>
      </w:pPr>
    </w:p>
    <w:p w14:paraId="5C9CC24F" w14:textId="77777777" w:rsidR="001E1A2C" w:rsidRPr="000273A0" w:rsidRDefault="001E1A2C" w:rsidP="001E1A2C">
      <w:pPr>
        <w:spacing w:line="360" w:lineRule="auto"/>
        <w:jc w:val="center"/>
        <w:rPr>
          <w:rFonts w:ascii="Book Antiqua" w:hAnsi="Book Antiqua"/>
          <w:b/>
          <w:sz w:val="36"/>
          <w:szCs w:val="36"/>
          <w:lang w:val="es-ES"/>
        </w:rPr>
      </w:pPr>
      <w:r w:rsidRPr="000273A0">
        <w:rPr>
          <w:rFonts w:ascii="Book Antiqua" w:hAnsi="Book Antiqua"/>
          <w:b/>
          <w:sz w:val="36"/>
          <w:szCs w:val="36"/>
          <w:lang w:val="es-ES"/>
        </w:rPr>
        <w:t xml:space="preserve">SENADO DE PUERTO RICO </w:t>
      </w:r>
    </w:p>
    <w:p w14:paraId="16FDC5B1" w14:textId="55C16088" w:rsidR="001E1A2C" w:rsidRPr="000273A0" w:rsidRDefault="00DC2372" w:rsidP="00BF407C">
      <w:pPr>
        <w:spacing w:line="360" w:lineRule="auto"/>
        <w:jc w:val="center"/>
        <w:rPr>
          <w:rFonts w:ascii="Book Antiqua" w:hAnsi="Book Antiqua"/>
          <w:b/>
          <w:sz w:val="52"/>
          <w:szCs w:val="52"/>
          <w:lang w:val="es-ES"/>
        </w:rPr>
      </w:pPr>
      <w:r>
        <w:rPr>
          <w:rFonts w:ascii="Book Antiqua" w:hAnsi="Book Antiqua"/>
          <w:b/>
          <w:sz w:val="52"/>
          <w:szCs w:val="52"/>
          <w:lang w:val="es-ES"/>
        </w:rPr>
        <w:t>P. de</w:t>
      </w:r>
      <w:r w:rsidR="00344018">
        <w:rPr>
          <w:rFonts w:ascii="Book Antiqua" w:hAnsi="Book Antiqua"/>
          <w:b/>
          <w:sz w:val="52"/>
          <w:szCs w:val="52"/>
          <w:lang w:val="es-ES"/>
        </w:rPr>
        <w:t xml:space="preserve">l S. </w:t>
      </w:r>
      <w:r w:rsidR="00AF29EE">
        <w:rPr>
          <w:rFonts w:ascii="Book Antiqua" w:hAnsi="Book Antiqua"/>
          <w:b/>
          <w:sz w:val="52"/>
          <w:szCs w:val="52"/>
          <w:lang w:val="es-ES"/>
        </w:rPr>
        <w:t>730</w:t>
      </w:r>
    </w:p>
    <w:p w14:paraId="3909FDBF" w14:textId="7CF78779" w:rsidR="00BF407C" w:rsidRPr="00D61358" w:rsidRDefault="00BF407C" w:rsidP="00B66E92">
      <w:pPr>
        <w:spacing w:after="0" w:line="240" w:lineRule="auto"/>
        <w:jc w:val="center"/>
        <w:rPr>
          <w:rFonts w:ascii="Book Antiqua" w:eastAsia="Times New Roman" w:hAnsi="Book Antiqua" w:cs="Times New Roman"/>
          <w:b/>
          <w:sz w:val="24"/>
          <w:szCs w:val="24"/>
          <w:lang w:val="es-PR"/>
        </w:rPr>
      </w:pPr>
      <w:r w:rsidRPr="00D61358">
        <w:rPr>
          <w:rFonts w:ascii="Book Antiqua" w:eastAsia="Times New Roman" w:hAnsi="Book Antiqua" w:cs="Times New Roman"/>
          <w:b/>
          <w:sz w:val="24"/>
          <w:szCs w:val="24"/>
          <w:lang w:val="es-PR"/>
        </w:rPr>
        <w:t xml:space="preserve">INFORME </w:t>
      </w:r>
      <w:r w:rsidR="00AF1148" w:rsidRPr="00D61358">
        <w:rPr>
          <w:rFonts w:ascii="Book Antiqua" w:eastAsia="Times New Roman" w:hAnsi="Book Antiqua" w:cs="Times New Roman"/>
          <w:b/>
          <w:sz w:val="24"/>
          <w:szCs w:val="24"/>
          <w:lang w:val="es-PR"/>
        </w:rPr>
        <w:t>NEGATIVO</w:t>
      </w:r>
      <w:r w:rsidRPr="00D61358">
        <w:rPr>
          <w:rFonts w:ascii="Book Antiqua" w:eastAsia="Times New Roman" w:hAnsi="Book Antiqua" w:cs="Times New Roman"/>
          <w:b/>
          <w:sz w:val="24"/>
          <w:szCs w:val="24"/>
          <w:lang w:val="es-PR"/>
        </w:rPr>
        <w:t xml:space="preserve"> </w:t>
      </w:r>
      <w:r w:rsidRPr="00D61358">
        <w:rPr>
          <w:rFonts w:ascii="Book Antiqua" w:eastAsia="Times New Roman" w:hAnsi="Book Antiqua" w:cs="Times New Roman"/>
          <w:b/>
          <w:sz w:val="24"/>
          <w:szCs w:val="24"/>
          <w:lang w:val="es-PR"/>
        </w:rPr>
        <w:br/>
      </w:r>
      <w:r w:rsidRPr="00D61358">
        <w:rPr>
          <w:rFonts w:ascii="Book Antiqua" w:eastAsia="Times New Roman" w:hAnsi="Book Antiqua" w:cs="Times New Roman"/>
          <w:b/>
          <w:sz w:val="24"/>
          <w:szCs w:val="24"/>
          <w:lang w:val="es-PR"/>
        </w:rPr>
        <w:br/>
      </w:r>
      <w:r w:rsidR="00D71813">
        <w:rPr>
          <w:rFonts w:ascii="Book Antiqua" w:eastAsia="Times New Roman" w:hAnsi="Book Antiqua" w:cs="Times New Roman"/>
          <w:sz w:val="24"/>
          <w:szCs w:val="24"/>
          <w:lang w:val="es-PR"/>
        </w:rPr>
        <w:t>18</w:t>
      </w:r>
      <w:r w:rsidR="00AF550C" w:rsidRPr="00D61358">
        <w:rPr>
          <w:rFonts w:ascii="Book Antiqua" w:eastAsia="Times New Roman" w:hAnsi="Book Antiqua" w:cs="Times New Roman"/>
          <w:sz w:val="24"/>
          <w:szCs w:val="24"/>
          <w:lang w:val="es-PR"/>
        </w:rPr>
        <w:t xml:space="preserve"> </w:t>
      </w:r>
      <w:r w:rsidRPr="00D61358">
        <w:rPr>
          <w:rFonts w:ascii="Book Antiqua" w:eastAsia="Times New Roman" w:hAnsi="Book Antiqua" w:cs="Times New Roman"/>
          <w:sz w:val="24"/>
          <w:szCs w:val="24"/>
          <w:lang w:val="es-PR"/>
        </w:rPr>
        <w:t xml:space="preserve">de </w:t>
      </w:r>
      <w:r w:rsidR="00D71813">
        <w:rPr>
          <w:rFonts w:ascii="Book Antiqua" w:eastAsia="Times New Roman" w:hAnsi="Book Antiqua" w:cs="Times New Roman"/>
          <w:sz w:val="24"/>
          <w:szCs w:val="24"/>
          <w:lang w:val="es-PR"/>
        </w:rPr>
        <w:t>noviembr</w:t>
      </w:r>
      <w:r w:rsidR="00D61358" w:rsidRPr="00D61358">
        <w:rPr>
          <w:rFonts w:ascii="Book Antiqua" w:eastAsia="Times New Roman" w:hAnsi="Book Antiqua" w:cs="Times New Roman"/>
          <w:sz w:val="24"/>
          <w:szCs w:val="24"/>
          <w:lang w:val="es-PR"/>
        </w:rPr>
        <w:t>e</w:t>
      </w:r>
      <w:r w:rsidR="00C671E3" w:rsidRPr="00D61358">
        <w:rPr>
          <w:rFonts w:ascii="Book Antiqua" w:eastAsia="Times New Roman" w:hAnsi="Book Antiqua" w:cs="Times New Roman"/>
          <w:sz w:val="24"/>
          <w:szCs w:val="24"/>
          <w:lang w:val="es-PR"/>
        </w:rPr>
        <w:t xml:space="preserve"> </w:t>
      </w:r>
      <w:r w:rsidRPr="00D61358">
        <w:rPr>
          <w:rFonts w:ascii="Book Antiqua" w:eastAsia="Times New Roman" w:hAnsi="Book Antiqua" w:cs="Times New Roman"/>
          <w:sz w:val="24"/>
          <w:szCs w:val="24"/>
          <w:lang w:val="es-PR"/>
        </w:rPr>
        <w:t>de 2025</w:t>
      </w:r>
    </w:p>
    <w:p w14:paraId="4F585915" w14:textId="77777777" w:rsidR="00BF407C" w:rsidRPr="00D61358" w:rsidRDefault="00BF407C" w:rsidP="009967C7">
      <w:pPr>
        <w:spacing w:after="0" w:line="240" w:lineRule="auto"/>
        <w:jc w:val="center"/>
        <w:rPr>
          <w:rFonts w:ascii="Book Antiqua" w:eastAsia="Times New Roman" w:hAnsi="Book Antiqua" w:cs="Times New Roman"/>
          <w:sz w:val="24"/>
          <w:szCs w:val="24"/>
          <w:lang w:val="es-PR"/>
        </w:rPr>
      </w:pPr>
    </w:p>
    <w:p w14:paraId="0B5E6C86"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r w:rsidRPr="00B66E92">
        <w:rPr>
          <w:rFonts w:ascii="Book Antiqua" w:eastAsia="Times New Roman" w:hAnsi="Book Antiqua" w:cs="Times New Roman"/>
          <w:b/>
          <w:sz w:val="24"/>
          <w:szCs w:val="24"/>
          <w:lang w:val="es-ES"/>
        </w:rPr>
        <w:t>AL SENADO DE PUERTO RICO</w:t>
      </w:r>
    </w:p>
    <w:p w14:paraId="407607C1"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p>
    <w:p w14:paraId="26B55823" w14:textId="6B3DE28F" w:rsidR="00426A07" w:rsidRPr="00AF550C" w:rsidRDefault="00C671E3" w:rsidP="00E543D7">
      <w:pPr>
        <w:spacing w:after="0" w:line="360" w:lineRule="auto"/>
        <w:ind w:firstLine="720"/>
        <w:jc w:val="both"/>
        <w:rPr>
          <w:rStyle w:val="eop"/>
          <w:rFonts w:ascii="Book Antiqua" w:hAnsi="Book Antiqua"/>
          <w:i/>
          <w:iCs/>
          <w:color w:val="000000"/>
          <w:sz w:val="24"/>
          <w:szCs w:val="24"/>
          <w:shd w:val="clear" w:color="auto" w:fill="FFFFFF"/>
          <w:lang w:val="es-419"/>
        </w:rPr>
      </w:pPr>
      <w:r w:rsidRPr="00B66E92">
        <w:rPr>
          <w:rStyle w:val="normaltextrun"/>
          <w:rFonts w:ascii="Book Antiqua" w:hAnsi="Book Antiqua"/>
          <w:color w:val="000000"/>
          <w:sz w:val="24"/>
          <w:szCs w:val="24"/>
          <w:shd w:val="clear" w:color="auto" w:fill="FFFFFF"/>
          <w:lang w:val="es-ES"/>
        </w:rPr>
        <w:t xml:space="preserve">La Comisión de </w:t>
      </w:r>
      <w:r w:rsidR="00AF550C" w:rsidRPr="00AF550C">
        <w:rPr>
          <w:rFonts w:ascii="Book Antiqua" w:hAnsi="Book Antiqua"/>
          <w:iCs/>
          <w:color w:val="000000"/>
          <w:sz w:val="24"/>
          <w:szCs w:val="24"/>
          <w:shd w:val="clear" w:color="auto" w:fill="FFFFFF"/>
          <w:lang w:val="es-PR"/>
        </w:rPr>
        <w:t xml:space="preserve">Comisión de </w:t>
      </w:r>
      <w:r w:rsidR="00AF550C" w:rsidRPr="00AF550C">
        <w:rPr>
          <w:rFonts w:ascii="Book Antiqua" w:hAnsi="Book Antiqua"/>
          <w:iCs/>
          <w:color w:val="000000"/>
          <w:sz w:val="24"/>
          <w:szCs w:val="24"/>
          <w:shd w:val="clear" w:color="auto" w:fill="FFFFFF"/>
          <w:lang w:val="es-419"/>
        </w:rPr>
        <w:t>Innovación, Reforma y Nombramientos</w:t>
      </w:r>
      <w:r w:rsidRPr="00B66E92">
        <w:rPr>
          <w:rStyle w:val="normaltextrun"/>
          <w:rFonts w:ascii="Book Antiqua" w:hAnsi="Book Antiqua"/>
          <w:color w:val="000000"/>
          <w:sz w:val="24"/>
          <w:szCs w:val="24"/>
          <w:shd w:val="clear" w:color="auto" w:fill="FFFFFF"/>
          <w:lang w:val="es-ES"/>
        </w:rPr>
        <w:t xml:space="preserve">, previo estudio y consideración del </w:t>
      </w:r>
      <w:r w:rsidRPr="00B66E92">
        <w:rPr>
          <w:rStyle w:val="normaltextrun"/>
          <w:rFonts w:ascii="Book Antiqua" w:hAnsi="Book Antiqua"/>
          <w:b/>
          <w:bCs/>
          <w:color w:val="000000"/>
          <w:sz w:val="24"/>
          <w:szCs w:val="24"/>
          <w:shd w:val="clear" w:color="auto" w:fill="FFFFFF"/>
          <w:lang w:val="es-ES"/>
        </w:rPr>
        <w:t>Proyecto de</w:t>
      </w:r>
      <w:r w:rsidR="00AD746B">
        <w:rPr>
          <w:rStyle w:val="normaltextrun"/>
          <w:rFonts w:ascii="Book Antiqua" w:hAnsi="Book Antiqua"/>
          <w:b/>
          <w:bCs/>
          <w:color w:val="000000"/>
          <w:sz w:val="24"/>
          <w:szCs w:val="24"/>
          <w:shd w:val="clear" w:color="auto" w:fill="FFFFFF"/>
          <w:lang w:val="es-ES"/>
        </w:rPr>
        <w:t>l</w:t>
      </w:r>
      <w:r w:rsidR="00494437">
        <w:rPr>
          <w:rStyle w:val="normaltextrun"/>
          <w:rFonts w:ascii="Book Antiqua" w:hAnsi="Book Antiqua"/>
          <w:b/>
          <w:bCs/>
          <w:color w:val="000000"/>
          <w:sz w:val="24"/>
          <w:szCs w:val="24"/>
          <w:shd w:val="clear" w:color="auto" w:fill="FFFFFF"/>
          <w:lang w:val="es-ES"/>
        </w:rPr>
        <w:t xml:space="preserve"> </w:t>
      </w:r>
      <w:r w:rsidR="00AD746B">
        <w:rPr>
          <w:rStyle w:val="normaltextrun"/>
          <w:rFonts w:ascii="Book Antiqua" w:hAnsi="Book Antiqua"/>
          <w:b/>
          <w:bCs/>
          <w:color w:val="000000"/>
          <w:sz w:val="24"/>
          <w:szCs w:val="24"/>
          <w:shd w:val="clear" w:color="auto" w:fill="FFFFFF"/>
          <w:lang w:val="es-ES"/>
        </w:rPr>
        <w:t>Senado</w:t>
      </w:r>
      <w:r w:rsidRPr="00B66E92">
        <w:rPr>
          <w:rStyle w:val="normaltextrun"/>
          <w:rFonts w:ascii="Book Antiqua" w:hAnsi="Book Antiqua"/>
          <w:b/>
          <w:bCs/>
          <w:color w:val="000000"/>
          <w:sz w:val="24"/>
          <w:szCs w:val="24"/>
          <w:shd w:val="clear" w:color="auto" w:fill="FFFFFF"/>
          <w:lang w:val="es-ES"/>
        </w:rPr>
        <w:t xml:space="preserve"> </w:t>
      </w:r>
      <w:r w:rsidR="00AF29EE">
        <w:rPr>
          <w:rStyle w:val="normaltextrun"/>
          <w:rFonts w:ascii="Book Antiqua" w:hAnsi="Book Antiqua"/>
          <w:b/>
          <w:bCs/>
          <w:color w:val="000000"/>
          <w:sz w:val="24"/>
          <w:szCs w:val="24"/>
          <w:shd w:val="clear" w:color="auto" w:fill="FFFFFF"/>
          <w:lang w:val="es-ES"/>
        </w:rPr>
        <w:t>730</w:t>
      </w:r>
      <w:r w:rsidRPr="00B66E92">
        <w:rPr>
          <w:rStyle w:val="normaltextrun"/>
          <w:rFonts w:ascii="Book Antiqua" w:hAnsi="Book Antiqua"/>
          <w:color w:val="000000"/>
          <w:sz w:val="24"/>
          <w:szCs w:val="24"/>
          <w:shd w:val="clear" w:color="auto" w:fill="FFFFFF"/>
          <w:lang w:val="es-ES"/>
        </w:rPr>
        <w:t xml:space="preserve">, </w:t>
      </w:r>
      <w:r w:rsidRPr="00B66E92">
        <w:rPr>
          <w:rStyle w:val="normaltextrun"/>
          <w:rFonts w:ascii="Book Antiqua" w:hAnsi="Book Antiqua"/>
          <w:b/>
          <w:bCs/>
          <w:color w:val="000000"/>
          <w:sz w:val="24"/>
          <w:szCs w:val="24"/>
          <w:shd w:val="clear" w:color="auto" w:fill="FFFFFF"/>
          <w:lang w:val="es-ES"/>
        </w:rPr>
        <w:t>no recomienda</w:t>
      </w:r>
      <w:r w:rsidRPr="00B66E92">
        <w:rPr>
          <w:rStyle w:val="normaltextrun"/>
          <w:rFonts w:ascii="Book Antiqua" w:hAnsi="Book Antiqua"/>
          <w:color w:val="000000"/>
          <w:sz w:val="24"/>
          <w:szCs w:val="24"/>
          <w:shd w:val="clear" w:color="auto" w:fill="FFFFFF"/>
          <w:lang w:val="es-ES"/>
        </w:rPr>
        <w:t xml:space="preserve"> a este Alto Cuerpo su aprobación. </w:t>
      </w:r>
      <w:r w:rsidRPr="00B66E92">
        <w:rPr>
          <w:rStyle w:val="eop"/>
          <w:rFonts w:ascii="Book Antiqua" w:hAnsi="Book Antiqua"/>
          <w:color w:val="000000"/>
          <w:sz w:val="24"/>
          <w:szCs w:val="24"/>
          <w:shd w:val="clear" w:color="auto" w:fill="FFFFFF"/>
          <w:lang w:val="es-PR"/>
        </w:rPr>
        <w:t> </w:t>
      </w:r>
    </w:p>
    <w:p w14:paraId="5CD3625D" w14:textId="77777777" w:rsidR="00C671E3" w:rsidRPr="00B66E92" w:rsidRDefault="00C671E3" w:rsidP="009967C7">
      <w:pPr>
        <w:spacing w:after="0" w:line="240" w:lineRule="auto"/>
        <w:jc w:val="both"/>
        <w:rPr>
          <w:rFonts w:ascii="Book Antiqua" w:eastAsia="Times New Roman" w:hAnsi="Book Antiqua" w:cs="Times New Roman"/>
          <w:sz w:val="24"/>
          <w:szCs w:val="24"/>
          <w:lang w:val="es-PR"/>
        </w:rPr>
      </w:pPr>
    </w:p>
    <w:p w14:paraId="1602F4C2" w14:textId="77777777"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ALCANCE DE LA MEDIDA</w:t>
      </w:r>
    </w:p>
    <w:p w14:paraId="0DAB7CF7" w14:textId="77777777" w:rsidR="00C671E3" w:rsidRPr="00B66E92" w:rsidRDefault="00C671E3" w:rsidP="009967C7">
      <w:pPr>
        <w:spacing w:after="0" w:line="240" w:lineRule="auto"/>
        <w:jc w:val="both"/>
        <w:rPr>
          <w:rFonts w:ascii="Book Antiqua" w:eastAsia="Times New Roman" w:hAnsi="Book Antiqua" w:cs="Times New Roman"/>
          <w:sz w:val="24"/>
          <w:szCs w:val="24"/>
          <w:lang w:val="es-ES"/>
        </w:rPr>
      </w:pPr>
    </w:p>
    <w:p w14:paraId="04B997E2" w14:textId="5F045DE4" w:rsidR="00635221" w:rsidRDefault="00DC2372" w:rsidP="00635221">
      <w:pPr>
        <w:spacing w:after="0" w:line="360" w:lineRule="auto"/>
        <w:ind w:firstLine="720"/>
        <w:jc w:val="both"/>
        <w:rPr>
          <w:rFonts w:ascii="Book Antiqua" w:eastAsia="Times New Roman" w:hAnsi="Book Antiqua" w:cs="Times New Roman"/>
          <w:sz w:val="24"/>
          <w:szCs w:val="24"/>
          <w:lang w:val="es-PR"/>
        </w:rPr>
      </w:pPr>
      <w:r w:rsidRPr="00B66E92">
        <w:rPr>
          <w:rFonts w:ascii="Book Antiqua" w:eastAsia="Times New Roman" w:hAnsi="Book Antiqua" w:cs="Times New Roman"/>
          <w:sz w:val="24"/>
          <w:szCs w:val="24"/>
          <w:lang w:val="es-ES"/>
        </w:rPr>
        <w:t xml:space="preserve">El </w:t>
      </w:r>
      <w:r w:rsidRPr="00653A1B">
        <w:rPr>
          <w:rFonts w:ascii="Book Antiqua" w:eastAsia="Times New Roman" w:hAnsi="Book Antiqua" w:cs="Times New Roman"/>
          <w:b/>
          <w:bCs/>
          <w:sz w:val="24"/>
          <w:szCs w:val="24"/>
          <w:lang w:val="es-ES"/>
        </w:rPr>
        <w:t>P</w:t>
      </w:r>
      <w:r w:rsidR="00653A1B" w:rsidRPr="00653A1B">
        <w:rPr>
          <w:rFonts w:ascii="Book Antiqua" w:eastAsia="Times New Roman" w:hAnsi="Book Antiqua" w:cs="Times New Roman"/>
          <w:b/>
          <w:bCs/>
          <w:sz w:val="24"/>
          <w:szCs w:val="24"/>
          <w:lang w:val="es-ES"/>
        </w:rPr>
        <w:t>.</w:t>
      </w:r>
      <w:r w:rsidRPr="00653A1B">
        <w:rPr>
          <w:rFonts w:ascii="Book Antiqua" w:eastAsia="Times New Roman" w:hAnsi="Book Antiqua" w:cs="Times New Roman"/>
          <w:b/>
          <w:bCs/>
          <w:sz w:val="24"/>
          <w:szCs w:val="24"/>
          <w:lang w:val="es-ES"/>
        </w:rPr>
        <w:t xml:space="preserve"> </w:t>
      </w:r>
      <w:r w:rsidR="00EA4F6A" w:rsidRPr="00653A1B">
        <w:rPr>
          <w:rFonts w:ascii="Book Antiqua" w:eastAsia="Times New Roman" w:hAnsi="Book Antiqua" w:cs="Times New Roman"/>
          <w:b/>
          <w:bCs/>
          <w:sz w:val="24"/>
          <w:szCs w:val="24"/>
          <w:lang w:val="es-ES"/>
        </w:rPr>
        <w:t>d</w:t>
      </w:r>
      <w:r w:rsidR="00AD746B" w:rsidRPr="00653A1B">
        <w:rPr>
          <w:rFonts w:ascii="Book Antiqua" w:eastAsia="Times New Roman" w:hAnsi="Book Antiqua" w:cs="Times New Roman"/>
          <w:b/>
          <w:bCs/>
          <w:sz w:val="24"/>
          <w:szCs w:val="24"/>
          <w:lang w:val="es-ES"/>
        </w:rPr>
        <w:t>el S</w:t>
      </w:r>
      <w:r w:rsidR="00653A1B" w:rsidRPr="00653A1B">
        <w:rPr>
          <w:rFonts w:ascii="Book Antiqua" w:eastAsia="Times New Roman" w:hAnsi="Book Antiqua" w:cs="Times New Roman"/>
          <w:b/>
          <w:bCs/>
          <w:sz w:val="24"/>
          <w:szCs w:val="24"/>
          <w:lang w:val="es-ES"/>
        </w:rPr>
        <w:t>.</w:t>
      </w:r>
      <w:r w:rsidR="00AD746B" w:rsidRPr="00653A1B">
        <w:rPr>
          <w:rFonts w:ascii="Book Antiqua" w:eastAsia="Times New Roman" w:hAnsi="Book Antiqua" w:cs="Times New Roman"/>
          <w:b/>
          <w:bCs/>
          <w:sz w:val="24"/>
          <w:szCs w:val="24"/>
          <w:lang w:val="es-ES"/>
        </w:rPr>
        <w:t xml:space="preserve"> </w:t>
      </w:r>
      <w:r w:rsidR="00AF29EE" w:rsidRPr="00653A1B">
        <w:rPr>
          <w:rFonts w:ascii="Book Antiqua" w:eastAsia="Times New Roman" w:hAnsi="Book Antiqua" w:cs="Times New Roman"/>
          <w:b/>
          <w:bCs/>
          <w:sz w:val="24"/>
          <w:szCs w:val="24"/>
          <w:lang w:val="es-ES"/>
        </w:rPr>
        <w:t>730</w:t>
      </w:r>
      <w:r w:rsidR="00426A07" w:rsidRPr="00B66E92">
        <w:rPr>
          <w:rFonts w:ascii="Book Antiqua" w:eastAsia="Times New Roman" w:hAnsi="Book Antiqua" w:cs="Times New Roman"/>
          <w:sz w:val="24"/>
          <w:szCs w:val="24"/>
          <w:lang w:val="es-ES"/>
        </w:rPr>
        <w:t>,</w:t>
      </w:r>
      <w:r w:rsidR="00EA4F6A" w:rsidRPr="00B66E92">
        <w:rPr>
          <w:rFonts w:ascii="Book Antiqua" w:eastAsia="Times New Roman" w:hAnsi="Book Antiqua" w:cs="Times New Roman"/>
          <w:sz w:val="24"/>
          <w:szCs w:val="24"/>
          <w:lang w:val="es-ES"/>
        </w:rPr>
        <w:t xml:space="preserve"> </w:t>
      </w:r>
      <w:r w:rsidR="00C63EA8" w:rsidRPr="00B66E92">
        <w:rPr>
          <w:rFonts w:ascii="Book Antiqua" w:eastAsia="Times New Roman" w:hAnsi="Book Antiqua" w:cs="Times New Roman"/>
          <w:sz w:val="24"/>
          <w:szCs w:val="24"/>
          <w:lang w:val="es-ES"/>
        </w:rPr>
        <w:t xml:space="preserve">tiene como </w:t>
      </w:r>
      <w:r w:rsidR="00AF29EE">
        <w:rPr>
          <w:rFonts w:ascii="Book Antiqua" w:eastAsia="Times New Roman" w:hAnsi="Book Antiqua" w:cs="Times New Roman"/>
          <w:sz w:val="24"/>
          <w:szCs w:val="24"/>
          <w:lang w:val="es-ES"/>
        </w:rPr>
        <w:t xml:space="preserve">propósito </w:t>
      </w:r>
      <w:r w:rsidR="00AF29EE" w:rsidRPr="00AF29EE">
        <w:rPr>
          <w:rFonts w:ascii="Book Antiqua" w:eastAsia="Times New Roman" w:hAnsi="Book Antiqua" w:cs="Times New Roman"/>
          <w:sz w:val="24"/>
          <w:szCs w:val="24"/>
          <w:lang w:val="es-PR"/>
        </w:rPr>
        <w:t xml:space="preserve">enmendar el Artículo 12.20 y el Artículo 12.21 de la Ley 58-2020, según enmendada, conocida como el Código Electoral de Puerto Rico de 2020, a los fines de establecer la protección y la obligación de remoción de la propaganda política en año electoral, disponiendo que los candidatos que resulten vencedores en procesos </w:t>
      </w:r>
      <w:proofErr w:type="spellStart"/>
      <w:r w:rsidR="00AF29EE" w:rsidRPr="00AF29EE">
        <w:rPr>
          <w:rFonts w:ascii="Book Antiqua" w:eastAsia="Times New Roman" w:hAnsi="Book Antiqua" w:cs="Times New Roman"/>
          <w:sz w:val="24"/>
          <w:szCs w:val="24"/>
          <w:lang w:val="es-PR"/>
        </w:rPr>
        <w:t>primaristas</w:t>
      </w:r>
      <w:proofErr w:type="spellEnd"/>
      <w:r w:rsidR="00AF29EE" w:rsidRPr="00AF29EE">
        <w:rPr>
          <w:rFonts w:ascii="Book Antiqua" w:eastAsia="Times New Roman" w:hAnsi="Book Antiqua" w:cs="Times New Roman"/>
          <w:sz w:val="24"/>
          <w:szCs w:val="24"/>
          <w:lang w:val="es-PR"/>
        </w:rPr>
        <w:t xml:space="preserve"> no estarán obligados a remover su propaganda hasta después de celebrada la Elección General</w:t>
      </w:r>
      <w:r w:rsidR="00653A1B">
        <w:rPr>
          <w:rFonts w:ascii="Book Antiqua" w:eastAsia="Times New Roman" w:hAnsi="Book Antiqua" w:cs="Times New Roman"/>
          <w:sz w:val="24"/>
          <w:szCs w:val="24"/>
          <w:lang w:val="es-PR"/>
        </w:rPr>
        <w:t>.</w:t>
      </w:r>
      <w:r w:rsidR="0057745A">
        <w:rPr>
          <w:rStyle w:val="FootnoteReference"/>
          <w:rFonts w:ascii="Book Antiqua" w:eastAsia="Times New Roman" w:hAnsi="Book Antiqua" w:cs="Times New Roman"/>
          <w:sz w:val="24"/>
          <w:szCs w:val="24"/>
          <w:lang w:val="es-PR"/>
        </w:rPr>
        <w:footnoteReference w:id="1"/>
      </w:r>
    </w:p>
    <w:p w14:paraId="664366B7" w14:textId="77777777" w:rsidR="006A21A0" w:rsidRDefault="006A21A0" w:rsidP="00635221">
      <w:pPr>
        <w:spacing w:after="0" w:line="360" w:lineRule="auto"/>
        <w:jc w:val="both"/>
        <w:rPr>
          <w:rFonts w:ascii="Book Antiqua" w:eastAsia="Times New Roman" w:hAnsi="Book Antiqua" w:cs="Times New Roman"/>
          <w:sz w:val="24"/>
          <w:szCs w:val="24"/>
          <w:lang w:val="es-PR"/>
        </w:rPr>
      </w:pPr>
    </w:p>
    <w:p w14:paraId="3BC74EFD" w14:textId="77777777" w:rsidR="00635221" w:rsidRDefault="00635221" w:rsidP="00635221">
      <w:pPr>
        <w:spacing w:after="0" w:line="360" w:lineRule="auto"/>
        <w:jc w:val="both"/>
        <w:rPr>
          <w:rFonts w:ascii="Book Antiqua" w:eastAsia="Times New Roman" w:hAnsi="Book Antiqua" w:cs="Times New Roman"/>
          <w:sz w:val="24"/>
          <w:szCs w:val="24"/>
          <w:lang w:val="es-PR"/>
        </w:rPr>
      </w:pPr>
    </w:p>
    <w:p w14:paraId="4A3D1C54" w14:textId="77777777" w:rsidR="00635221" w:rsidRDefault="00635221" w:rsidP="00635221">
      <w:pPr>
        <w:spacing w:after="0" w:line="360" w:lineRule="auto"/>
        <w:jc w:val="both"/>
        <w:rPr>
          <w:rFonts w:ascii="Book Antiqua" w:eastAsia="Times New Roman" w:hAnsi="Book Antiqua" w:cs="Times New Roman"/>
          <w:sz w:val="24"/>
          <w:szCs w:val="24"/>
          <w:lang w:val="es-PR"/>
        </w:rPr>
      </w:pPr>
    </w:p>
    <w:p w14:paraId="06C7336A" w14:textId="77777777" w:rsidR="00635221" w:rsidRDefault="00635221" w:rsidP="00635221">
      <w:pPr>
        <w:spacing w:after="0" w:line="360" w:lineRule="auto"/>
        <w:jc w:val="both"/>
        <w:rPr>
          <w:rFonts w:ascii="Book Antiqua" w:eastAsia="Times New Roman" w:hAnsi="Book Antiqua" w:cs="Times New Roman"/>
          <w:sz w:val="24"/>
          <w:szCs w:val="24"/>
          <w:lang w:val="es-PR"/>
        </w:rPr>
      </w:pPr>
    </w:p>
    <w:p w14:paraId="3F1DB7A0" w14:textId="794E2791" w:rsidR="006A21A0" w:rsidRDefault="00AF29EE" w:rsidP="00635221">
      <w:pPr>
        <w:spacing w:after="0" w:line="360" w:lineRule="auto"/>
        <w:ind w:firstLine="720"/>
        <w:jc w:val="center"/>
        <w:rPr>
          <w:rFonts w:ascii="Book Antiqua" w:eastAsia="Times New Roman" w:hAnsi="Book Antiqua" w:cs="Times New Roman"/>
          <w:b/>
          <w:bCs/>
          <w:sz w:val="24"/>
          <w:szCs w:val="24"/>
          <w:lang w:val="es-PR"/>
        </w:rPr>
      </w:pPr>
      <w:r w:rsidRPr="00AF29EE">
        <w:rPr>
          <w:rFonts w:ascii="Book Antiqua" w:eastAsia="Times New Roman" w:hAnsi="Book Antiqua" w:cs="Times New Roman"/>
          <w:b/>
          <w:bCs/>
          <w:sz w:val="24"/>
          <w:szCs w:val="24"/>
          <w:lang w:val="es-PR"/>
        </w:rPr>
        <w:lastRenderedPageBreak/>
        <w:t>INTRODUCCIÓN</w:t>
      </w:r>
    </w:p>
    <w:p w14:paraId="4AB78CBA" w14:textId="77777777" w:rsidR="00635221" w:rsidRPr="00AF29EE" w:rsidRDefault="00635221" w:rsidP="00635221">
      <w:pPr>
        <w:spacing w:after="0" w:line="360" w:lineRule="auto"/>
        <w:ind w:firstLine="720"/>
        <w:rPr>
          <w:rFonts w:ascii="Book Antiqua" w:eastAsia="Times New Roman" w:hAnsi="Book Antiqua" w:cs="Times New Roman"/>
          <w:b/>
          <w:bCs/>
          <w:sz w:val="24"/>
          <w:szCs w:val="24"/>
          <w:lang w:val="es-PR"/>
        </w:rPr>
      </w:pPr>
    </w:p>
    <w:p w14:paraId="51216DDC" w14:textId="2F92D506" w:rsidR="00AF29EE" w:rsidRDefault="00AF29EE" w:rsidP="00F30374">
      <w:pPr>
        <w:snapToGrid w:val="0"/>
        <w:spacing w:after="0" w:line="360" w:lineRule="auto"/>
        <w:ind w:firstLine="720"/>
        <w:jc w:val="both"/>
        <w:rPr>
          <w:rFonts w:ascii="Book Antiqua" w:eastAsia="Times New Roman" w:hAnsi="Book Antiqua" w:cs="Times New Roman"/>
          <w:bCs/>
          <w:sz w:val="24"/>
          <w:szCs w:val="24"/>
          <w:lang w:val="es-PR"/>
        </w:rPr>
      </w:pPr>
      <w:r w:rsidRPr="00AF29EE">
        <w:rPr>
          <w:rFonts w:ascii="Book Antiqua" w:eastAsia="Times New Roman" w:hAnsi="Book Antiqua" w:cs="Times New Roman"/>
          <w:bCs/>
          <w:sz w:val="24"/>
          <w:szCs w:val="24"/>
          <w:lang w:val="es-PR"/>
        </w:rPr>
        <w:t xml:space="preserve">Según la exposición de motivos del </w:t>
      </w:r>
      <w:r w:rsidRPr="00653A1B">
        <w:rPr>
          <w:rFonts w:ascii="Book Antiqua" w:eastAsia="Times New Roman" w:hAnsi="Book Antiqua" w:cs="Times New Roman"/>
          <w:b/>
          <w:sz w:val="24"/>
          <w:szCs w:val="24"/>
          <w:lang w:val="es-PR"/>
        </w:rPr>
        <w:t>P. del S. 730</w:t>
      </w:r>
      <w:r w:rsidRPr="00AF29EE">
        <w:rPr>
          <w:rFonts w:ascii="Book Antiqua" w:eastAsia="Times New Roman" w:hAnsi="Book Antiqua" w:cs="Times New Roman"/>
          <w:bCs/>
          <w:sz w:val="24"/>
          <w:szCs w:val="24"/>
          <w:lang w:val="es-PR"/>
        </w:rPr>
        <w:t>, la Ley 58-2020</w:t>
      </w:r>
      <w:r>
        <w:rPr>
          <w:rFonts w:ascii="Book Antiqua" w:eastAsia="Times New Roman" w:hAnsi="Book Antiqua" w:cs="Times New Roman"/>
          <w:bCs/>
          <w:sz w:val="24"/>
          <w:szCs w:val="24"/>
          <w:lang w:val="es-PR"/>
        </w:rPr>
        <w:t>, según enmendada, conocida como “</w:t>
      </w:r>
      <w:r w:rsidRPr="00AF29EE">
        <w:rPr>
          <w:rFonts w:ascii="Book Antiqua" w:eastAsia="Times New Roman" w:hAnsi="Book Antiqua" w:cs="Times New Roman"/>
          <w:bCs/>
          <w:sz w:val="24"/>
          <w:szCs w:val="24"/>
          <w:lang w:val="es-PR"/>
        </w:rPr>
        <w:t>Código Electoral de Puerto Rico de 2020</w:t>
      </w:r>
      <w:r>
        <w:rPr>
          <w:rFonts w:ascii="Book Antiqua" w:eastAsia="Times New Roman" w:hAnsi="Book Antiqua" w:cs="Times New Roman"/>
          <w:bCs/>
          <w:sz w:val="24"/>
          <w:szCs w:val="24"/>
          <w:lang w:val="es-PR"/>
        </w:rPr>
        <w:t>”,</w:t>
      </w:r>
      <w:r w:rsidRPr="00AF29EE">
        <w:rPr>
          <w:rFonts w:ascii="Book Antiqua" w:eastAsia="Times New Roman" w:hAnsi="Book Antiqua" w:cs="Times New Roman"/>
          <w:bCs/>
          <w:sz w:val="24"/>
          <w:szCs w:val="24"/>
          <w:lang w:val="es-PR"/>
        </w:rPr>
        <w:t xml:space="preserve"> contiene disposiciones sobre la protección y remoción de propaganda política que, en su redacción actual, generan complicaciones prácticas durante los procesos </w:t>
      </w:r>
      <w:proofErr w:type="spellStart"/>
      <w:r w:rsidRPr="00AF29EE">
        <w:rPr>
          <w:rFonts w:ascii="Book Antiqua" w:eastAsia="Times New Roman" w:hAnsi="Book Antiqua" w:cs="Times New Roman"/>
          <w:bCs/>
          <w:sz w:val="24"/>
          <w:szCs w:val="24"/>
          <w:lang w:val="es-PR"/>
        </w:rPr>
        <w:t>primaristas</w:t>
      </w:r>
      <w:proofErr w:type="spellEnd"/>
      <w:r w:rsidRPr="00AF29EE">
        <w:rPr>
          <w:rFonts w:ascii="Book Antiqua" w:eastAsia="Times New Roman" w:hAnsi="Book Antiqua" w:cs="Times New Roman"/>
          <w:bCs/>
          <w:sz w:val="24"/>
          <w:szCs w:val="24"/>
          <w:lang w:val="es-PR"/>
        </w:rPr>
        <w:t xml:space="preserve">. La normativa vigente obliga a </w:t>
      </w:r>
      <w:r w:rsidR="008C7695">
        <w:rPr>
          <w:rFonts w:ascii="Book Antiqua" w:eastAsia="Times New Roman" w:hAnsi="Book Antiqua" w:cs="Times New Roman"/>
          <w:bCs/>
          <w:sz w:val="24"/>
          <w:szCs w:val="24"/>
          <w:lang w:val="es-PR"/>
        </w:rPr>
        <w:t>los</w:t>
      </w:r>
      <w:r w:rsidRPr="00AF29EE">
        <w:rPr>
          <w:rFonts w:ascii="Book Antiqua" w:eastAsia="Times New Roman" w:hAnsi="Book Antiqua" w:cs="Times New Roman"/>
          <w:bCs/>
          <w:sz w:val="24"/>
          <w:szCs w:val="24"/>
          <w:lang w:val="es-PR"/>
        </w:rPr>
        <w:t xml:space="preserve"> candidatos a retirar su propaganda inmediatamente después de la primaria, aun cuando result</w:t>
      </w:r>
      <w:r w:rsidR="008C7695">
        <w:rPr>
          <w:rFonts w:ascii="Book Antiqua" w:eastAsia="Times New Roman" w:hAnsi="Book Antiqua" w:cs="Times New Roman"/>
          <w:bCs/>
          <w:sz w:val="24"/>
          <w:szCs w:val="24"/>
          <w:lang w:val="es-PR"/>
        </w:rPr>
        <w:t>e</w:t>
      </w:r>
      <w:r w:rsidRPr="00AF29EE">
        <w:rPr>
          <w:rFonts w:ascii="Book Antiqua" w:eastAsia="Times New Roman" w:hAnsi="Book Antiqua" w:cs="Times New Roman"/>
          <w:bCs/>
          <w:sz w:val="24"/>
          <w:szCs w:val="24"/>
          <w:lang w:val="es-PR"/>
        </w:rPr>
        <w:t xml:space="preserve">n vencedores y </w:t>
      </w:r>
      <w:r w:rsidR="008C7695" w:rsidRPr="00AF29EE">
        <w:rPr>
          <w:rFonts w:ascii="Book Antiqua" w:eastAsia="Times New Roman" w:hAnsi="Book Antiqua" w:cs="Times New Roman"/>
          <w:bCs/>
          <w:sz w:val="24"/>
          <w:szCs w:val="24"/>
          <w:lang w:val="es-PR"/>
        </w:rPr>
        <w:t>conti</w:t>
      </w:r>
      <w:r w:rsidR="008C7695">
        <w:rPr>
          <w:rFonts w:ascii="Book Antiqua" w:eastAsia="Times New Roman" w:hAnsi="Book Antiqua" w:cs="Times New Roman"/>
          <w:bCs/>
          <w:sz w:val="24"/>
          <w:szCs w:val="24"/>
          <w:lang w:val="es-PR"/>
        </w:rPr>
        <w:t>núe</w:t>
      </w:r>
      <w:r w:rsidR="008C7695" w:rsidRPr="00AF29EE">
        <w:rPr>
          <w:rFonts w:ascii="Book Antiqua" w:eastAsia="Times New Roman" w:hAnsi="Book Antiqua" w:cs="Times New Roman"/>
          <w:bCs/>
          <w:sz w:val="24"/>
          <w:szCs w:val="24"/>
          <w:lang w:val="es-PR"/>
        </w:rPr>
        <w:t>n</w:t>
      </w:r>
      <w:r w:rsidRPr="00AF29EE">
        <w:rPr>
          <w:rFonts w:ascii="Book Antiqua" w:eastAsia="Times New Roman" w:hAnsi="Book Antiqua" w:cs="Times New Roman"/>
          <w:bCs/>
          <w:sz w:val="24"/>
          <w:szCs w:val="24"/>
          <w:lang w:val="es-PR"/>
        </w:rPr>
        <w:t xml:space="preserve"> </w:t>
      </w:r>
      <w:r w:rsidR="008C7695">
        <w:rPr>
          <w:rFonts w:ascii="Book Antiqua" w:eastAsia="Times New Roman" w:hAnsi="Book Antiqua" w:cs="Times New Roman"/>
          <w:bCs/>
          <w:sz w:val="24"/>
          <w:szCs w:val="24"/>
          <w:lang w:val="es-PR"/>
        </w:rPr>
        <w:t xml:space="preserve">en contienda </w:t>
      </w:r>
      <w:r w:rsidRPr="00AF29EE">
        <w:rPr>
          <w:rFonts w:ascii="Book Antiqua" w:eastAsia="Times New Roman" w:hAnsi="Book Antiqua" w:cs="Times New Roman"/>
          <w:bCs/>
          <w:sz w:val="24"/>
          <w:szCs w:val="24"/>
          <w:lang w:val="es-PR"/>
        </w:rPr>
        <w:t>hacia la elección general</w:t>
      </w:r>
      <w:r w:rsidR="008C7695">
        <w:rPr>
          <w:rFonts w:ascii="Book Antiqua" w:eastAsia="Times New Roman" w:hAnsi="Book Antiqua" w:cs="Times New Roman"/>
          <w:bCs/>
          <w:sz w:val="24"/>
          <w:szCs w:val="24"/>
          <w:lang w:val="es-PR"/>
        </w:rPr>
        <w:t>. Esto</w:t>
      </w:r>
      <w:r w:rsidRPr="00AF29EE">
        <w:rPr>
          <w:rFonts w:ascii="Book Antiqua" w:eastAsia="Times New Roman" w:hAnsi="Book Antiqua" w:cs="Times New Roman"/>
          <w:bCs/>
          <w:sz w:val="24"/>
          <w:szCs w:val="24"/>
          <w:lang w:val="es-PR"/>
        </w:rPr>
        <w:t xml:space="preserve"> ocasiona gastos innecesarios y afecta la continuidad del mensaje político dirigido al electorado.</w:t>
      </w:r>
    </w:p>
    <w:p w14:paraId="45735034" w14:textId="77777777" w:rsidR="00F30374" w:rsidRPr="00AF29EE" w:rsidRDefault="00F30374" w:rsidP="00AF29EE">
      <w:pPr>
        <w:snapToGrid w:val="0"/>
        <w:spacing w:after="0" w:line="360" w:lineRule="auto"/>
        <w:jc w:val="both"/>
        <w:rPr>
          <w:rFonts w:ascii="Book Antiqua" w:eastAsia="Times New Roman" w:hAnsi="Book Antiqua" w:cs="Times New Roman"/>
          <w:bCs/>
          <w:sz w:val="24"/>
          <w:szCs w:val="24"/>
          <w:lang w:val="es-PR"/>
        </w:rPr>
      </w:pPr>
    </w:p>
    <w:p w14:paraId="0A807D0C" w14:textId="2D5137C7" w:rsidR="00AF29EE" w:rsidRDefault="008C7695" w:rsidP="00F30374">
      <w:pPr>
        <w:snapToGrid w:val="0"/>
        <w:spacing w:after="0" w:line="360" w:lineRule="auto"/>
        <w:ind w:firstLine="720"/>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t>Por ello, según l</w:t>
      </w:r>
      <w:r w:rsidR="00AF29EE" w:rsidRPr="00AF29EE">
        <w:rPr>
          <w:rFonts w:ascii="Book Antiqua" w:eastAsia="Times New Roman" w:hAnsi="Book Antiqua" w:cs="Times New Roman"/>
          <w:bCs/>
          <w:sz w:val="24"/>
          <w:szCs w:val="24"/>
          <w:lang w:val="es-PR"/>
        </w:rPr>
        <w:t>a exposición de motivos la enmienda propuesta busca corregir esa situación al aclarar que la protección a la propaganda política aplica a todos los candidatos certificados por la Comisión Estatal de Elecciones desde el 1 de enero del año electoral hasta treinta días después de las Elecciones Generale</w:t>
      </w:r>
      <w:r>
        <w:rPr>
          <w:rFonts w:ascii="Book Antiqua" w:eastAsia="Times New Roman" w:hAnsi="Book Antiqua" w:cs="Times New Roman"/>
          <w:bCs/>
          <w:sz w:val="24"/>
          <w:szCs w:val="24"/>
          <w:lang w:val="es-PR"/>
        </w:rPr>
        <w:t>s, e</w:t>
      </w:r>
      <w:r w:rsidR="00AF29EE" w:rsidRPr="00AF29EE">
        <w:rPr>
          <w:rFonts w:ascii="Book Antiqua" w:eastAsia="Times New Roman" w:hAnsi="Book Antiqua" w:cs="Times New Roman"/>
          <w:bCs/>
          <w:sz w:val="24"/>
          <w:szCs w:val="24"/>
          <w:lang w:val="es-PR"/>
        </w:rPr>
        <w:t xml:space="preserve">n  caso de </w:t>
      </w:r>
      <w:r>
        <w:rPr>
          <w:rFonts w:ascii="Book Antiqua" w:eastAsia="Times New Roman" w:hAnsi="Book Antiqua" w:cs="Times New Roman"/>
          <w:bCs/>
          <w:sz w:val="24"/>
          <w:szCs w:val="24"/>
          <w:lang w:val="es-PR"/>
        </w:rPr>
        <w:t>haber prevalecido en</w:t>
      </w:r>
      <w:r w:rsidR="00AF29EE" w:rsidRPr="00AF29EE">
        <w:rPr>
          <w:rFonts w:ascii="Book Antiqua" w:eastAsia="Times New Roman" w:hAnsi="Book Antiqua" w:cs="Times New Roman"/>
          <w:bCs/>
          <w:sz w:val="24"/>
          <w:szCs w:val="24"/>
          <w:lang w:val="es-PR"/>
        </w:rPr>
        <w:t xml:space="preserve"> primarias.</w:t>
      </w:r>
      <w:r>
        <w:rPr>
          <w:rStyle w:val="FootnoteReference"/>
          <w:rFonts w:ascii="Book Antiqua" w:eastAsia="Times New Roman" w:hAnsi="Book Antiqua" w:cs="Times New Roman"/>
          <w:bCs/>
          <w:sz w:val="24"/>
          <w:szCs w:val="24"/>
          <w:lang w:val="es-PR"/>
        </w:rPr>
        <w:footnoteReference w:id="2"/>
      </w:r>
      <w:r w:rsidR="00AF29EE" w:rsidRPr="00AF29EE">
        <w:rPr>
          <w:rFonts w:ascii="Book Antiqua" w:eastAsia="Times New Roman" w:hAnsi="Book Antiqua" w:cs="Times New Roman"/>
          <w:bCs/>
          <w:sz w:val="24"/>
          <w:szCs w:val="24"/>
          <w:lang w:val="es-PR"/>
        </w:rPr>
        <w:t xml:space="preserve"> Con este cambio, se evitaría que un candidato victorioso deba remover su propaganda para luego reinstalarla dentro del mismo ciclo electoral.</w:t>
      </w:r>
    </w:p>
    <w:p w14:paraId="66A339D6" w14:textId="77777777" w:rsidR="00F30374" w:rsidRPr="00AF29EE" w:rsidRDefault="00F30374" w:rsidP="00AF29EE">
      <w:pPr>
        <w:snapToGrid w:val="0"/>
        <w:spacing w:after="0" w:line="360" w:lineRule="auto"/>
        <w:jc w:val="both"/>
        <w:rPr>
          <w:rFonts w:ascii="Book Antiqua" w:eastAsia="Times New Roman" w:hAnsi="Book Antiqua" w:cs="Times New Roman"/>
          <w:bCs/>
          <w:sz w:val="24"/>
          <w:szCs w:val="24"/>
          <w:lang w:val="es-PR"/>
        </w:rPr>
      </w:pPr>
    </w:p>
    <w:p w14:paraId="7E49ECF4" w14:textId="1CA51327" w:rsidR="00AF29EE" w:rsidRPr="00AF29EE" w:rsidRDefault="00AF29EE" w:rsidP="000124F7">
      <w:pPr>
        <w:snapToGrid w:val="0"/>
        <w:spacing w:after="0" w:line="360" w:lineRule="auto"/>
        <w:ind w:firstLine="720"/>
        <w:jc w:val="both"/>
        <w:rPr>
          <w:rFonts w:ascii="Book Antiqua" w:eastAsia="Times New Roman" w:hAnsi="Book Antiqua" w:cs="Times New Roman"/>
          <w:bCs/>
          <w:sz w:val="24"/>
          <w:szCs w:val="24"/>
          <w:lang w:val="es-PR"/>
        </w:rPr>
      </w:pPr>
      <w:r w:rsidRPr="00AF29EE">
        <w:rPr>
          <w:rFonts w:ascii="Book Antiqua" w:eastAsia="Times New Roman" w:hAnsi="Book Antiqua" w:cs="Times New Roman"/>
          <w:bCs/>
          <w:sz w:val="24"/>
          <w:szCs w:val="24"/>
          <w:lang w:val="es-PR"/>
        </w:rPr>
        <w:t>Finalmente, según expresa la exposición de motivos, la medida persigue promover un uso más eficiente de los recursos, brindar mayor certeza jurídica a candidatos y partidos, y facilitar un proceso electoral más ordenado, eliminando cargas innecesarias sobre quienes continúan en contienda luego de una primaria.</w:t>
      </w:r>
      <w:r w:rsidR="00536176">
        <w:rPr>
          <w:rStyle w:val="FootnoteReference"/>
          <w:rFonts w:ascii="Book Antiqua" w:eastAsia="Times New Roman" w:hAnsi="Book Antiqua" w:cs="Times New Roman"/>
          <w:bCs/>
          <w:sz w:val="24"/>
          <w:szCs w:val="24"/>
          <w:lang w:val="es-PR"/>
        </w:rPr>
        <w:footnoteReference w:id="3"/>
      </w:r>
    </w:p>
    <w:p w14:paraId="330F8570" w14:textId="77777777" w:rsidR="000F06A9" w:rsidRDefault="000F06A9" w:rsidP="000F06A9">
      <w:pPr>
        <w:snapToGrid w:val="0"/>
        <w:spacing w:after="0" w:line="360" w:lineRule="auto"/>
        <w:jc w:val="both"/>
        <w:rPr>
          <w:rFonts w:ascii="Book Antiqua" w:eastAsia="Times New Roman" w:hAnsi="Book Antiqua" w:cs="Times New Roman"/>
          <w:bCs/>
          <w:sz w:val="24"/>
          <w:szCs w:val="24"/>
          <w:lang w:val="es-PR"/>
        </w:rPr>
      </w:pPr>
    </w:p>
    <w:p w14:paraId="66CB8016" w14:textId="77777777" w:rsidR="008C7695" w:rsidRDefault="008C7695" w:rsidP="000F06A9">
      <w:pPr>
        <w:snapToGrid w:val="0"/>
        <w:spacing w:after="0" w:line="240" w:lineRule="auto"/>
        <w:jc w:val="center"/>
        <w:rPr>
          <w:rFonts w:ascii="Book Antiqua" w:eastAsia="Times New Roman" w:hAnsi="Book Antiqua" w:cs="Times New Roman"/>
          <w:b/>
          <w:sz w:val="24"/>
          <w:szCs w:val="24"/>
          <w:lang w:val="es-ES"/>
        </w:rPr>
      </w:pPr>
    </w:p>
    <w:p w14:paraId="4C8A031D" w14:textId="77777777" w:rsidR="008C7695" w:rsidRDefault="008C7695" w:rsidP="000F06A9">
      <w:pPr>
        <w:snapToGrid w:val="0"/>
        <w:spacing w:after="0" w:line="240" w:lineRule="auto"/>
        <w:jc w:val="center"/>
        <w:rPr>
          <w:rFonts w:ascii="Book Antiqua" w:eastAsia="Times New Roman" w:hAnsi="Book Antiqua" w:cs="Times New Roman"/>
          <w:b/>
          <w:sz w:val="24"/>
          <w:szCs w:val="24"/>
          <w:lang w:val="es-ES"/>
        </w:rPr>
      </w:pPr>
    </w:p>
    <w:p w14:paraId="3936E414" w14:textId="77777777" w:rsidR="008C7695" w:rsidRDefault="008C7695" w:rsidP="000F06A9">
      <w:pPr>
        <w:snapToGrid w:val="0"/>
        <w:spacing w:after="0" w:line="240" w:lineRule="auto"/>
        <w:jc w:val="center"/>
        <w:rPr>
          <w:rFonts w:ascii="Book Antiqua" w:eastAsia="Times New Roman" w:hAnsi="Book Antiqua" w:cs="Times New Roman"/>
          <w:b/>
          <w:sz w:val="24"/>
          <w:szCs w:val="24"/>
          <w:lang w:val="es-ES"/>
        </w:rPr>
      </w:pPr>
    </w:p>
    <w:p w14:paraId="595BAC22" w14:textId="77777777" w:rsidR="008C7695" w:rsidRDefault="008C7695" w:rsidP="000F06A9">
      <w:pPr>
        <w:snapToGrid w:val="0"/>
        <w:spacing w:after="0" w:line="240" w:lineRule="auto"/>
        <w:jc w:val="center"/>
        <w:rPr>
          <w:rFonts w:ascii="Book Antiqua" w:eastAsia="Times New Roman" w:hAnsi="Book Antiqua" w:cs="Times New Roman"/>
          <w:b/>
          <w:sz w:val="24"/>
          <w:szCs w:val="24"/>
          <w:lang w:val="es-ES"/>
        </w:rPr>
      </w:pPr>
    </w:p>
    <w:p w14:paraId="29FBD40D" w14:textId="09D8B31A" w:rsidR="00F7790D" w:rsidRDefault="007B2B0E" w:rsidP="000F06A9">
      <w:pPr>
        <w:snapToGrid w:val="0"/>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lastRenderedPageBreak/>
        <w:t>ANÁL</w:t>
      </w:r>
      <w:r w:rsidR="00F04019">
        <w:rPr>
          <w:rFonts w:ascii="Book Antiqua" w:eastAsia="Times New Roman" w:hAnsi="Book Antiqua" w:cs="Times New Roman"/>
          <w:b/>
          <w:sz w:val="24"/>
          <w:szCs w:val="24"/>
          <w:lang w:val="es-ES"/>
        </w:rPr>
        <w:t>I</w:t>
      </w:r>
      <w:r w:rsidRPr="00B66E92">
        <w:rPr>
          <w:rFonts w:ascii="Book Antiqua" w:eastAsia="Times New Roman" w:hAnsi="Book Antiqua" w:cs="Times New Roman"/>
          <w:b/>
          <w:sz w:val="24"/>
          <w:szCs w:val="24"/>
          <w:lang w:val="es-ES"/>
        </w:rPr>
        <w:t>SIS DE LA MEDIDA</w:t>
      </w:r>
    </w:p>
    <w:p w14:paraId="3CAB8F4B" w14:textId="77777777" w:rsidR="00536176" w:rsidRDefault="00536176" w:rsidP="000F06A9">
      <w:pPr>
        <w:snapToGrid w:val="0"/>
        <w:spacing w:after="0" w:line="240" w:lineRule="auto"/>
        <w:jc w:val="center"/>
        <w:rPr>
          <w:rFonts w:ascii="Book Antiqua" w:eastAsia="Times New Roman" w:hAnsi="Book Antiqua" w:cs="Times New Roman"/>
          <w:b/>
          <w:sz w:val="24"/>
          <w:szCs w:val="24"/>
          <w:lang w:val="es-ES"/>
        </w:rPr>
      </w:pPr>
    </w:p>
    <w:p w14:paraId="49A743C3" w14:textId="4F1D3B15" w:rsidR="00E804E4" w:rsidRDefault="00E804E4" w:rsidP="008C7695">
      <w:pPr>
        <w:snapToGrid w:val="0"/>
        <w:spacing w:after="0" w:line="360" w:lineRule="auto"/>
        <w:ind w:firstLine="720"/>
        <w:jc w:val="both"/>
        <w:rPr>
          <w:rFonts w:ascii="Book Antiqua" w:eastAsia="Times New Roman" w:hAnsi="Book Antiqua" w:cs="Times New Roman"/>
          <w:bCs/>
          <w:sz w:val="24"/>
          <w:szCs w:val="24"/>
          <w:lang w:val="es-PR"/>
        </w:rPr>
      </w:pPr>
      <w:r w:rsidRPr="00E804E4">
        <w:rPr>
          <w:rFonts w:ascii="Book Antiqua" w:eastAsia="Times New Roman" w:hAnsi="Book Antiqua" w:cs="Times New Roman"/>
          <w:bCs/>
          <w:sz w:val="24"/>
          <w:szCs w:val="24"/>
          <w:lang w:val="es-PR"/>
        </w:rPr>
        <w:t xml:space="preserve">Como parte del análisis y evaluación del </w:t>
      </w:r>
      <w:r w:rsidRPr="00653A1B">
        <w:rPr>
          <w:rFonts w:ascii="Book Antiqua" w:eastAsia="Times New Roman" w:hAnsi="Book Antiqua" w:cs="Times New Roman"/>
          <w:b/>
          <w:sz w:val="24"/>
          <w:szCs w:val="24"/>
          <w:lang w:val="es-PR"/>
        </w:rPr>
        <w:t xml:space="preserve">P. del S. 730 </w:t>
      </w:r>
      <w:r w:rsidRPr="00E804E4">
        <w:rPr>
          <w:rFonts w:ascii="Book Antiqua" w:eastAsia="Times New Roman" w:hAnsi="Book Antiqua" w:cs="Times New Roman"/>
          <w:bCs/>
          <w:sz w:val="24"/>
          <w:szCs w:val="24"/>
          <w:lang w:val="es-PR"/>
        </w:rPr>
        <w:t xml:space="preserve">incluidos en el presente informe, esta Comisión examinó los memoriales explicativos sometidos por la Asociación de </w:t>
      </w:r>
      <w:proofErr w:type="gramStart"/>
      <w:r w:rsidRPr="00E804E4">
        <w:rPr>
          <w:rFonts w:ascii="Book Antiqua" w:eastAsia="Times New Roman" w:hAnsi="Book Antiqua" w:cs="Times New Roman"/>
          <w:bCs/>
          <w:sz w:val="24"/>
          <w:szCs w:val="24"/>
          <w:lang w:val="es-PR"/>
        </w:rPr>
        <w:t>Alcaldes</w:t>
      </w:r>
      <w:proofErr w:type="gramEnd"/>
      <w:r w:rsidRPr="00E804E4">
        <w:rPr>
          <w:rFonts w:ascii="Book Antiqua" w:eastAsia="Times New Roman" w:hAnsi="Book Antiqua" w:cs="Times New Roman"/>
          <w:bCs/>
          <w:sz w:val="24"/>
          <w:szCs w:val="24"/>
          <w:lang w:val="es-PR"/>
        </w:rPr>
        <w:t xml:space="preserve"> de Puerto Rico y por la Comisión Estatal de Elecciones (CEE). Las observaciones y comentarios contenidos en dichos memoriales forman parte integral de este análisis y se resumen a continuación:</w:t>
      </w:r>
    </w:p>
    <w:p w14:paraId="220ADCF2" w14:textId="77777777" w:rsidR="000F06A9" w:rsidRDefault="000F06A9" w:rsidP="000F06A9">
      <w:pPr>
        <w:snapToGrid w:val="0"/>
        <w:spacing w:after="0" w:line="240" w:lineRule="auto"/>
        <w:jc w:val="center"/>
        <w:rPr>
          <w:rFonts w:ascii="Book Antiqua" w:eastAsia="Times New Roman" w:hAnsi="Book Antiqua" w:cs="Times New Roman"/>
          <w:b/>
          <w:sz w:val="24"/>
          <w:szCs w:val="24"/>
          <w:lang w:val="es-ES"/>
        </w:rPr>
      </w:pPr>
    </w:p>
    <w:p w14:paraId="64C0AC16" w14:textId="0188D017" w:rsidR="006A3A00" w:rsidRDefault="00DD5F65" w:rsidP="00DD5F65">
      <w:pPr>
        <w:snapToGrid w:val="0"/>
        <w:spacing w:after="0" w:line="240" w:lineRule="auto"/>
        <w:jc w:val="center"/>
        <w:rPr>
          <w:rFonts w:ascii="Book Antiqua" w:eastAsia="Times New Roman" w:hAnsi="Book Antiqua" w:cs="Times New Roman"/>
          <w:b/>
          <w:sz w:val="24"/>
          <w:szCs w:val="24"/>
          <w:u w:val="single"/>
          <w:lang w:val="es-PR"/>
        </w:rPr>
      </w:pPr>
      <w:r w:rsidRPr="00DD5F65">
        <w:rPr>
          <w:rFonts w:ascii="Book Antiqua" w:eastAsia="Times New Roman" w:hAnsi="Book Antiqua" w:cs="Times New Roman"/>
          <w:b/>
          <w:sz w:val="24"/>
          <w:szCs w:val="24"/>
          <w:u w:val="single"/>
          <w:lang w:val="es-PR"/>
        </w:rPr>
        <w:t xml:space="preserve">Asociación de </w:t>
      </w:r>
      <w:proofErr w:type="gramStart"/>
      <w:r w:rsidRPr="00DD5F65">
        <w:rPr>
          <w:rFonts w:ascii="Book Antiqua" w:eastAsia="Times New Roman" w:hAnsi="Book Antiqua" w:cs="Times New Roman"/>
          <w:b/>
          <w:sz w:val="24"/>
          <w:szCs w:val="24"/>
          <w:u w:val="single"/>
          <w:lang w:val="es-PR"/>
        </w:rPr>
        <w:t>Alcaldes</w:t>
      </w:r>
      <w:proofErr w:type="gramEnd"/>
      <w:r w:rsidRPr="00DD5F65">
        <w:rPr>
          <w:rFonts w:ascii="Book Antiqua" w:eastAsia="Times New Roman" w:hAnsi="Book Antiqua" w:cs="Times New Roman"/>
          <w:b/>
          <w:sz w:val="24"/>
          <w:szCs w:val="24"/>
          <w:u w:val="single"/>
          <w:lang w:val="es-PR"/>
        </w:rPr>
        <w:t xml:space="preserve"> de Puerto Rico</w:t>
      </w:r>
    </w:p>
    <w:p w14:paraId="78B142F0" w14:textId="77777777" w:rsidR="00DD5F65" w:rsidRDefault="00DD5F65" w:rsidP="00DD5F65">
      <w:pPr>
        <w:snapToGrid w:val="0"/>
        <w:spacing w:after="0" w:line="240" w:lineRule="auto"/>
        <w:jc w:val="center"/>
        <w:rPr>
          <w:rFonts w:ascii="Book Antiqua" w:eastAsia="Times New Roman" w:hAnsi="Book Antiqua" w:cs="Times New Roman"/>
          <w:b/>
          <w:sz w:val="24"/>
          <w:szCs w:val="24"/>
          <w:u w:val="single"/>
          <w:lang w:val="es-PR"/>
        </w:rPr>
      </w:pPr>
    </w:p>
    <w:p w14:paraId="5BBE28D7" w14:textId="77777777" w:rsidR="006A21A0" w:rsidRDefault="006A21A0" w:rsidP="00DD5F65">
      <w:pPr>
        <w:snapToGrid w:val="0"/>
        <w:spacing w:after="0" w:line="240" w:lineRule="auto"/>
        <w:jc w:val="center"/>
        <w:rPr>
          <w:rFonts w:ascii="Book Antiqua" w:eastAsia="Times New Roman" w:hAnsi="Book Antiqua" w:cs="Times New Roman"/>
          <w:b/>
          <w:sz w:val="24"/>
          <w:szCs w:val="24"/>
          <w:u w:val="single"/>
          <w:lang w:val="es-PR"/>
        </w:rPr>
      </w:pPr>
    </w:p>
    <w:p w14:paraId="64D3CE73" w14:textId="2302CC43" w:rsidR="00DD5F65" w:rsidRDefault="00DD5F65" w:rsidP="00DD5F65">
      <w:pPr>
        <w:snapToGrid w:val="0"/>
        <w:spacing w:after="0" w:line="360" w:lineRule="auto"/>
        <w:ind w:firstLine="720"/>
        <w:jc w:val="both"/>
        <w:rPr>
          <w:rFonts w:ascii="Book Antiqua" w:eastAsia="Times New Roman" w:hAnsi="Book Antiqua" w:cs="Times New Roman"/>
          <w:bCs/>
          <w:sz w:val="24"/>
          <w:szCs w:val="24"/>
          <w:lang w:val="es-PR"/>
        </w:rPr>
      </w:pPr>
      <w:r w:rsidRPr="00DD5F65">
        <w:rPr>
          <w:rFonts w:ascii="Book Antiqua" w:eastAsia="Times New Roman" w:hAnsi="Book Antiqua" w:cs="Times New Roman"/>
          <w:bCs/>
          <w:sz w:val="24"/>
          <w:szCs w:val="24"/>
          <w:lang w:val="es-PR"/>
        </w:rPr>
        <w:t xml:space="preserve">Según el memorial explicativo presentado por la Asociación de </w:t>
      </w:r>
      <w:proofErr w:type="gramStart"/>
      <w:r w:rsidRPr="00DD5F65">
        <w:rPr>
          <w:rFonts w:ascii="Book Antiqua" w:eastAsia="Times New Roman" w:hAnsi="Book Antiqua" w:cs="Times New Roman"/>
          <w:bCs/>
          <w:sz w:val="24"/>
          <w:szCs w:val="24"/>
          <w:lang w:val="es-PR"/>
        </w:rPr>
        <w:t>Alcaldes</w:t>
      </w:r>
      <w:proofErr w:type="gramEnd"/>
      <w:r w:rsidRPr="00DD5F65">
        <w:rPr>
          <w:rFonts w:ascii="Book Antiqua" w:eastAsia="Times New Roman" w:hAnsi="Book Antiqua" w:cs="Times New Roman"/>
          <w:bCs/>
          <w:sz w:val="24"/>
          <w:szCs w:val="24"/>
          <w:lang w:val="es-PR"/>
        </w:rPr>
        <w:t xml:space="preserve"> de Puerto Rico, la entidad no tiene objeciones a la enmienda propuesta en el P. del S. 730 y coincide en que la medida contribuye a proteger la limpieza y la estética de los municipios. Señalan que varios ayuntamientos incluso han aprobado ordenanzas para limitar la colocación de propaganda a tablones de expresión pública, con el fin de preservar la claridad visual y el orden en los espacios urbanos.</w:t>
      </w:r>
      <w:r w:rsidR="008C7695">
        <w:rPr>
          <w:rStyle w:val="FootnoteReference"/>
          <w:rFonts w:ascii="Book Antiqua" w:eastAsia="Times New Roman" w:hAnsi="Book Antiqua" w:cs="Times New Roman"/>
          <w:bCs/>
          <w:sz w:val="24"/>
          <w:szCs w:val="24"/>
          <w:lang w:val="es-PR"/>
        </w:rPr>
        <w:footnoteReference w:id="4"/>
      </w:r>
    </w:p>
    <w:p w14:paraId="2327A949" w14:textId="77777777" w:rsidR="00F30374" w:rsidRPr="00DD5F65" w:rsidRDefault="00F30374" w:rsidP="00DD5F65">
      <w:pPr>
        <w:snapToGrid w:val="0"/>
        <w:spacing w:after="0" w:line="360" w:lineRule="auto"/>
        <w:ind w:firstLine="720"/>
        <w:jc w:val="both"/>
        <w:rPr>
          <w:rFonts w:ascii="Book Antiqua" w:eastAsia="Times New Roman" w:hAnsi="Book Antiqua" w:cs="Times New Roman"/>
          <w:bCs/>
          <w:sz w:val="24"/>
          <w:szCs w:val="24"/>
          <w:lang w:val="es-PR"/>
        </w:rPr>
      </w:pPr>
    </w:p>
    <w:p w14:paraId="2CA41068" w14:textId="1FCBC8E5" w:rsidR="00DD5F65" w:rsidRDefault="00DD5F65" w:rsidP="00DD5F65">
      <w:pPr>
        <w:snapToGrid w:val="0"/>
        <w:spacing w:after="0" w:line="360" w:lineRule="auto"/>
        <w:ind w:firstLine="720"/>
        <w:jc w:val="both"/>
        <w:rPr>
          <w:rFonts w:ascii="Book Antiqua" w:eastAsia="Times New Roman" w:hAnsi="Book Antiqua" w:cs="Times New Roman"/>
          <w:bCs/>
          <w:sz w:val="24"/>
          <w:szCs w:val="24"/>
          <w:lang w:val="es-PR"/>
        </w:rPr>
      </w:pPr>
      <w:r w:rsidRPr="00DD5F65">
        <w:rPr>
          <w:rFonts w:ascii="Book Antiqua" w:eastAsia="Times New Roman" w:hAnsi="Book Antiqua" w:cs="Times New Roman"/>
          <w:bCs/>
          <w:sz w:val="24"/>
          <w:szCs w:val="24"/>
          <w:lang w:val="es-PR"/>
        </w:rPr>
        <w:t>De acuerdo con la Asociación, aunque el Código Electoral impone a los candidatos la obligación de retirar su propaganda, en la práctica esta disposición rara vez se cumple, lo que obliga a los municipios a asumir dicha tarea con sus propios recursos. Además, la posibilidad de cobrar por la remoción, contemplada en el Código, resulta inefectiva y no se materializa.</w:t>
      </w:r>
      <w:r w:rsidR="008C7695">
        <w:rPr>
          <w:rStyle w:val="FootnoteReference"/>
          <w:rFonts w:ascii="Book Antiqua" w:eastAsia="Times New Roman" w:hAnsi="Book Antiqua" w:cs="Times New Roman"/>
          <w:bCs/>
          <w:sz w:val="24"/>
          <w:szCs w:val="24"/>
          <w:lang w:val="es-PR"/>
        </w:rPr>
        <w:footnoteReference w:id="5"/>
      </w:r>
    </w:p>
    <w:p w14:paraId="3D65A9F3" w14:textId="77777777" w:rsidR="00F30374" w:rsidRPr="00DD5F65" w:rsidRDefault="00F30374" w:rsidP="00DD5F65">
      <w:pPr>
        <w:snapToGrid w:val="0"/>
        <w:spacing w:after="0" w:line="360" w:lineRule="auto"/>
        <w:ind w:firstLine="720"/>
        <w:jc w:val="both"/>
        <w:rPr>
          <w:rFonts w:ascii="Book Antiqua" w:eastAsia="Times New Roman" w:hAnsi="Book Antiqua" w:cs="Times New Roman"/>
          <w:bCs/>
          <w:sz w:val="24"/>
          <w:szCs w:val="24"/>
          <w:lang w:val="es-PR"/>
        </w:rPr>
      </w:pPr>
    </w:p>
    <w:p w14:paraId="2D163E93" w14:textId="1341A04D" w:rsidR="00DD5F65" w:rsidRDefault="00DD5F65" w:rsidP="00DD5F65">
      <w:pPr>
        <w:snapToGrid w:val="0"/>
        <w:spacing w:after="0" w:line="360" w:lineRule="auto"/>
        <w:ind w:firstLine="720"/>
        <w:jc w:val="both"/>
        <w:rPr>
          <w:rFonts w:ascii="Book Antiqua" w:eastAsia="Times New Roman" w:hAnsi="Book Antiqua" w:cs="Times New Roman"/>
          <w:bCs/>
          <w:sz w:val="24"/>
          <w:szCs w:val="24"/>
          <w:lang w:val="es-PR"/>
        </w:rPr>
      </w:pPr>
      <w:r w:rsidRPr="00DD5F65">
        <w:rPr>
          <w:rFonts w:ascii="Book Antiqua" w:eastAsia="Times New Roman" w:hAnsi="Book Antiqua" w:cs="Times New Roman"/>
          <w:bCs/>
          <w:sz w:val="24"/>
          <w:szCs w:val="24"/>
          <w:lang w:val="es-PR"/>
        </w:rPr>
        <w:t xml:space="preserve">Ante esta realidad, la Asociación de </w:t>
      </w:r>
      <w:proofErr w:type="gramStart"/>
      <w:r w:rsidRPr="00DD5F65">
        <w:rPr>
          <w:rFonts w:ascii="Book Antiqua" w:eastAsia="Times New Roman" w:hAnsi="Book Antiqua" w:cs="Times New Roman"/>
          <w:bCs/>
          <w:sz w:val="24"/>
          <w:szCs w:val="24"/>
          <w:lang w:val="es-PR"/>
        </w:rPr>
        <w:t>Alcaldes</w:t>
      </w:r>
      <w:proofErr w:type="gramEnd"/>
      <w:r w:rsidRPr="00DD5F65">
        <w:rPr>
          <w:rFonts w:ascii="Book Antiqua" w:eastAsia="Times New Roman" w:hAnsi="Book Antiqua" w:cs="Times New Roman"/>
          <w:bCs/>
          <w:sz w:val="24"/>
          <w:szCs w:val="24"/>
          <w:lang w:val="es-PR"/>
        </w:rPr>
        <w:t xml:space="preserve"> propone incluir una enmienda adicional al Código que requiera a los candidatos depositar una fianza en el municipio correspondiente para garantizar la remoción de su propaganda. Si el candidato incumple, la municipalidad utilizaría la fianza para cubrir los costos incurridos; si cumple, la fianza </w:t>
      </w:r>
      <w:r w:rsidRPr="00DD5F65">
        <w:rPr>
          <w:rFonts w:ascii="Book Antiqua" w:eastAsia="Times New Roman" w:hAnsi="Book Antiqua" w:cs="Times New Roman"/>
          <w:bCs/>
          <w:sz w:val="24"/>
          <w:szCs w:val="24"/>
          <w:lang w:val="es-PR"/>
        </w:rPr>
        <w:lastRenderedPageBreak/>
        <w:t>sería devuelta. Asimismo, recomiendan que los municipios establezcan la cuantía de la fianza mediante ordenanza y que no se permita la instalación de propaganda sin este requisito.</w:t>
      </w:r>
      <w:r>
        <w:rPr>
          <w:rStyle w:val="FootnoteReference"/>
          <w:rFonts w:ascii="Book Antiqua" w:eastAsia="Times New Roman" w:hAnsi="Book Antiqua" w:cs="Times New Roman"/>
          <w:bCs/>
          <w:sz w:val="24"/>
          <w:szCs w:val="24"/>
          <w:lang w:val="es-PR"/>
        </w:rPr>
        <w:footnoteReference w:id="6"/>
      </w:r>
    </w:p>
    <w:p w14:paraId="59C001C8" w14:textId="77777777" w:rsidR="006A21A0" w:rsidRDefault="006A21A0" w:rsidP="00DD5F65">
      <w:pPr>
        <w:snapToGrid w:val="0"/>
        <w:spacing w:after="0" w:line="360" w:lineRule="auto"/>
        <w:ind w:firstLine="720"/>
        <w:jc w:val="both"/>
        <w:rPr>
          <w:rFonts w:ascii="Book Antiqua" w:eastAsia="Times New Roman" w:hAnsi="Book Antiqua" w:cs="Times New Roman"/>
          <w:bCs/>
          <w:sz w:val="24"/>
          <w:szCs w:val="24"/>
          <w:lang w:val="es-PR"/>
        </w:rPr>
      </w:pPr>
    </w:p>
    <w:p w14:paraId="64FCDAB1" w14:textId="065577B7" w:rsidR="00DD5F65" w:rsidRDefault="00DD5F65" w:rsidP="00DD5F65">
      <w:pPr>
        <w:snapToGrid w:val="0"/>
        <w:spacing w:after="0" w:line="360" w:lineRule="auto"/>
        <w:ind w:firstLine="720"/>
        <w:jc w:val="center"/>
        <w:rPr>
          <w:rFonts w:ascii="Book Antiqua" w:eastAsia="Times New Roman" w:hAnsi="Book Antiqua" w:cs="Times New Roman"/>
          <w:b/>
          <w:sz w:val="24"/>
          <w:szCs w:val="24"/>
          <w:u w:val="single"/>
          <w:lang w:val="es-PR"/>
        </w:rPr>
      </w:pPr>
      <w:r w:rsidRPr="00DD5F65">
        <w:rPr>
          <w:rFonts w:ascii="Book Antiqua" w:eastAsia="Times New Roman" w:hAnsi="Book Antiqua" w:cs="Times New Roman"/>
          <w:b/>
          <w:sz w:val="24"/>
          <w:szCs w:val="24"/>
          <w:u w:val="single"/>
          <w:lang w:val="es-PR"/>
        </w:rPr>
        <w:t>Comisión Estatal de Elecciones (CEE)</w:t>
      </w:r>
    </w:p>
    <w:p w14:paraId="70D8C8F3" w14:textId="77777777" w:rsidR="00E804E4" w:rsidRDefault="00E804E4" w:rsidP="00DD5F65">
      <w:pPr>
        <w:snapToGrid w:val="0"/>
        <w:spacing w:after="0" w:line="360" w:lineRule="auto"/>
        <w:ind w:firstLine="720"/>
        <w:jc w:val="center"/>
        <w:rPr>
          <w:rFonts w:ascii="Book Antiqua" w:eastAsia="Times New Roman" w:hAnsi="Book Antiqua" w:cs="Times New Roman"/>
          <w:b/>
          <w:sz w:val="24"/>
          <w:szCs w:val="24"/>
          <w:u w:val="single"/>
          <w:lang w:val="es-PR"/>
        </w:rPr>
      </w:pPr>
    </w:p>
    <w:p w14:paraId="53595C3A" w14:textId="7E7FDE32" w:rsidR="00DD5F65" w:rsidRDefault="00DD5F65" w:rsidP="00DD5F65">
      <w:pPr>
        <w:snapToGrid w:val="0"/>
        <w:spacing w:after="0" w:line="360" w:lineRule="auto"/>
        <w:ind w:firstLine="720"/>
        <w:jc w:val="both"/>
        <w:rPr>
          <w:rFonts w:ascii="Book Antiqua" w:eastAsia="Times New Roman" w:hAnsi="Book Antiqua" w:cs="Times New Roman"/>
          <w:bCs/>
          <w:sz w:val="24"/>
          <w:szCs w:val="24"/>
          <w:lang w:val="es-PR"/>
        </w:rPr>
      </w:pPr>
      <w:r w:rsidRPr="00DD5F65">
        <w:rPr>
          <w:rFonts w:ascii="Book Antiqua" w:eastAsia="Times New Roman" w:hAnsi="Book Antiqua" w:cs="Times New Roman"/>
          <w:bCs/>
          <w:sz w:val="24"/>
          <w:szCs w:val="24"/>
          <w:lang w:val="es-PR"/>
        </w:rPr>
        <w:t>Según el memorial explicativo de la Comisión Estatal de Elecciones (CEE), la agencia entiende que la enmienda propuesta al Artículo 12.20 introduce elementos que no corresponden a la naturaleza penal de esa disposición. Explican que el artículo vigente se limita a tipificar como delito el acto de arrancar o dañar propaganda política y que, al añadir lenguaje relacionado con la vigencia o protección temporal de dicha propaganda en año electoral, se mezclan disposiciones penales con normas de carácter administrativo o regulatorio, lo que podría generar confusión interpretativa.</w:t>
      </w:r>
      <w:r w:rsidR="008C7695">
        <w:rPr>
          <w:rStyle w:val="FootnoteReference"/>
          <w:rFonts w:ascii="Book Antiqua" w:eastAsia="Times New Roman" w:hAnsi="Book Antiqua" w:cs="Times New Roman"/>
          <w:bCs/>
          <w:sz w:val="24"/>
          <w:szCs w:val="24"/>
          <w:lang w:val="es-PR"/>
        </w:rPr>
        <w:footnoteReference w:id="7"/>
      </w:r>
    </w:p>
    <w:p w14:paraId="721EE5BA" w14:textId="77777777" w:rsidR="006A21A0" w:rsidRPr="00DD5F65" w:rsidRDefault="006A21A0" w:rsidP="00DD5F65">
      <w:pPr>
        <w:snapToGrid w:val="0"/>
        <w:spacing w:after="0" w:line="360" w:lineRule="auto"/>
        <w:ind w:firstLine="720"/>
        <w:jc w:val="both"/>
        <w:rPr>
          <w:rFonts w:ascii="Book Antiqua" w:eastAsia="Times New Roman" w:hAnsi="Book Antiqua" w:cs="Times New Roman"/>
          <w:bCs/>
          <w:sz w:val="24"/>
          <w:szCs w:val="24"/>
          <w:lang w:val="es-PR"/>
        </w:rPr>
      </w:pPr>
    </w:p>
    <w:p w14:paraId="2633F5A3" w14:textId="1567F8D8" w:rsidR="00DD5F65" w:rsidRDefault="00DD5F65" w:rsidP="00DD5F65">
      <w:pPr>
        <w:snapToGrid w:val="0"/>
        <w:spacing w:after="0" w:line="360" w:lineRule="auto"/>
        <w:ind w:firstLine="720"/>
        <w:jc w:val="both"/>
        <w:rPr>
          <w:rFonts w:ascii="Book Antiqua" w:eastAsia="Times New Roman" w:hAnsi="Book Antiqua" w:cs="Times New Roman"/>
          <w:bCs/>
          <w:sz w:val="24"/>
          <w:szCs w:val="24"/>
          <w:lang w:val="es-PR"/>
        </w:rPr>
      </w:pPr>
      <w:r w:rsidRPr="00DD5F65">
        <w:rPr>
          <w:rFonts w:ascii="Book Antiqua" w:eastAsia="Times New Roman" w:hAnsi="Book Antiqua" w:cs="Times New Roman"/>
          <w:bCs/>
          <w:sz w:val="24"/>
          <w:szCs w:val="24"/>
          <w:lang w:val="es-PR"/>
        </w:rPr>
        <w:t>La CEE señala que, si la Asamblea Legislativa considera necesario atender la protección de propaganda para candidatos que prevalecen en primarias, resultaría más adecuado insertar un lenguaje aclaratorio en el Artículo 12.21 o incorporarlo en un nuevo artículo dentro del mismo capítulo, evitando así alterar la estructura penal del Artículo 12.20. Alternativamente, propone que el artículo vigente se modifique únicamente para aclarar que la penalidad aplica cuando se arranca o daña propaganda de forma ilegal o en contravención al Código Electoral u otras leyes aplicables. Esto, según la CEE, permitiría conservar el carácter penal de la disposición y a la vez reforzar su coherencia y aplicabilidad.</w:t>
      </w:r>
      <w:r w:rsidR="008C7695">
        <w:rPr>
          <w:rStyle w:val="FootnoteReference"/>
          <w:rFonts w:ascii="Book Antiqua" w:eastAsia="Times New Roman" w:hAnsi="Book Antiqua" w:cs="Times New Roman"/>
          <w:bCs/>
          <w:sz w:val="24"/>
          <w:szCs w:val="24"/>
          <w:lang w:val="es-PR"/>
        </w:rPr>
        <w:footnoteReference w:id="8"/>
      </w:r>
    </w:p>
    <w:p w14:paraId="11443C0A" w14:textId="77777777" w:rsidR="00F30374" w:rsidRPr="00DD5F65" w:rsidRDefault="00F30374" w:rsidP="00DD5F65">
      <w:pPr>
        <w:snapToGrid w:val="0"/>
        <w:spacing w:after="0" w:line="360" w:lineRule="auto"/>
        <w:ind w:firstLine="720"/>
        <w:jc w:val="both"/>
        <w:rPr>
          <w:rFonts w:ascii="Book Antiqua" w:eastAsia="Times New Roman" w:hAnsi="Book Antiqua" w:cs="Times New Roman"/>
          <w:bCs/>
          <w:sz w:val="24"/>
          <w:szCs w:val="24"/>
          <w:lang w:val="es-PR"/>
        </w:rPr>
      </w:pPr>
    </w:p>
    <w:p w14:paraId="32633C84" w14:textId="4744CFE9" w:rsidR="00DD5F65" w:rsidRDefault="00DD5F65" w:rsidP="00DD5F65">
      <w:pPr>
        <w:snapToGrid w:val="0"/>
        <w:spacing w:after="0" w:line="360" w:lineRule="auto"/>
        <w:ind w:firstLine="720"/>
        <w:jc w:val="both"/>
        <w:rPr>
          <w:rFonts w:ascii="Book Antiqua" w:eastAsia="Times New Roman" w:hAnsi="Book Antiqua" w:cs="Times New Roman"/>
          <w:bCs/>
          <w:sz w:val="24"/>
          <w:szCs w:val="24"/>
          <w:lang w:val="es-PR"/>
        </w:rPr>
      </w:pPr>
      <w:r w:rsidRPr="00DD5F65">
        <w:rPr>
          <w:rFonts w:ascii="Book Antiqua" w:eastAsia="Times New Roman" w:hAnsi="Book Antiqua" w:cs="Times New Roman"/>
          <w:bCs/>
          <w:sz w:val="24"/>
          <w:szCs w:val="24"/>
          <w:lang w:val="es-PR"/>
        </w:rPr>
        <w:lastRenderedPageBreak/>
        <w:t>Respecto a la enmienda al Artículo 12.21, la CEE indica que no tiene objeciones, ya que la propuesta reafirma la obligación de remover propaganda política luego de cada evento electoral sin alterar el propósito original del artículo ni crear inconsistencias con otras disposiciones del Código. Finalmente, la CEE puntualiza que sus observaciones se presentan con un fin técnico y operativo, reiterando que la interpretación y determinación sobre enmendar la ley corresponde a la Asamblea Legislativa y que, de aprobarse la medida, la Comisión implementará las nuevas disposiciones conforme a su responsabilidad ministerial.</w:t>
      </w:r>
      <w:r>
        <w:rPr>
          <w:rStyle w:val="FootnoteReference"/>
          <w:rFonts w:ascii="Book Antiqua" w:eastAsia="Times New Roman" w:hAnsi="Book Antiqua" w:cs="Times New Roman"/>
          <w:bCs/>
          <w:sz w:val="24"/>
          <w:szCs w:val="24"/>
          <w:lang w:val="es-PR"/>
        </w:rPr>
        <w:footnoteReference w:id="9"/>
      </w:r>
    </w:p>
    <w:p w14:paraId="4AD59744" w14:textId="77777777" w:rsidR="006A21A0" w:rsidRPr="00DD5F65" w:rsidRDefault="006A21A0" w:rsidP="00DD5F65">
      <w:pPr>
        <w:snapToGrid w:val="0"/>
        <w:spacing w:after="0" w:line="360" w:lineRule="auto"/>
        <w:ind w:firstLine="720"/>
        <w:jc w:val="both"/>
        <w:rPr>
          <w:rFonts w:ascii="Book Antiqua" w:eastAsia="Times New Roman" w:hAnsi="Book Antiqua" w:cs="Times New Roman"/>
          <w:bCs/>
          <w:sz w:val="24"/>
          <w:szCs w:val="24"/>
          <w:lang w:val="es-PR"/>
        </w:rPr>
      </w:pPr>
    </w:p>
    <w:p w14:paraId="4D69DC2C" w14:textId="4E2FFC72" w:rsidR="00DD5F65" w:rsidRDefault="00A357B9" w:rsidP="00A357B9">
      <w:pPr>
        <w:snapToGrid w:val="0"/>
        <w:spacing w:after="0" w:line="360" w:lineRule="auto"/>
        <w:ind w:firstLine="720"/>
        <w:jc w:val="center"/>
        <w:rPr>
          <w:rFonts w:ascii="Book Antiqua" w:eastAsia="Times New Roman" w:hAnsi="Book Antiqua" w:cs="Times New Roman"/>
          <w:b/>
          <w:sz w:val="24"/>
          <w:szCs w:val="24"/>
          <w:lang w:val="es-PR"/>
        </w:rPr>
      </w:pPr>
      <w:r w:rsidRPr="00A357B9">
        <w:rPr>
          <w:rFonts w:ascii="Book Antiqua" w:eastAsia="Times New Roman" w:hAnsi="Book Antiqua" w:cs="Times New Roman"/>
          <w:b/>
          <w:sz w:val="24"/>
          <w:szCs w:val="24"/>
          <w:lang w:val="es-PR"/>
        </w:rPr>
        <w:t>HALLAZGOS Y RECOMENDACIONES</w:t>
      </w:r>
    </w:p>
    <w:p w14:paraId="180D0EAF" w14:textId="77777777" w:rsidR="00F30374" w:rsidRDefault="00F30374" w:rsidP="00A357B9">
      <w:pPr>
        <w:snapToGrid w:val="0"/>
        <w:spacing w:after="0" w:line="360" w:lineRule="auto"/>
        <w:ind w:firstLine="720"/>
        <w:jc w:val="center"/>
        <w:rPr>
          <w:rFonts w:ascii="Book Antiqua" w:eastAsia="Times New Roman" w:hAnsi="Book Antiqua" w:cs="Times New Roman"/>
          <w:b/>
          <w:sz w:val="24"/>
          <w:szCs w:val="24"/>
          <w:lang w:val="es-PR"/>
        </w:rPr>
      </w:pPr>
    </w:p>
    <w:p w14:paraId="4D952EA7" w14:textId="644F2C8B" w:rsidR="00E804E4" w:rsidRDefault="00536176" w:rsidP="00536176">
      <w:pPr>
        <w:snapToGrid w:val="0"/>
        <w:spacing w:after="0" w:line="360" w:lineRule="auto"/>
        <w:ind w:firstLine="720"/>
        <w:jc w:val="both"/>
        <w:rPr>
          <w:rFonts w:ascii="Book Antiqua" w:eastAsia="Times New Roman" w:hAnsi="Book Antiqua" w:cs="Times New Roman"/>
          <w:bCs/>
          <w:sz w:val="24"/>
          <w:szCs w:val="24"/>
          <w:lang w:val="es-PR"/>
        </w:rPr>
      </w:pPr>
      <w:r w:rsidRPr="00536176">
        <w:rPr>
          <w:rFonts w:ascii="Book Antiqua" w:eastAsia="Times New Roman" w:hAnsi="Book Antiqua" w:cs="Times New Roman"/>
          <w:bCs/>
          <w:sz w:val="24"/>
          <w:szCs w:val="24"/>
          <w:lang w:val="es-PR"/>
        </w:rPr>
        <w:t xml:space="preserve">Como parte del análisis y evaluación de la medida, esta Comisión examinó el texto propuesto en el P. del S. 730 junto con su exposición de motivos, así como los memoriales explicativos presentados por la Asociación de </w:t>
      </w:r>
      <w:proofErr w:type="gramStart"/>
      <w:r w:rsidRPr="00536176">
        <w:rPr>
          <w:rFonts w:ascii="Book Antiqua" w:eastAsia="Times New Roman" w:hAnsi="Book Antiqua" w:cs="Times New Roman"/>
          <w:bCs/>
          <w:sz w:val="24"/>
          <w:szCs w:val="24"/>
          <w:lang w:val="es-PR"/>
        </w:rPr>
        <w:t>Alcaldes</w:t>
      </w:r>
      <w:proofErr w:type="gramEnd"/>
      <w:r w:rsidRPr="00536176">
        <w:rPr>
          <w:rFonts w:ascii="Book Antiqua" w:eastAsia="Times New Roman" w:hAnsi="Book Antiqua" w:cs="Times New Roman"/>
          <w:bCs/>
          <w:sz w:val="24"/>
          <w:szCs w:val="24"/>
          <w:lang w:val="es-PR"/>
        </w:rPr>
        <w:t xml:space="preserve"> de Puerto Rico y por la Comisión Estatal de Elecciones (CEE). Este análisis se llevó a cabo en armonía con el trámite legislativo del P. del S. 717, proyecto en el cual fueron incorporadas las enmiendas que aquí se proponen como parte de un esfuerzo integral de reforma electoral.</w:t>
      </w:r>
      <w:r>
        <w:rPr>
          <w:rStyle w:val="FootnoteReference"/>
          <w:rFonts w:ascii="Book Antiqua" w:eastAsia="Times New Roman" w:hAnsi="Book Antiqua" w:cs="Times New Roman"/>
          <w:bCs/>
          <w:sz w:val="24"/>
          <w:szCs w:val="24"/>
          <w:lang w:val="es-PR"/>
        </w:rPr>
        <w:footnoteReference w:id="10"/>
      </w:r>
      <w:r w:rsidRPr="00536176">
        <w:rPr>
          <w:rFonts w:ascii="Book Antiqua" w:eastAsia="Times New Roman" w:hAnsi="Book Antiqua" w:cs="Times New Roman"/>
          <w:bCs/>
          <w:sz w:val="24"/>
          <w:szCs w:val="24"/>
          <w:lang w:val="es-PR"/>
        </w:rPr>
        <w:t xml:space="preserve"> A partir de este examen, la Comisión formula los siguientes hallazgos y recomendaciones.</w:t>
      </w:r>
    </w:p>
    <w:p w14:paraId="36DCFC8F" w14:textId="77777777" w:rsidR="00F30374" w:rsidRPr="00536176" w:rsidRDefault="00F30374" w:rsidP="00536176">
      <w:pPr>
        <w:snapToGrid w:val="0"/>
        <w:spacing w:after="0" w:line="360" w:lineRule="auto"/>
        <w:ind w:firstLine="720"/>
        <w:jc w:val="both"/>
        <w:rPr>
          <w:rFonts w:ascii="Book Antiqua" w:eastAsia="Times New Roman" w:hAnsi="Book Antiqua" w:cs="Times New Roman"/>
          <w:bCs/>
          <w:sz w:val="24"/>
          <w:szCs w:val="24"/>
          <w:lang w:val="es-PR"/>
        </w:rPr>
      </w:pPr>
    </w:p>
    <w:p w14:paraId="3CD86AE3" w14:textId="41696E42" w:rsidR="00A357B9" w:rsidRDefault="00A357B9" w:rsidP="00A357B9">
      <w:pPr>
        <w:snapToGrid w:val="0"/>
        <w:spacing w:after="0" w:line="360" w:lineRule="auto"/>
        <w:ind w:firstLine="720"/>
        <w:jc w:val="both"/>
        <w:rPr>
          <w:rFonts w:ascii="Book Antiqua" w:eastAsia="Times New Roman" w:hAnsi="Book Antiqua" w:cs="Times New Roman"/>
          <w:bCs/>
          <w:sz w:val="24"/>
          <w:szCs w:val="24"/>
          <w:lang w:val="es-PR"/>
        </w:rPr>
      </w:pPr>
      <w:r w:rsidRPr="00A357B9">
        <w:rPr>
          <w:rFonts w:ascii="Book Antiqua" w:eastAsia="Times New Roman" w:hAnsi="Book Antiqua" w:cs="Times New Roman"/>
          <w:bCs/>
          <w:sz w:val="24"/>
          <w:szCs w:val="24"/>
          <w:lang w:val="es-PR"/>
        </w:rPr>
        <w:t xml:space="preserve">El P. del S. 730 fue presentado </w:t>
      </w:r>
      <w:r w:rsidR="00DD340F" w:rsidRPr="00DD340F">
        <w:rPr>
          <w:rFonts w:ascii="Book Antiqua" w:eastAsia="Times New Roman" w:hAnsi="Book Antiqua" w:cs="Times New Roman"/>
          <w:bCs/>
          <w:sz w:val="24"/>
          <w:szCs w:val="24"/>
          <w:lang w:val="es-PR"/>
        </w:rPr>
        <w:t xml:space="preserve">por el senador </w:t>
      </w:r>
      <w:r w:rsidR="00DD340F">
        <w:rPr>
          <w:rFonts w:ascii="Book Antiqua" w:eastAsia="Times New Roman" w:hAnsi="Book Antiqua" w:cs="Times New Roman"/>
          <w:bCs/>
          <w:sz w:val="24"/>
          <w:szCs w:val="24"/>
          <w:lang w:val="es-PR"/>
        </w:rPr>
        <w:t xml:space="preserve">Wilmer </w:t>
      </w:r>
      <w:r w:rsidR="00DD340F" w:rsidRPr="00DD340F">
        <w:rPr>
          <w:rFonts w:ascii="Book Antiqua" w:eastAsia="Times New Roman" w:hAnsi="Book Antiqua" w:cs="Times New Roman"/>
          <w:bCs/>
          <w:sz w:val="24"/>
          <w:szCs w:val="24"/>
          <w:lang w:val="es-PR"/>
        </w:rPr>
        <w:t>Reyes Berríos</w:t>
      </w:r>
      <w:r w:rsidR="00DD340F">
        <w:rPr>
          <w:rFonts w:ascii="Book Antiqua" w:eastAsia="Times New Roman" w:hAnsi="Book Antiqua" w:cs="Times New Roman"/>
          <w:bCs/>
          <w:sz w:val="24"/>
          <w:szCs w:val="24"/>
          <w:lang w:val="es-PR"/>
        </w:rPr>
        <w:t xml:space="preserve"> </w:t>
      </w:r>
      <w:r w:rsidRPr="00A357B9">
        <w:rPr>
          <w:rFonts w:ascii="Book Antiqua" w:eastAsia="Times New Roman" w:hAnsi="Book Antiqua" w:cs="Times New Roman"/>
          <w:bCs/>
          <w:sz w:val="24"/>
          <w:szCs w:val="24"/>
          <w:lang w:val="es-PR"/>
        </w:rPr>
        <w:t>el 18 de septiembre de 2025 y referido a esta Comisión para su análisis y evaluación. La medida surge en respuesta a un problema operativo identificado por candidatos y municipios: la obligación actual de remover la propaganda inmediatamente después de una primaria, aun en los casos en que los candidatos prevalecen y continúan en la contienda general.</w:t>
      </w:r>
    </w:p>
    <w:p w14:paraId="78368228" w14:textId="77777777" w:rsidR="006A21A0" w:rsidRDefault="006A21A0" w:rsidP="00A357B9">
      <w:pPr>
        <w:snapToGrid w:val="0"/>
        <w:spacing w:after="0" w:line="360" w:lineRule="auto"/>
        <w:ind w:firstLine="720"/>
        <w:jc w:val="both"/>
        <w:rPr>
          <w:rFonts w:ascii="Book Antiqua" w:eastAsia="Times New Roman" w:hAnsi="Book Antiqua" w:cs="Times New Roman"/>
          <w:bCs/>
          <w:sz w:val="24"/>
          <w:szCs w:val="24"/>
          <w:lang w:val="es-PR"/>
        </w:rPr>
      </w:pPr>
    </w:p>
    <w:p w14:paraId="37949154" w14:textId="77777777" w:rsidR="00A357B9" w:rsidRDefault="00A357B9" w:rsidP="00A357B9">
      <w:pPr>
        <w:snapToGrid w:val="0"/>
        <w:spacing w:after="0" w:line="360" w:lineRule="auto"/>
        <w:ind w:firstLine="720"/>
        <w:jc w:val="both"/>
        <w:rPr>
          <w:rFonts w:ascii="Book Antiqua" w:eastAsia="Times New Roman" w:hAnsi="Book Antiqua" w:cs="Times New Roman"/>
          <w:bCs/>
          <w:sz w:val="24"/>
          <w:szCs w:val="24"/>
          <w:lang w:val="es-PR"/>
        </w:rPr>
      </w:pPr>
      <w:r w:rsidRPr="00A357B9">
        <w:rPr>
          <w:rFonts w:ascii="Book Antiqua" w:eastAsia="Times New Roman" w:hAnsi="Book Antiqua" w:cs="Times New Roman"/>
          <w:bCs/>
          <w:sz w:val="24"/>
          <w:szCs w:val="24"/>
          <w:lang w:val="es-PR"/>
        </w:rPr>
        <w:lastRenderedPageBreak/>
        <w:t xml:space="preserve">No cabe duda de que el P. del S. 730 atiende un problema real y recurrente en los procesos </w:t>
      </w:r>
      <w:proofErr w:type="spellStart"/>
      <w:r w:rsidRPr="00A357B9">
        <w:rPr>
          <w:rFonts w:ascii="Book Antiqua" w:eastAsia="Times New Roman" w:hAnsi="Book Antiqua" w:cs="Times New Roman"/>
          <w:bCs/>
          <w:sz w:val="24"/>
          <w:szCs w:val="24"/>
          <w:lang w:val="es-PR"/>
        </w:rPr>
        <w:t>primaristas</w:t>
      </w:r>
      <w:proofErr w:type="spellEnd"/>
      <w:r w:rsidRPr="00A357B9">
        <w:rPr>
          <w:rFonts w:ascii="Book Antiqua" w:eastAsia="Times New Roman" w:hAnsi="Book Antiqua" w:cs="Times New Roman"/>
          <w:bCs/>
          <w:sz w:val="24"/>
          <w:szCs w:val="24"/>
          <w:lang w:val="es-PR"/>
        </w:rPr>
        <w:t>, y que las enmiendas propuestas aportarían a un proceso electoral más ordenado y eficiente. El proyecto elimina la obligación innecesaria de retirar propaganda para luego reinstalarla y establece reglas claras sobre la protección temporal de la propaganda política durante el año electoral, lo que a su vez promueve una mejor utilización de recursos económicos y humanos.</w:t>
      </w:r>
    </w:p>
    <w:p w14:paraId="4A74A107" w14:textId="77777777" w:rsidR="00F30374" w:rsidRPr="00A357B9" w:rsidRDefault="00F30374" w:rsidP="00A357B9">
      <w:pPr>
        <w:snapToGrid w:val="0"/>
        <w:spacing w:after="0" w:line="360" w:lineRule="auto"/>
        <w:ind w:firstLine="720"/>
        <w:jc w:val="both"/>
        <w:rPr>
          <w:rFonts w:ascii="Book Antiqua" w:eastAsia="Times New Roman" w:hAnsi="Book Antiqua" w:cs="Times New Roman"/>
          <w:bCs/>
          <w:sz w:val="24"/>
          <w:szCs w:val="24"/>
          <w:lang w:val="es-PR"/>
        </w:rPr>
      </w:pPr>
    </w:p>
    <w:p w14:paraId="599804B4" w14:textId="041E2D5F" w:rsidR="00A357B9" w:rsidRDefault="00A357B9" w:rsidP="00A357B9">
      <w:pPr>
        <w:snapToGrid w:val="0"/>
        <w:spacing w:after="0" w:line="360" w:lineRule="auto"/>
        <w:ind w:firstLine="720"/>
        <w:jc w:val="both"/>
        <w:rPr>
          <w:rFonts w:ascii="Book Antiqua" w:eastAsia="Times New Roman" w:hAnsi="Book Antiqua" w:cs="Times New Roman"/>
          <w:bCs/>
          <w:sz w:val="24"/>
          <w:szCs w:val="24"/>
          <w:lang w:val="es-PR"/>
        </w:rPr>
      </w:pPr>
      <w:r w:rsidRPr="00A357B9">
        <w:rPr>
          <w:rFonts w:ascii="Book Antiqua" w:eastAsia="Times New Roman" w:hAnsi="Book Antiqua" w:cs="Times New Roman"/>
          <w:bCs/>
          <w:sz w:val="24"/>
          <w:szCs w:val="24"/>
          <w:lang w:val="es-PR"/>
        </w:rPr>
        <w:t xml:space="preserve">Sin embargo, al momento de evaluar esta medida, esta Comisión advierte que el contenido del P. del S. 730 fue ya atendido plenamente mediante el trámite legislativo del </w:t>
      </w:r>
      <w:r w:rsidRPr="00653A1B">
        <w:rPr>
          <w:rFonts w:ascii="Book Antiqua" w:eastAsia="Times New Roman" w:hAnsi="Book Antiqua" w:cs="Times New Roman"/>
          <w:sz w:val="24"/>
          <w:szCs w:val="24"/>
          <w:lang w:val="es-PR"/>
        </w:rPr>
        <w:t>P. del S. 717</w:t>
      </w:r>
      <w:r w:rsidRPr="00A357B9">
        <w:rPr>
          <w:rFonts w:ascii="Book Antiqua" w:eastAsia="Times New Roman" w:hAnsi="Book Antiqua" w:cs="Times New Roman"/>
          <w:bCs/>
          <w:sz w:val="24"/>
          <w:szCs w:val="24"/>
          <w:lang w:val="es-PR"/>
        </w:rPr>
        <w:t xml:space="preserve">, </w:t>
      </w:r>
      <w:r w:rsidR="00E54352">
        <w:rPr>
          <w:rFonts w:ascii="Book Antiqua" w:eastAsia="Times New Roman" w:hAnsi="Book Antiqua" w:cs="Times New Roman"/>
          <w:bCs/>
          <w:sz w:val="24"/>
          <w:szCs w:val="24"/>
          <w:lang w:val="es-PR"/>
        </w:rPr>
        <w:t xml:space="preserve">en </w:t>
      </w:r>
      <w:r w:rsidRPr="00A357B9">
        <w:rPr>
          <w:rFonts w:ascii="Book Antiqua" w:eastAsia="Times New Roman" w:hAnsi="Book Antiqua" w:cs="Times New Roman"/>
          <w:bCs/>
          <w:sz w:val="24"/>
          <w:szCs w:val="24"/>
          <w:lang w:val="es-PR"/>
        </w:rPr>
        <w:t xml:space="preserve">cuyo Entirillado Electrónico </w:t>
      </w:r>
      <w:r w:rsidR="00E54352">
        <w:rPr>
          <w:rFonts w:ascii="Book Antiqua" w:eastAsia="Times New Roman" w:hAnsi="Book Antiqua" w:cs="Times New Roman"/>
          <w:bCs/>
          <w:sz w:val="24"/>
          <w:szCs w:val="24"/>
          <w:lang w:val="es-PR"/>
        </w:rPr>
        <w:t xml:space="preserve">esta Comisión </w:t>
      </w:r>
      <w:r w:rsidRPr="00A357B9">
        <w:rPr>
          <w:rFonts w:ascii="Book Antiqua" w:eastAsia="Times New Roman" w:hAnsi="Book Antiqua" w:cs="Times New Roman"/>
          <w:bCs/>
          <w:sz w:val="24"/>
          <w:szCs w:val="24"/>
          <w:lang w:val="es-PR"/>
        </w:rPr>
        <w:t xml:space="preserve">incorporó expresamente las enmiendas </w:t>
      </w:r>
      <w:r w:rsidR="00E54352">
        <w:rPr>
          <w:rFonts w:ascii="Book Antiqua" w:eastAsia="Times New Roman" w:hAnsi="Book Antiqua" w:cs="Times New Roman"/>
          <w:bCs/>
          <w:sz w:val="24"/>
          <w:szCs w:val="24"/>
          <w:lang w:val="es-PR"/>
        </w:rPr>
        <w:t>propuestas en la medida que nos ocupa</w:t>
      </w:r>
      <w:r w:rsidRPr="00A357B9">
        <w:rPr>
          <w:rFonts w:ascii="Book Antiqua" w:eastAsia="Times New Roman" w:hAnsi="Book Antiqua" w:cs="Times New Roman"/>
          <w:bCs/>
          <w:sz w:val="24"/>
          <w:szCs w:val="24"/>
          <w:lang w:val="es-PR"/>
        </w:rPr>
        <w:t>. Estas enmiendas se integraron como parte del paquete de reformas extensivas analizadas y aprobadas en dicho proyecto, que constituye un esfuerzo legislativo amplio, sistemático y coherente para actualizar el Código Electoral.</w:t>
      </w:r>
    </w:p>
    <w:p w14:paraId="315EF9E2" w14:textId="77777777" w:rsidR="00F30374" w:rsidRPr="00A357B9" w:rsidRDefault="00F30374" w:rsidP="00A357B9">
      <w:pPr>
        <w:snapToGrid w:val="0"/>
        <w:spacing w:after="0" w:line="360" w:lineRule="auto"/>
        <w:ind w:firstLine="720"/>
        <w:jc w:val="both"/>
        <w:rPr>
          <w:rFonts w:ascii="Book Antiqua" w:eastAsia="Times New Roman" w:hAnsi="Book Antiqua" w:cs="Times New Roman"/>
          <w:bCs/>
          <w:sz w:val="24"/>
          <w:szCs w:val="24"/>
          <w:lang w:val="es-PR"/>
        </w:rPr>
      </w:pPr>
    </w:p>
    <w:p w14:paraId="38F9DB48" w14:textId="090D4C0D" w:rsidR="00DD5F65" w:rsidRDefault="00E54352" w:rsidP="00536176">
      <w:pPr>
        <w:snapToGrid w:val="0"/>
        <w:spacing w:after="0" w:line="360" w:lineRule="auto"/>
        <w:ind w:firstLine="720"/>
        <w:jc w:val="both"/>
        <w:rPr>
          <w:rFonts w:ascii="Book Antiqua" w:eastAsia="Times New Roman" w:hAnsi="Book Antiqua" w:cs="Times New Roman"/>
          <w:bCs/>
          <w:sz w:val="24"/>
          <w:szCs w:val="24"/>
          <w:lang w:val="es-PR"/>
        </w:rPr>
      </w:pPr>
      <w:r w:rsidRPr="00E54352">
        <w:rPr>
          <w:rFonts w:ascii="Book Antiqua" w:eastAsia="Times New Roman" w:hAnsi="Book Antiqua" w:cs="Times New Roman"/>
          <w:bCs/>
          <w:sz w:val="24"/>
          <w:szCs w:val="24"/>
          <w:lang w:val="es-PR"/>
        </w:rPr>
        <w:t xml:space="preserve">A la luz de este historial legislativo, continuar con el trámite del P. del S. 730 constituiría una duplicidad normativa innecesaria, además de fragmentar un proceso legislativo que se ha trabajado de manera integrada dentro </w:t>
      </w:r>
      <w:r>
        <w:rPr>
          <w:rFonts w:ascii="Book Antiqua" w:eastAsia="Times New Roman" w:hAnsi="Book Antiqua" w:cs="Times New Roman"/>
          <w:bCs/>
          <w:sz w:val="24"/>
          <w:szCs w:val="24"/>
          <w:lang w:val="es-PR"/>
        </w:rPr>
        <w:t>de las</w:t>
      </w:r>
      <w:r w:rsidRPr="00E54352">
        <w:rPr>
          <w:rFonts w:ascii="Book Antiqua" w:eastAsia="Times New Roman" w:hAnsi="Book Antiqua" w:cs="Times New Roman"/>
          <w:bCs/>
          <w:sz w:val="24"/>
          <w:szCs w:val="24"/>
          <w:lang w:val="es-PR"/>
        </w:rPr>
        <w:t xml:space="preserve"> Secciones 59 y 60 del P. del S. 717, según aprobado por el Senado el 6 de noviembre de 2025</w:t>
      </w:r>
      <w:r>
        <w:rPr>
          <w:rFonts w:ascii="Book Antiqua" w:eastAsia="Times New Roman" w:hAnsi="Book Antiqua" w:cs="Times New Roman"/>
          <w:bCs/>
          <w:sz w:val="24"/>
          <w:szCs w:val="24"/>
          <w:lang w:val="es-PR"/>
        </w:rPr>
        <w:t xml:space="preserve">. </w:t>
      </w:r>
      <w:r w:rsidRPr="00E54352">
        <w:rPr>
          <w:rFonts w:ascii="Book Antiqua" w:eastAsia="Times New Roman" w:hAnsi="Book Antiqua" w:cs="Times New Roman"/>
          <w:bCs/>
          <w:sz w:val="24"/>
          <w:szCs w:val="24"/>
          <w:lang w:val="es-PR"/>
        </w:rPr>
        <w:t xml:space="preserve">Para promover coherencia, uniformidad y claridad en el ordenamiento electoral, esta Comisión entiende que lo más adecuado </w:t>
      </w:r>
      <w:r>
        <w:rPr>
          <w:rFonts w:ascii="Book Antiqua" w:eastAsia="Times New Roman" w:hAnsi="Book Antiqua" w:cs="Times New Roman"/>
          <w:bCs/>
          <w:sz w:val="24"/>
          <w:szCs w:val="24"/>
          <w:lang w:val="es-PR"/>
        </w:rPr>
        <w:t>es no continuar con el trámite legislativo del</w:t>
      </w:r>
      <w:r w:rsidRPr="00E54352">
        <w:rPr>
          <w:rFonts w:ascii="Book Antiqua" w:eastAsia="Times New Roman" w:hAnsi="Book Antiqua" w:cs="Times New Roman"/>
          <w:bCs/>
          <w:sz w:val="24"/>
          <w:szCs w:val="24"/>
          <w:lang w:val="es-PR"/>
        </w:rPr>
        <w:t xml:space="preserve"> P. del S. 730</w:t>
      </w:r>
      <w:r>
        <w:rPr>
          <w:rFonts w:ascii="Book Antiqua" w:eastAsia="Times New Roman" w:hAnsi="Book Antiqua" w:cs="Times New Roman"/>
          <w:bCs/>
          <w:sz w:val="24"/>
          <w:szCs w:val="24"/>
          <w:lang w:val="es-PR"/>
        </w:rPr>
        <w:t xml:space="preserve">, </w:t>
      </w:r>
      <w:r w:rsidRPr="00E54352">
        <w:rPr>
          <w:rFonts w:ascii="Book Antiqua" w:eastAsia="Times New Roman" w:hAnsi="Book Antiqua" w:cs="Times New Roman"/>
          <w:bCs/>
          <w:sz w:val="24"/>
          <w:szCs w:val="24"/>
          <w:lang w:val="es-PR"/>
        </w:rPr>
        <w:t xml:space="preserve">toda vez que su propósito ya ha sido debidamente atendido mediante </w:t>
      </w:r>
      <w:r>
        <w:rPr>
          <w:rFonts w:ascii="Book Antiqua" w:eastAsia="Times New Roman" w:hAnsi="Book Antiqua" w:cs="Times New Roman"/>
          <w:bCs/>
          <w:sz w:val="24"/>
          <w:szCs w:val="24"/>
          <w:lang w:val="es-PR"/>
        </w:rPr>
        <w:t xml:space="preserve">la aprobación </w:t>
      </w:r>
      <w:r w:rsidRPr="00E54352">
        <w:rPr>
          <w:rFonts w:ascii="Book Antiqua" w:eastAsia="Times New Roman" w:hAnsi="Book Antiqua" w:cs="Times New Roman"/>
          <w:bCs/>
          <w:sz w:val="24"/>
          <w:szCs w:val="24"/>
          <w:lang w:val="es-PR"/>
        </w:rPr>
        <w:t>del P. del S. 717.</w:t>
      </w:r>
    </w:p>
    <w:p w14:paraId="623B8E06" w14:textId="77777777" w:rsidR="006A21A0" w:rsidRDefault="006A21A0" w:rsidP="00536176">
      <w:pPr>
        <w:snapToGrid w:val="0"/>
        <w:spacing w:after="0" w:line="360" w:lineRule="auto"/>
        <w:ind w:firstLine="720"/>
        <w:jc w:val="both"/>
        <w:rPr>
          <w:rFonts w:ascii="Book Antiqua" w:eastAsia="Times New Roman" w:hAnsi="Book Antiqua" w:cs="Times New Roman"/>
          <w:bCs/>
          <w:sz w:val="24"/>
          <w:szCs w:val="24"/>
          <w:lang w:val="es-PR"/>
        </w:rPr>
      </w:pPr>
    </w:p>
    <w:p w14:paraId="102E667C" w14:textId="77777777" w:rsidR="008C7695" w:rsidRDefault="008C7695" w:rsidP="00F30374">
      <w:pPr>
        <w:snapToGrid w:val="0"/>
        <w:spacing w:after="0" w:line="360" w:lineRule="auto"/>
        <w:ind w:firstLine="720"/>
        <w:jc w:val="center"/>
        <w:rPr>
          <w:rFonts w:ascii="Book Antiqua" w:eastAsia="Times New Roman" w:hAnsi="Book Antiqua" w:cs="Times New Roman"/>
          <w:b/>
          <w:bCs/>
          <w:sz w:val="24"/>
          <w:szCs w:val="24"/>
          <w:lang w:val="es-ES_tradnl"/>
        </w:rPr>
      </w:pPr>
    </w:p>
    <w:p w14:paraId="2C5CC829" w14:textId="77777777" w:rsidR="008C7695" w:rsidRDefault="008C7695" w:rsidP="00F30374">
      <w:pPr>
        <w:snapToGrid w:val="0"/>
        <w:spacing w:after="0" w:line="360" w:lineRule="auto"/>
        <w:ind w:firstLine="720"/>
        <w:jc w:val="center"/>
        <w:rPr>
          <w:rFonts w:ascii="Book Antiqua" w:eastAsia="Times New Roman" w:hAnsi="Book Antiqua" w:cs="Times New Roman"/>
          <w:b/>
          <w:bCs/>
          <w:sz w:val="24"/>
          <w:szCs w:val="24"/>
          <w:lang w:val="es-ES_tradnl"/>
        </w:rPr>
      </w:pPr>
    </w:p>
    <w:p w14:paraId="4CCBE86C" w14:textId="77777777" w:rsidR="008C7695" w:rsidRDefault="008C7695" w:rsidP="00F30374">
      <w:pPr>
        <w:snapToGrid w:val="0"/>
        <w:spacing w:after="0" w:line="360" w:lineRule="auto"/>
        <w:ind w:firstLine="720"/>
        <w:jc w:val="center"/>
        <w:rPr>
          <w:rFonts w:ascii="Book Antiqua" w:eastAsia="Times New Roman" w:hAnsi="Book Antiqua" w:cs="Times New Roman"/>
          <w:b/>
          <w:bCs/>
          <w:sz w:val="24"/>
          <w:szCs w:val="24"/>
          <w:lang w:val="es-ES_tradnl"/>
        </w:rPr>
      </w:pPr>
    </w:p>
    <w:p w14:paraId="302B3068" w14:textId="77777777" w:rsidR="008C7695" w:rsidRDefault="008C7695" w:rsidP="00F30374">
      <w:pPr>
        <w:snapToGrid w:val="0"/>
        <w:spacing w:after="0" w:line="360" w:lineRule="auto"/>
        <w:ind w:firstLine="720"/>
        <w:jc w:val="center"/>
        <w:rPr>
          <w:rFonts w:ascii="Book Antiqua" w:eastAsia="Times New Roman" w:hAnsi="Book Antiqua" w:cs="Times New Roman"/>
          <w:b/>
          <w:bCs/>
          <w:sz w:val="24"/>
          <w:szCs w:val="24"/>
          <w:lang w:val="es-ES_tradnl"/>
        </w:rPr>
      </w:pPr>
    </w:p>
    <w:p w14:paraId="1800C535" w14:textId="45A042B0" w:rsidR="00F30374" w:rsidRPr="00F30374" w:rsidRDefault="00F30374" w:rsidP="00F30374">
      <w:pPr>
        <w:snapToGrid w:val="0"/>
        <w:spacing w:after="0" w:line="360" w:lineRule="auto"/>
        <w:ind w:firstLine="720"/>
        <w:jc w:val="center"/>
        <w:rPr>
          <w:rFonts w:ascii="Book Antiqua" w:eastAsia="Times New Roman" w:hAnsi="Book Antiqua" w:cs="Times New Roman"/>
          <w:b/>
          <w:bCs/>
          <w:sz w:val="24"/>
          <w:szCs w:val="24"/>
          <w:lang w:val="es-ES_tradnl"/>
        </w:rPr>
      </w:pPr>
      <w:r w:rsidRPr="00F30374">
        <w:rPr>
          <w:rFonts w:ascii="Book Antiqua" w:eastAsia="Times New Roman" w:hAnsi="Book Antiqua" w:cs="Times New Roman"/>
          <w:b/>
          <w:bCs/>
          <w:sz w:val="24"/>
          <w:szCs w:val="24"/>
          <w:lang w:val="es-ES_tradnl"/>
        </w:rPr>
        <w:lastRenderedPageBreak/>
        <w:t>IMPACTO FISCAL MUNICIPAL</w:t>
      </w:r>
    </w:p>
    <w:p w14:paraId="709A53FF" w14:textId="77777777" w:rsidR="00F30374" w:rsidRPr="00F30374" w:rsidRDefault="00F30374" w:rsidP="00F30374">
      <w:pPr>
        <w:snapToGrid w:val="0"/>
        <w:spacing w:after="0" w:line="360" w:lineRule="auto"/>
        <w:ind w:firstLine="720"/>
        <w:jc w:val="both"/>
        <w:rPr>
          <w:rFonts w:ascii="Book Antiqua" w:eastAsia="Times New Roman" w:hAnsi="Book Antiqua" w:cs="Times New Roman"/>
          <w:b/>
          <w:bCs/>
          <w:sz w:val="24"/>
          <w:szCs w:val="24"/>
          <w:lang w:val="es-ES_tradnl"/>
        </w:rPr>
      </w:pPr>
    </w:p>
    <w:p w14:paraId="6123969E" w14:textId="03ECD0CA" w:rsidR="006A21A0" w:rsidRPr="00F30374" w:rsidRDefault="00F30374" w:rsidP="008C7695">
      <w:pPr>
        <w:snapToGrid w:val="0"/>
        <w:spacing w:after="0" w:line="360" w:lineRule="auto"/>
        <w:ind w:firstLine="720"/>
        <w:jc w:val="both"/>
        <w:rPr>
          <w:rFonts w:ascii="Book Antiqua" w:eastAsia="Times New Roman" w:hAnsi="Book Antiqua" w:cs="Times New Roman"/>
          <w:bCs/>
          <w:sz w:val="24"/>
          <w:szCs w:val="24"/>
          <w:lang w:val="es-ES_tradnl"/>
        </w:rPr>
      </w:pPr>
      <w:r w:rsidRPr="00F30374">
        <w:rPr>
          <w:rFonts w:ascii="Book Antiqua" w:eastAsia="Times New Roman" w:hAnsi="Book Antiqua" w:cs="Times New Roman"/>
          <w:bCs/>
          <w:sz w:val="24"/>
          <w:szCs w:val="24"/>
          <w:lang w:val="es-ES_tradnl"/>
        </w:rPr>
        <w:t>En cumplimiento con el Artículo 1.007</w:t>
      </w:r>
      <w:r w:rsidRPr="00F30374">
        <w:rPr>
          <w:rFonts w:ascii="Book Antiqua" w:eastAsia="Times New Roman" w:hAnsi="Book Antiqua" w:cs="Times New Roman"/>
          <w:bCs/>
          <w:i/>
          <w:iCs/>
          <w:sz w:val="24"/>
          <w:szCs w:val="24"/>
          <w:lang w:val="es-ES_tradnl"/>
        </w:rPr>
        <w:t xml:space="preserve"> </w:t>
      </w:r>
      <w:r w:rsidRPr="00F30374">
        <w:rPr>
          <w:rFonts w:ascii="Book Antiqua" w:eastAsia="Times New Roman" w:hAnsi="Book Antiqua" w:cs="Times New Roman"/>
          <w:bCs/>
          <w:sz w:val="24"/>
          <w:szCs w:val="24"/>
          <w:lang w:val="es-ES_tradnl"/>
        </w:rPr>
        <w:t xml:space="preserve">de la Ley Núm. 107-2020, según enmendada, conocida como, “Código Municipal de Puerto Rico”, la Comisión de Innovación, Reforma y Nombramientos del Senado de Puerto Rico, certifica que el </w:t>
      </w:r>
      <w:r w:rsidRPr="00F30374">
        <w:rPr>
          <w:rFonts w:ascii="Book Antiqua" w:eastAsia="Times New Roman" w:hAnsi="Book Antiqua" w:cs="Times New Roman"/>
          <w:b/>
          <w:bCs/>
          <w:sz w:val="24"/>
          <w:szCs w:val="24"/>
          <w:lang w:val="es-ES_tradnl"/>
        </w:rPr>
        <w:t xml:space="preserve">P. del S. </w:t>
      </w:r>
      <w:r>
        <w:rPr>
          <w:rFonts w:ascii="Book Antiqua" w:eastAsia="Times New Roman" w:hAnsi="Book Antiqua" w:cs="Times New Roman"/>
          <w:b/>
          <w:bCs/>
          <w:sz w:val="24"/>
          <w:szCs w:val="24"/>
          <w:lang w:val="es-ES_tradnl"/>
        </w:rPr>
        <w:t>730</w:t>
      </w:r>
      <w:r w:rsidRPr="00F30374">
        <w:rPr>
          <w:rFonts w:ascii="Book Antiqua" w:eastAsia="Times New Roman" w:hAnsi="Book Antiqua" w:cs="Times New Roman"/>
          <w:b/>
          <w:bCs/>
          <w:sz w:val="24"/>
          <w:szCs w:val="24"/>
          <w:lang w:val="es-ES_tradnl"/>
        </w:rPr>
        <w:t>,</w:t>
      </w:r>
      <w:r w:rsidRPr="00F30374">
        <w:rPr>
          <w:rFonts w:ascii="Book Antiqua" w:eastAsia="Times New Roman" w:hAnsi="Book Antiqua" w:cs="Times New Roman"/>
          <w:bCs/>
          <w:sz w:val="24"/>
          <w:szCs w:val="24"/>
          <w:lang w:val="es-ES_tradnl"/>
        </w:rPr>
        <w:t xml:space="preserve"> no impone una obligación económica en el presupuesto de los gobiernos municipales.</w:t>
      </w:r>
    </w:p>
    <w:p w14:paraId="0481205B" w14:textId="3AE6ED23" w:rsidR="00F3546D" w:rsidRDefault="00426A07" w:rsidP="00D71813">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CONCLUSIÓN</w:t>
      </w:r>
    </w:p>
    <w:p w14:paraId="20225DD0" w14:textId="77777777" w:rsidR="00A357B9" w:rsidRDefault="00A357B9" w:rsidP="00D71813">
      <w:pPr>
        <w:spacing w:after="0" w:line="240" w:lineRule="auto"/>
        <w:jc w:val="center"/>
        <w:rPr>
          <w:rFonts w:ascii="Book Antiqua" w:eastAsia="Times New Roman" w:hAnsi="Book Antiqua" w:cs="Times New Roman"/>
          <w:b/>
          <w:sz w:val="24"/>
          <w:szCs w:val="24"/>
          <w:lang w:val="es-ES"/>
        </w:rPr>
      </w:pPr>
    </w:p>
    <w:p w14:paraId="08083037" w14:textId="477F6D01" w:rsidR="001211ED" w:rsidRPr="00A357B9" w:rsidRDefault="00A357B9" w:rsidP="00A357B9">
      <w:pPr>
        <w:spacing w:line="360" w:lineRule="auto"/>
        <w:ind w:firstLine="720"/>
        <w:jc w:val="both"/>
        <w:rPr>
          <w:rFonts w:ascii="Book Antiqua" w:eastAsia="Times New Roman" w:hAnsi="Book Antiqua" w:cs="Times New Roman"/>
          <w:bCs/>
          <w:sz w:val="24"/>
          <w:szCs w:val="24"/>
          <w:lang w:val="es-PR"/>
        </w:rPr>
      </w:pPr>
      <w:r w:rsidRPr="00A357B9">
        <w:rPr>
          <w:rFonts w:ascii="Book Antiqua" w:eastAsia="Times New Roman" w:hAnsi="Book Antiqua" w:cs="Times New Roman"/>
          <w:bCs/>
          <w:sz w:val="24"/>
          <w:szCs w:val="24"/>
          <w:lang w:val="es-PR"/>
        </w:rPr>
        <w:t xml:space="preserve">En consideración a todo lo expuesto, esta Comisión determina que, si bien el P. del S. 730 persigue un objetivo válido y atiende una problemática real en los procesos </w:t>
      </w:r>
      <w:proofErr w:type="spellStart"/>
      <w:r w:rsidRPr="00A357B9">
        <w:rPr>
          <w:rFonts w:ascii="Book Antiqua" w:eastAsia="Times New Roman" w:hAnsi="Book Antiqua" w:cs="Times New Roman"/>
          <w:bCs/>
          <w:sz w:val="24"/>
          <w:szCs w:val="24"/>
          <w:lang w:val="es-PR"/>
        </w:rPr>
        <w:t>primaristas</w:t>
      </w:r>
      <w:proofErr w:type="spellEnd"/>
      <w:r w:rsidRPr="00A357B9">
        <w:rPr>
          <w:rFonts w:ascii="Book Antiqua" w:eastAsia="Times New Roman" w:hAnsi="Book Antiqua" w:cs="Times New Roman"/>
          <w:bCs/>
          <w:sz w:val="24"/>
          <w:szCs w:val="24"/>
          <w:lang w:val="es-PR"/>
        </w:rPr>
        <w:t>, su contenido ya fue incorporado de manera íntegra al marco de reformas electorales aprobado como parte del P. del S. 717. En este contexto, continuar con el trámite legislativo del P. del S. 730 resultaría innecesario y redundante, toda vez que su propósito ya ha sido atendido y viabilizado mediante el proceso legislativo del P. del S. 717.</w:t>
      </w:r>
    </w:p>
    <w:p w14:paraId="754ACB9D" w14:textId="188528EB" w:rsidR="00E543D7" w:rsidRPr="00E543D7" w:rsidRDefault="00E543D7" w:rsidP="00E543D7">
      <w:pPr>
        <w:spacing w:line="360" w:lineRule="auto"/>
        <w:ind w:firstLine="720"/>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 xml:space="preserve">POR TODO LO ANTES EXPUESTO, </w:t>
      </w:r>
      <w:r w:rsidRPr="00E543D7">
        <w:rPr>
          <w:rFonts w:ascii="Book Antiqua" w:eastAsia="Aptos" w:hAnsi="Book Antiqua" w:cs="Times New Roman"/>
          <w:kern w:val="2"/>
          <w:sz w:val="24"/>
          <w:szCs w:val="24"/>
          <w:lang w:val="es-ES_tradnl"/>
          <w14:ligatures w14:val="standardContextual"/>
        </w:rPr>
        <w:t xml:space="preserve">la Comisión de Innovación, Reforma y Nombramientos del Senado de Puerto Rico, previo estudio y consideración, </w:t>
      </w:r>
      <w:r w:rsidRPr="00E543D7">
        <w:rPr>
          <w:rFonts w:ascii="Book Antiqua" w:eastAsia="Aptos" w:hAnsi="Book Antiqua" w:cs="Times New Roman"/>
          <w:b/>
          <w:bCs/>
          <w:kern w:val="2"/>
          <w:sz w:val="24"/>
          <w:szCs w:val="24"/>
          <w:lang w:val="es-ES_tradnl"/>
          <w14:ligatures w14:val="standardContextual"/>
        </w:rPr>
        <w:t xml:space="preserve">no recomienda </w:t>
      </w:r>
      <w:r w:rsidRPr="00E543D7">
        <w:rPr>
          <w:rFonts w:ascii="Book Antiqua" w:eastAsia="Aptos" w:hAnsi="Book Antiqua" w:cs="Times New Roman"/>
          <w:kern w:val="2"/>
          <w:sz w:val="24"/>
          <w:szCs w:val="24"/>
          <w:lang w:val="es-ES_tradnl"/>
          <w14:ligatures w14:val="standardContextual"/>
        </w:rPr>
        <w:t xml:space="preserve">a este Honorable Cuerpo la aprobación del </w:t>
      </w:r>
      <w:r w:rsidRPr="00E543D7">
        <w:rPr>
          <w:rFonts w:ascii="Book Antiqua" w:eastAsia="Aptos" w:hAnsi="Book Antiqua" w:cs="Times New Roman"/>
          <w:b/>
          <w:bCs/>
          <w:kern w:val="2"/>
          <w:sz w:val="24"/>
          <w:szCs w:val="24"/>
          <w:lang w:val="es-ES_tradnl"/>
          <w14:ligatures w14:val="standardContextual"/>
        </w:rPr>
        <w:t>P. d</w:t>
      </w:r>
      <w:r w:rsidR="00C10694">
        <w:rPr>
          <w:rFonts w:ascii="Book Antiqua" w:eastAsia="Aptos" w:hAnsi="Book Antiqua" w:cs="Times New Roman"/>
          <w:b/>
          <w:bCs/>
          <w:kern w:val="2"/>
          <w:sz w:val="24"/>
          <w:szCs w:val="24"/>
          <w:lang w:val="es-ES_tradnl"/>
          <w14:ligatures w14:val="standardContextual"/>
        </w:rPr>
        <w:t xml:space="preserve">el S. </w:t>
      </w:r>
      <w:r w:rsidR="00A357B9">
        <w:rPr>
          <w:rFonts w:ascii="Book Antiqua" w:eastAsia="Aptos" w:hAnsi="Book Antiqua" w:cs="Times New Roman"/>
          <w:b/>
          <w:bCs/>
          <w:kern w:val="2"/>
          <w:sz w:val="24"/>
          <w:szCs w:val="24"/>
          <w:lang w:val="es-ES_tradnl"/>
          <w14:ligatures w14:val="standardContextual"/>
        </w:rPr>
        <w:t>730</w:t>
      </w:r>
      <w:r w:rsidR="00826449">
        <w:rPr>
          <w:rFonts w:ascii="Book Antiqua" w:eastAsia="Aptos" w:hAnsi="Book Antiqua" w:cs="Times New Roman"/>
          <w:b/>
          <w:bCs/>
          <w:kern w:val="2"/>
          <w:sz w:val="24"/>
          <w:szCs w:val="24"/>
          <w:lang w:val="es-ES_tradnl"/>
          <w14:ligatures w14:val="standardContextual"/>
        </w:rPr>
        <w:t>.</w:t>
      </w:r>
    </w:p>
    <w:p w14:paraId="27588897" w14:textId="77777777" w:rsidR="00D71813" w:rsidRDefault="00D71813" w:rsidP="00E543D7">
      <w:pPr>
        <w:spacing w:line="278" w:lineRule="auto"/>
        <w:jc w:val="both"/>
        <w:rPr>
          <w:rFonts w:ascii="Book Antiqua" w:eastAsia="Aptos" w:hAnsi="Book Antiqua" w:cs="Times New Roman"/>
          <w:b/>
          <w:bCs/>
          <w:kern w:val="2"/>
          <w:sz w:val="24"/>
          <w:szCs w:val="24"/>
          <w:lang w:val="es-ES_tradnl"/>
          <w14:ligatures w14:val="standardContextual"/>
        </w:rPr>
      </w:pPr>
    </w:p>
    <w:p w14:paraId="277EE999" w14:textId="51222E56" w:rsidR="00E543D7" w:rsidRPr="00E543D7" w:rsidRDefault="00E543D7" w:rsidP="00E543D7">
      <w:pPr>
        <w:spacing w:line="278" w:lineRule="auto"/>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RESPETUOSAMENTE SOMETIDO.</w:t>
      </w:r>
    </w:p>
    <w:p w14:paraId="4AD46873" w14:textId="77777777" w:rsidR="00E543D7" w:rsidRPr="00E543D7" w:rsidRDefault="00E543D7" w:rsidP="00E543D7">
      <w:pPr>
        <w:spacing w:line="278" w:lineRule="auto"/>
        <w:jc w:val="both"/>
        <w:rPr>
          <w:rFonts w:ascii="Book Antiqua" w:eastAsia="Aptos" w:hAnsi="Book Antiqua" w:cs="Times New Roman"/>
          <w:kern w:val="2"/>
          <w:sz w:val="24"/>
          <w:szCs w:val="24"/>
          <w:lang w:val="es-PR"/>
          <w14:ligatures w14:val="standardContextual"/>
        </w:rPr>
      </w:pPr>
    </w:p>
    <w:p w14:paraId="714B9847" w14:textId="77777777" w:rsidR="00D71813" w:rsidRDefault="00D71813" w:rsidP="00E543D7">
      <w:pPr>
        <w:spacing w:after="0" w:line="240" w:lineRule="auto"/>
        <w:jc w:val="both"/>
        <w:rPr>
          <w:rFonts w:ascii="Book Antiqua" w:eastAsia="Aptos" w:hAnsi="Book Antiqua" w:cs="Times New Roman"/>
          <w:b/>
          <w:bCs/>
          <w:kern w:val="2"/>
          <w:sz w:val="24"/>
          <w:szCs w:val="24"/>
          <w:lang w:val="es-ES"/>
          <w14:ligatures w14:val="standardContextual"/>
        </w:rPr>
      </w:pPr>
    </w:p>
    <w:p w14:paraId="51B7E3C2" w14:textId="0A7CD031" w:rsidR="00E543D7" w:rsidRPr="00E543D7" w:rsidRDefault="00E543D7" w:rsidP="00E543D7">
      <w:pPr>
        <w:spacing w:after="0" w:line="240" w:lineRule="auto"/>
        <w:jc w:val="both"/>
        <w:rPr>
          <w:rFonts w:ascii="Book Antiqua" w:eastAsia="Aptos" w:hAnsi="Book Antiqua" w:cs="Times New Roman"/>
          <w:b/>
          <w:bCs/>
          <w:kern w:val="2"/>
          <w:sz w:val="24"/>
          <w:szCs w:val="24"/>
          <w:lang w:val="es-ES"/>
          <w14:ligatures w14:val="standardContextual"/>
        </w:rPr>
      </w:pPr>
      <w:proofErr w:type="spellStart"/>
      <w:r w:rsidRPr="00E543D7">
        <w:rPr>
          <w:rFonts w:ascii="Book Antiqua" w:eastAsia="Aptos" w:hAnsi="Book Antiqua" w:cs="Times New Roman"/>
          <w:b/>
          <w:bCs/>
          <w:kern w:val="2"/>
          <w:sz w:val="24"/>
          <w:szCs w:val="24"/>
          <w:lang w:val="es-ES"/>
          <w14:ligatures w14:val="standardContextual"/>
        </w:rPr>
        <w:t>Hon</w:t>
      </w:r>
      <w:proofErr w:type="spellEnd"/>
      <w:r w:rsidRPr="00E543D7">
        <w:rPr>
          <w:rFonts w:ascii="Book Antiqua" w:eastAsia="Aptos" w:hAnsi="Book Antiqua" w:cs="Times New Roman"/>
          <w:b/>
          <w:bCs/>
          <w:kern w:val="2"/>
          <w:sz w:val="24"/>
          <w:szCs w:val="24"/>
          <w:lang w:val="es-ES"/>
          <w14:ligatures w14:val="standardContextual"/>
        </w:rPr>
        <w:t>. Thomas Rivera Schatz</w:t>
      </w:r>
    </w:p>
    <w:p w14:paraId="16A97D78" w14:textId="77777777"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Presidente de la Comisión de Innovación,</w:t>
      </w:r>
    </w:p>
    <w:p w14:paraId="3393B050" w14:textId="5A5CD94E" w:rsidR="00E543D7" w:rsidRPr="00B64231"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Reforma y Nombramientos</w:t>
      </w:r>
      <w:r w:rsidR="00B64231">
        <w:rPr>
          <w:rFonts w:ascii="Book Antiqua" w:eastAsia="Calibri" w:hAnsi="Book Antiqua" w:cs="Times New Roman"/>
          <w:sz w:val="24"/>
          <w:szCs w:val="24"/>
          <w:lang w:val="es-PR"/>
        </w:rPr>
        <w:t xml:space="preserve"> d</w:t>
      </w:r>
      <w:r w:rsidRPr="00E543D7">
        <w:rPr>
          <w:rFonts w:ascii="Book Antiqua" w:eastAsia="Calibri" w:hAnsi="Book Antiqua" w:cs="Times New Roman"/>
          <w:sz w:val="24"/>
          <w:szCs w:val="24"/>
          <w:lang w:val="es-PR"/>
        </w:rPr>
        <w:t>el Senado de Puerto Rico</w:t>
      </w:r>
    </w:p>
    <w:p w14:paraId="4CA30EE5" w14:textId="77777777" w:rsidR="00A2416A" w:rsidRPr="00E543D7" w:rsidRDefault="00A2416A" w:rsidP="00B66E92">
      <w:pPr>
        <w:spacing w:line="240" w:lineRule="auto"/>
        <w:rPr>
          <w:sz w:val="24"/>
          <w:szCs w:val="24"/>
          <w:lang w:val="es-PR"/>
        </w:rPr>
      </w:pPr>
    </w:p>
    <w:sectPr w:rsidR="00A2416A" w:rsidRPr="00E543D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5C390" w14:textId="77777777" w:rsidR="004924B5" w:rsidRDefault="004924B5" w:rsidP="00426A07">
      <w:pPr>
        <w:spacing w:after="0" w:line="240" w:lineRule="auto"/>
      </w:pPr>
      <w:r>
        <w:separator/>
      </w:r>
    </w:p>
  </w:endnote>
  <w:endnote w:type="continuationSeparator" w:id="0">
    <w:p w14:paraId="5F7FBAC8" w14:textId="77777777" w:rsidR="004924B5" w:rsidRDefault="004924B5"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026F3199"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8E477" w14:textId="77777777" w:rsidR="004924B5" w:rsidRDefault="004924B5" w:rsidP="00426A07">
      <w:pPr>
        <w:spacing w:after="0" w:line="240" w:lineRule="auto"/>
      </w:pPr>
      <w:r>
        <w:separator/>
      </w:r>
    </w:p>
  </w:footnote>
  <w:footnote w:type="continuationSeparator" w:id="0">
    <w:p w14:paraId="40A642B2" w14:textId="77777777" w:rsidR="004924B5" w:rsidRDefault="004924B5" w:rsidP="00426A07">
      <w:pPr>
        <w:spacing w:after="0" w:line="240" w:lineRule="auto"/>
      </w:pPr>
      <w:r>
        <w:continuationSeparator/>
      </w:r>
    </w:p>
  </w:footnote>
  <w:footnote w:id="1">
    <w:p w14:paraId="49D826A1" w14:textId="038C695D" w:rsidR="0057745A" w:rsidRPr="00D71813" w:rsidRDefault="0057745A">
      <w:pPr>
        <w:pStyle w:val="FootnoteText"/>
        <w:rPr>
          <w:rFonts w:ascii="Times New Roman" w:hAnsi="Times New Roman"/>
          <w:lang w:val="es-PR"/>
        </w:rPr>
      </w:pPr>
      <w:r w:rsidRPr="00D71813">
        <w:rPr>
          <w:rStyle w:val="FootnoteReference"/>
          <w:rFonts w:ascii="Times New Roman" w:hAnsi="Times New Roman"/>
        </w:rPr>
        <w:footnoteRef/>
      </w:r>
      <w:r w:rsidRPr="00D71813">
        <w:rPr>
          <w:rFonts w:ascii="Times New Roman" w:hAnsi="Times New Roman"/>
          <w:lang w:val="es-PR"/>
        </w:rPr>
        <w:t xml:space="preserve"> Véase</w:t>
      </w:r>
      <w:r w:rsidR="00921D95">
        <w:rPr>
          <w:rFonts w:ascii="Times New Roman" w:hAnsi="Times New Roman"/>
          <w:lang w:val="es-PR"/>
        </w:rPr>
        <w:t xml:space="preserve">, </w:t>
      </w:r>
      <w:r w:rsidR="00921D95" w:rsidRPr="00D71813">
        <w:rPr>
          <w:rFonts w:ascii="Times New Roman" w:hAnsi="Times New Roman"/>
          <w:lang w:val="es-PR"/>
        </w:rPr>
        <w:t>Tí</w:t>
      </w:r>
      <w:r w:rsidR="00921D95">
        <w:rPr>
          <w:rFonts w:ascii="Times New Roman" w:hAnsi="Times New Roman"/>
          <w:lang w:val="es-PR"/>
        </w:rPr>
        <w:t>t</w:t>
      </w:r>
      <w:r w:rsidR="00921D95" w:rsidRPr="00D71813">
        <w:rPr>
          <w:rFonts w:ascii="Times New Roman" w:hAnsi="Times New Roman"/>
          <w:lang w:val="es-PR"/>
        </w:rPr>
        <w:t>ulo</w:t>
      </w:r>
      <w:r w:rsidRPr="00D71813">
        <w:rPr>
          <w:rFonts w:ascii="Times New Roman" w:hAnsi="Times New Roman"/>
          <w:lang w:val="es-PR"/>
        </w:rPr>
        <w:t xml:space="preserve"> del P. del S. </w:t>
      </w:r>
      <w:r w:rsidR="00AF29EE">
        <w:rPr>
          <w:rFonts w:ascii="Times New Roman" w:hAnsi="Times New Roman"/>
          <w:lang w:val="es-PR"/>
        </w:rPr>
        <w:t>730</w:t>
      </w:r>
      <w:r w:rsidR="00921D95">
        <w:rPr>
          <w:rFonts w:ascii="Times New Roman" w:hAnsi="Times New Roman"/>
          <w:lang w:val="es-PR"/>
        </w:rPr>
        <w:t>.</w:t>
      </w:r>
    </w:p>
  </w:footnote>
  <w:footnote w:id="2">
    <w:p w14:paraId="1FD59873" w14:textId="7009FC44" w:rsidR="008C7695" w:rsidRPr="008C7695" w:rsidRDefault="008C7695">
      <w:pPr>
        <w:pStyle w:val="FootnoteText"/>
        <w:rPr>
          <w:lang w:val="es-ES_tradnl"/>
        </w:rPr>
      </w:pPr>
      <w:r>
        <w:rPr>
          <w:rStyle w:val="FootnoteReference"/>
        </w:rPr>
        <w:footnoteRef/>
      </w:r>
      <w:r w:rsidRPr="008C7695">
        <w:rPr>
          <w:lang w:val="es-ES_tradnl"/>
        </w:rPr>
        <w:t xml:space="preserve"> </w:t>
      </w:r>
      <w:r w:rsidRPr="006475A0">
        <w:rPr>
          <w:rFonts w:ascii="Times New Roman" w:hAnsi="Times New Roman"/>
          <w:lang w:val="es-PR"/>
        </w:rPr>
        <w:t>Véase, Exposición de Motivos del P. del S. 730.</w:t>
      </w:r>
    </w:p>
  </w:footnote>
  <w:footnote w:id="3">
    <w:p w14:paraId="03DC9005" w14:textId="3FCCD873" w:rsidR="00536176" w:rsidRPr="006475A0" w:rsidRDefault="00536176">
      <w:pPr>
        <w:pStyle w:val="FootnoteText"/>
        <w:rPr>
          <w:rFonts w:ascii="Times New Roman" w:hAnsi="Times New Roman"/>
          <w:lang w:val="es-PR"/>
        </w:rPr>
      </w:pPr>
      <w:r w:rsidRPr="006475A0">
        <w:rPr>
          <w:rStyle w:val="FootnoteReference"/>
          <w:rFonts w:ascii="Times New Roman" w:hAnsi="Times New Roman"/>
        </w:rPr>
        <w:footnoteRef/>
      </w:r>
      <w:r w:rsidRPr="006475A0">
        <w:rPr>
          <w:rFonts w:ascii="Times New Roman" w:hAnsi="Times New Roman"/>
          <w:lang w:val="es-PR"/>
        </w:rPr>
        <w:t xml:space="preserve"> </w:t>
      </w:r>
      <w:r w:rsidR="008C7695">
        <w:rPr>
          <w:rFonts w:ascii="Times New Roman" w:hAnsi="Times New Roman"/>
          <w:lang w:val="es-PR"/>
        </w:rPr>
        <w:t>Id.</w:t>
      </w:r>
    </w:p>
  </w:footnote>
  <w:footnote w:id="4">
    <w:p w14:paraId="3D62F384" w14:textId="01C93A3C" w:rsidR="008C7695" w:rsidRPr="008C7695" w:rsidRDefault="008C7695">
      <w:pPr>
        <w:pStyle w:val="FootnoteText"/>
        <w:rPr>
          <w:rFonts w:ascii="Times New Roman" w:hAnsi="Times New Roman"/>
          <w:lang w:val="es-ES_tradnl"/>
        </w:rPr>
      </w:pPr>
      <w:r w:rsidRPr="008C7695">
        <w:rPr>
          <w:rStyle w:val="FootnoteReference"/>
          <w:rFonts w:ascii="Times New Roman" w:hAnsi="Times New Roman"/>
        </w:rPr>
        <w:footnoteRef/>
      </w:r>
      <w:r w:rsidRPr="008C7695">
        <w:rPr>
          <w:rFonts w:ascii="Times New Roman" w:hAnsi="Times New Roman"/>
          <w:lang w:val="es-ES_tradnl"/>
        </w:rPr>
        <w:t xml:space="preserve"> </w:t>
      </w:r>
      <w:r w:rsidRPr="008C7695">
        <w:rPr>
          <w:rFonts w:ascii="Times New Roman" w:hAnsi="Times New Roman"/>
          <w:lang w:val="es-PR"/>
        </w:rPr>
        <w:t xml:space="preserve">Véase, Memorial Explicativo de la Asociación de </w:t>
      </w:r>
      <w:proofErr w:type="gramStart"/>
      <w:r w:rsidRPr="008C7695">
        <w:rPr>
          <w:rFonts w:ascii="Times New Roman" w:hAnsi="Times New Roman"/>
          <w:lang w:val="es-PR"/>
        </w:rPr>
        <w:t>Alcaldes</w:t>
      </w:r>
      <w:proofErr w:type="gramEnd"/>
      <w:r w:rsidRPr="008C7695">
        <w:rPr>
          <w:rFonts w:ascii="Times New Roman" w:hAnsi="Times New Roman"/>
          <w:lang w:val="es-PR"/>
        </w:rPr>
        <w:t xml:space="preserve"> de Puerto Rico sobre el P. del S. 730.</w:t>
      </w:r>
    </w:p>
  </w:footnote>
  <w:footnote w:id="5">
    <w:p w14:paraId="67E6BC67" w14:textId="12B68BF3" w:rsidR="008C7695" w:rsidRPr="008C7695" w:rsidRDefault="008C7695">
      <w:pPr>
        <w:pStyle w:val="FootnoteText"/>
        <w:rPr>
          <w:lang w:val="es-ES_tradnl"/>
        </w:rPr>
      </w:pPr>
      <w:r w:rsidRPr="008C7695">
        <w:rPr>
          <w:rStyle w:val="FootnoteReference"/>
          <w:rFonts w:ascii="Times New Roman" w:hAnsi="Times New Roman"/>
        </w:rPr>
        <w:footnoteRef/>
      </w:r>
      <w:r w:rsidRPr="008C7695">
        <w:rPr>
          <w:rFonts w:ascii="Times New Roman" w:hAnsi="Times New Roman"/>
          <w:lang w:val="es-ES_tradnl"/>
        </w:rPr>
        <w:t xml:space="preserve"> Id.</w:t>
      </w:r>
    </w:p>
  </w:footnote>
  <w:footnote w:id="6">
    <w:p w14:paraId="57AF605F" w14:textId="1D47BDF5" w:rsidR="00DD5F65" w:rsidRPr="006A21A0" w:rsidRDefault="00DD5F65">
      <w:pPr>
        <w:pStyle w:val="FootnoteText"/>
        <w:rPr>
          <w:rFonts w:ascii="Times New Roman" w:hAnsi="Times New Roman"/>
          <w:lang w:val="es-PR"/>
        </w:rPr>
      </w:pPr>
      <w:r w:rsidRPr="006A21A0">
        <w:rPr>
          <w:rStyle w:val="FootnoteReference"/>
          <w:rFonts w:ascii="Times New Roman" w:hAnsi="Times New Roman"/>
        </w:rPr>
        <w:footnoteRef/>
      </w:r>
      <w:r w:rsidRPr="006A21A0">
        <w:rPr>
          <w:rFonts w:ascii="Times New Roman" w:hAnsi="Times New Roman"/>
          <w:lang w:val="es-PR"/>
        </w:rPr>
        <w:t xml:space="preserve"> Véase, Memorial Explicativo de la </w:t>
      </w:r>
      <w:r w:rsidR="00536176" w:rsidRPr="006A21A0">
        <w:rPr>
          <w:rFonts w:ascii="Times New Roman" w:hAnsi="Times New Roman"/>
          <w:lang w:val="es-PR"/>
        </w:rPr>
        <w:t>Asociación</w:t>
      </w:r>
      <w:r w:rsidRPr="006A21A0">
        <w:rPr>
          <w:rFonts w:ascii="Times New Roman" w:hAnsi="Times New Roman"/>
          <w:lang w:val="es-PR"/>
        </w:rPr>
        <w:t xml:space="preserve"> de </w:t>
      </w:r>
      <w:proofErr w:type="gramStart"/>
      <w:r w:rsidRPr="006A21A0">
        <w:rPr>
          <w:rFonts w:ascii="Times New Roman" w:hAnsi="Times New Roman"/>
          <w:lang w:val="es-PR"/>
        </w:rPr>
        <w:t>Alcaldes</w:t>
      </w:r>
      <w:proofErr w:type="gramEnd"/>
      <w:r w:rsidRPr="006A21A0">
        <w:rPr>
          <w:rFonts w:ascii="Times New Roman" w:hAnsi="Times New Roman"/>
          <w:lang w:val="es-PR"/>
        </w:rPr>
        <w:t xml:space="preserve"> de Puerto Rico sobre el P. del S. 730. </w:t>
      </w:r>
    </w:p>
  </w:footnote>
  <w:footnote w:id="7">
    <w:p w14:paraId="0A7C1FB9" w14:textId="0A485EC2" w:rsidR="008C7695" w:rsidRPr="008C7695" w:rsidRDefault="008C7695">
      <w:pPr>
        <w:pStyle w:val="FootnoteText"/>
        <w:rPr>
          <w:lang w:val="es-ES_tradnl"/>
        </w:rPr>
      </w:pPr>
      <w:r>
        <w:rPr>
          <w:rStyle w:val="FootnoteReference"/>
        </w:rPr>
        <w:footnoteRef/>
      </w:r>
      <w:r w:rsidRPr="008C7695">
        <w:rPr>
          <w:lang w:val="es-ES_tradnl"/>
        </w:rPr>
        <w:t xml:space="preserve"> </w:t>
      </w:r>
      <w:r w:rsidRPr="006A21A0">
        <w:rPr>
          <w:rFonts w:ascii="Times New Roman" w:hAnsi="Times New Roman"/>
          <w:lang w:val="es-PR"/>
        </w:rPr>
        <w:t>Véase, Memorial Explicativo de la Comisión Estatal de Elecciones (CEE), sobre el P. del S. 730.</w:t>
      </w:r>
    </w:p>
  </w:footnote>
  <w:footnote w:id="8">
    <w:p w14:paraId="50C22B11" w14:textId="05BD4DFA" w:rsidR="008C7695" w:rsidRPr="008C7695" w:rsidRDefault="008C7695">
      <w:pPr>
        <w:pStyle w:val="FootnoteText"/>
        <w:rPr>
          <w:lang w:val="es-ES_tradnl"/>
        </w:rPr>
      </w:pPr>
      <w:r>
        <w:rPr>
          <w:rStyle w:val="FootnoteReference"/>
        </w:rPr>
        <w:footnoteRef/>
      </w:r>
      <w:r w:rsidRPr="008C7695">
        <w:rPr>
          <w:lang w:val="es-ES_tradnl"/>
        </w:rPr>
        <w:t xml:space="preserve"> </w:t>
      </w:r>
      <w:r w:rsidRPr="008C7695">
        <w:rPr>
          <w:rFonts w:ascii="Times New Roman" w:hAnsi="Times New Roman"/>
          <w:lang w:val="es-ES_tradnl"/>
        </w:rPr>
        <w:t>Id.</w:t>
      </w:r>
    </w:p>
  </w:footnote>
  <w:footnote w:id="9">
    <w:p w14:paraId="35E8EA13" w14:textId="2413B395" w:rsidR="00DD5F65" w:rsidRPr="006A21A0" w:rsidRDefault="00DD5F65">
      <w:pPr>
        <w:pStyle w:val="FootnoteText"/>
        <w:rPr>
          <w:rFonts w:ascii="Times New Roman" w:hAnsi="Times New Roman"/>
          <w:lang w:val="es-PR"/>
        </w:rPr>
      </w:pPr>
      <w:r w:rsidRPr="006A21A0">
        <w:rPr>
          <w:rStyle w:val="FootnoteReference"/>
          <w:rFonts w:ascii="Times New Roman" w:hAnsi="Times New Roman"/>
        </w:rPr>
        <w:footnoteRef/>
      </w:r>
      <w:r w:rsidRPr="006A21A0">
        <w:rPr>
          <w:rFonts w:ascii="Times New Roman" w:hAnsi="Times New Roman"/>
          <w:lang w:val="es-PR"/>
        </w:rPr>
        <w:t xml:space="preserve"> Véase, Memorial Explicativo de la Comisión Estatal de Elecciones (CEE), sobre el P. del S. 730. </w:t>
      </w:r>
    </w:p>
  </w:footnote>
  <w:footnote w:id="10">
    <w:p w14:paraId="4C6CAC18" w14:textId="3193E4C6" w:rsidR="00536176" w:rsidRPr="006A21A0" w:rsidRDefault="00536176">
      <w:pPr>
        <w:pStyle w:val="FootnoteText"/>
        <w:rPr>
          <w:rFonts w:ascii="Times New Roman" w:hAnsi="Times New Roman"/>
          <w:lang w:val="es-PR"/>
        </w:rPr>
      </w:pPr>
      <w:r w:rsidRPr="006A21A0">
        <w:rPr>
          <w:rStyle w:val="FootnoteReference"/>
          <w:rFonts w:ascii="Times New Roman" w:hAnsi="Times New Roman"/>
        </w:rPr>
        <w:footnoteRef/>
      </w:r>
      <w:r w:rsidRPr="006A21A0">
        <w:rPr>
          <w:rFonts w:ascii="Times New Roman" w:hAnsi="Times New Roman"/>
          <w:lang w:val="es-PR"/>
        </w:rPr>
        <w:t xml:space="preserve"> </w:t>
      </w:r>
      <w:r w:rsidR="00DD340F" w:rsidRPr="006A21A0">
        <w:rPr>
          <w:rFonts w:ascii="Times New Roman" w:hAnsi="Times New Roman"/>
          <w:lang w:val="es-PR"/>
        </w:rPr>
        <w:t>Véase,</w:t>
      </w:r>
      <w:r w:rsidRPr="006A21A0">
        <w:rPr>
          <w:rFonts w:ascii="Times New Roman" w:hAnsi="Times New Roman"/>
          <w:lang w:val="es-PR"/>
        </w:rPr>
        <w:t xml:space="preserve"> P. del S. </w:t>
      </w:r>
      <w:r w:rsidR="00DD340F" w:rsidRPr="006A21A0">
        <w:rPr>
          <w:rFonts w:ascii="Times New Roman" w:hAnsi="Times New Roman"/>
          <w:lang w:val="es-PR"/>
        </w:rPr>
        <w:t xml:space="preserve">717. Texto de Aprobación enviado a la Cámara. Disponible en: </w:t>
      </w:r>
      <w:hyperlink r:id="rId1" w:history="1">
        <w:r w:rsidR="00DD340F" w:rsidRPr="006A21A0">
          <w:rPr>
            <w:rStyle w:val="Hyperlink"/>
            <w:rFonts w:ascii="Times New Roman" w:hAnsi="Times New Roman"/>
            <w:lang w:val="es-PR"/>
          </w:rPr>
          <w:t>https://sutra.oslpr.org/medidas/158328</w:t>
        </w:r>
      </w:hyperlink>
      <w:r w:rsidR="00DD340F" w:rsidRPr="006A21A0">
        <w:rPr>
          <w:rFonts w:ascii="Times New Roman" w:hAnsi="Times New Roman"/>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11EF9A7D"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300673FE" w14:textId="01A6CDF8" w:rsidR="00F34137" w:rsidRPr="00F34137" w:rsidRDefault="00F34137" w:rsidP="00F34137">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 xml:space="preserve">Informe </w:t>
    </w:r>
    <w:r>
      <w:rPr>
        <w:rFonts w:ascii="Book Antiqua" w:eastAsia="Aptos" w:hAnsi="Book Antiqua" w:cs="Times New Roman"/>
        <w:i/>
        <w:iCs/>
        <w:color w:val="000000"/>
        <w:kern w:val="2"/>
        <w:sz w:val="20"/>
        <w:szCs w:val="20"/>
        <w:lang w:val="es-ES_tradnl"/>
        <w14:ligatures w14:val="standardContextual"/>
      </w:rPr>
      <w:t>Negativo</w:t>
    </w:r>
    <w:r w:rsidRPr="00F34137">
      <w:rPr>
        <w:rFonts w:ascii="Book Antiqua" w:eastAsia="Aptos" w:hAnsi="Book Antiqua" w:cs="Times New Roman"/>
        <w:i/>
        <w:iCs/>
        <w:color w:val="000000"/>
        <w:kern w:val="2"/>
        <w:sz w:val="20"/>
        <w:szCs w:val="20"/>
        <w:lang w:val="es-ES_tradnl"/>
        <w14:ligatures w14:val="standardContextual"/>
      </w:rPr>
      <w:t xml:space="preserve"> sobre el P. de</w:t>
    </w:r>
    <w:r w:rsidR="00C10694">
      <w:rPr>
        <w:rFonts w:ascii="Book Antiqua" w:eastAsia="Aptos" w:hAnsi="Book Antiqua" w:cs="Times New Roman"/>
        <w:i/>
        <w:iCs/>
        <w:color w:val="000000"/>
        <w:kern w:val="2"/>
        <w:sz w:val="20"/>
        <w:szCs w:val="20"/>
        <w:lang w:val="es-ES_tradnl"/>
        <w14:ligatures w14:val="standardContextual"/>
      </w:rPr>
      <w:t>l S</w:t>
    </w:r>
    <w:r w:rsidRPr="00F34137">
      <w:rPr>
        <w:rFonts w:ascii="Book Antiqua" w:eastAsia="Aptos" w:hAnsi="Book Antiqua" w:cs="Times New Roman"/>
        <w:i/>
        <w:iCs/>
        <w:color w:val="000000"/>
        <w:kern w:val="2"/>
        <w:sz w:val="20"/>
        <w:szCs w:val="20"/>
        <w:lang w:val="es-ES_tradnl"/>
        <w14:ligatures w14:val="standardContextual"/>
      </w:rPr>
      <w:t xml:space="preserve">.  </w:t>
    </w:r>
    <w:r w:rsidR="00AF29EE">
      <w:rPr>
        <w:rFonts w:ascii="Book Antiqua" w:eastAsia="Aptos" w:hAnsi="Book Antiqua" w:cs="Times New Roman"/>
        <w:i/>
        <w:iCs/>
        <w:color w:val="000000"/>
        <w:kern w:val="2"/>
        <w:sz w:val="20"/>
        <w:szCs w:val="20"/>
        <w:lang w:val="es-ES_tradnl"/>
        <w14:ligatures w14:val="standardContextual"/>
      </w:rPr>
      <w:t>730</w:t>
    </w:r>
  </w:p>
  <w:p w14:paraId="029CB52A" w14:textId="77777777" w:rsidR="00F34137" w:rsidRPr="00F34137" w:rsidRDefault="00F34137" w:rsidP="00F34137">
    <w:pPr>
      <w:tabs>
        <w:tab w:val="center" w:pos="4680"/>
        <w:tab w:val="right" w:pos="9360"/>
      </w:tabs>
      <w:spacing w:after="0" w:line="240" w:lineRule="auto"/>
      <w:jc w:val="center"/>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ab/>
    </w:r>
    <w:r w:rsidRPr="00F34137">
      <w:rPr>
        <w:rFonts w:ascii="Book Antiqua" w:eastAsia="Aptos" w:hAnsi="Book Antiqua" w:cs="Times New Roman"/>
        <w:i/>
        <w:iCs/>
        <w:color w:val="000000"/>
        <w:kern w:val="2"/>
        <w:sz w:val="20"/>
        <w:szCs w:val="20"/>
        <w:lang w:val="es-ES_tradnl"/>
        <w14:ligatures w14:val="standardContextual"/>
      </w:rPr>
      <w:tab/>
      <w:t>Comisión de Innovación,</w:t>
    </w:r>
  </w:p>
  <w:p w14:paraId="50DEB039" w14:textId="77777777" w:rsidR="00F34137" w:rsidRPr="00F34137" w:rsidRDefault="00F34137" w:rsidP="00F34137">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 xml:space="preserve">Reforma y Nombramientos </w:t>
    </w: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750484">
    <w:abstractNumId w:val="3"/>
  </w:num>
  <w:num w:numId="2" w16cid:durableId="2020693400">
    <w:abstractNumId w:val="0"/>
  </w:num>
  <w:num w:numId="3" w16cid:durableId="587807769">
    <w:abstractNumId w:val="2"/>
  </w:num>
  <w:num w:numId="4" w16cid:durableId="965046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24F7"/>
    <w:rsid w:val="00014D9A"/>
    <w:rsid w:val="00022BDC"/>
    <w:rsid w:val="0002692C"/>
    <w:rsid w:val="000273A0"/>
    <w:rsid w:val="0003162F"/>
    <w:rsid w:val="00035C88"/>
    <w:rsid w:val="00043761"/>
    <w:rsid w:val="000447D6"/>
    <w:rsid w:val="0004764E"/>
    <w:rsid w:val="000553E2"/>
    <w:rsid w:val="00056ADD"/>
    <w:rsid w:val="000608A1"/>
    <w:rsid w:val="000713DF"/>
    <w:rsid w:val="000749B2"/>
    <w:rsid w:val="000753AC"/>
    <w:rsid w:val="0008359E"/>
    <w:rsid w:val="0008420D"/>
    <w:rsid w:val="00090BA6"/>
    <w:rsid w:val="00096FB7"/>
    <w:rsid w:val="000A0BF5"/>
    <w:rsid w:val="000A5BC3"/>
    <w:rsid w:val="000A772A"/>
    <w:rsid w:val="000B0CC0"/>
    <w:rsid w:val="000B2F35"/>
    <w:rsid w:val="000B475A"/>
    <w:rsid w:val="000B555F"/>
    <w:rsid w:val="000C0A29"/>
    <w:rsid w:val="000D15E6"/>
    <w:rsid w:val="000D28D5"/>
    <w:rsid w:val="000D7BA4"/>
    <w:rsid w:val="000F06A9"/>
    <w:rsid w:val="000F0FC1"/>
    <w:rsid w:val="000F4828"/>
    <w:rsid w:val="000F6919"/>
    <w:rsid w:val="00102103"/>
    <w:rsid w:val="00107E83"/>
    <w:rsid w:val="0011132B"/>
    <w:rsid w:val="00114466"/>
    <w:rsid w:val="00115431"/>
    <w:rsid w:val="00115BA5"/>
    <w:rsid w:val="001211ED"/>
    <w:rsid w:val="00121C66"/>
    <w:rsid w:val="0012761E"/>
    <w:rsid w:val="00130B19"/>
    <w:rsid w:val="00131CEE"/>
    <w:rsid w:val="001361D8"/>
    <w:rsid w:val="00137D0D"/>
    <w:rsid w:val="00146465"/>
    <w:rsid w:val="00153AC8"/>
    <w:rsid w:val="0016187F"/>
    <w:rsid w:val="001649EF"/>
    <w:rsid w:val="00171190"/>
    <w:rsid w:val="00173F32"/>
    <w:rsid w:val="00177813"/>
    <w:rsid w:val="001931B2"/>
    <w:rsid w:val="001946BA"/>
    <w:rsid w:val="001A2329"/>
    <w:rsid w:val="001B6D29"/>
    <w:rsid w:val="001C09CB"/>
    <w:rsid w:val="001C3557"/>
    <w:rsid w:val="001D57E1"/>
    <w:rsid w:val="001E1A2C"/>
    <w:rsid w:val="001E1B9E"/>
    <w:rsid w:val="001E276C"/>
    <w:rsid w:val="001E4156"/>
    <w:rsid w:val="001F4559"/>
    <w:rsid w:val="002129CF"/>
    <w:rsid w:val="0021388E"/>
    <w:rsid w:val="00214743"/>
    <w:rsid w:val="0022003F"/>
    <w:rsid w:val="002304E7"/>
    <w:rsid w:val="00240781"/>
    <w:rsid w:val="0024559D"/>
    <w:rsid w:val="00245CF4"/>
    <w:rsid w:val="002504B6"/>
    <w:rsid w:val="00271566"/>
    <w:rsid w:val="00293BCA"/>
    <w:rsid w:val="00294802"/>
    <w:rsid w:val="002B4353"/>
    <w:rsid w:val="002B637C"/>
    <w:rsid w:val="002B7C37"/>
    <w:rsid w:val="002D2EE2"/>
    <w:rsid w:val="002E1FCF"/>
    <w:rsid w:val="002E20C3"/>
    <w:rsid w:val="002E3D30"/>
    <w:rsid w:val="002E53A6"/>
    <w:rsid w:val="002F0D06"/>
    <w:rsid w:val="002F7C6A"/>
    <w:rsid w:val="0030144D"/>
    <w:rsid w:val="00305FAE"/>
    <w:rsid w:val="00311229"/>
    <w:rsid w:val="00311703"/>
    <w:rsid w:val="00322720"/>
    <w:rsid w:val="003271E5"/>
    <w:rsid w:val="00344018"/>
    <w:rsid w:val="003459EC"/>
    <w:rsid w:val="00354BEA"/>
    <w:rsid w:val="00354DC8"/>
    <w:rsid w:val="0035525D"/>
    <w:rsid w:val="00361AE6"/>
    <w:rsid w:val="00364984"/>
    <w:rsid w:val="00364E2E"/>
    <w:rsid w:val="0036586B"/>
    <w:rsid w:val="003756A5"/>
    <w:rsid w:val="003821B2"/>
    <w:rsid w:val="0038786D"/>
    <w:rsid w:val="00391837"/>
    <w:rsid w:val="003A065C"/>
    <w:rsid w:val="003A7080"/>
    <w:rsid w:val="003C5B37"/>
    <w:rsid w:val="003C78B7"/>
    <w:rsid w:val="003D1330"/>
    <w:rsid w:val="003D74B1"/>
    <w:rsid w:val="003E37B0"/>
    <w:rsid w:val="003E3E39"/>
    <w:rsid w:val="003E49DB"/>
    <w:rsid w:val="003F725B"/>
    <w:rsid w:val="00403BC1"/>
    <w:rsid w:val="00406994"/>
    <w:rsid w:val="00414B8C"/>
    <w:rsid w:val="00426A07"/>
    <w:rsid w:val="00434356"/>
    <w:rsid w:val="00467A9B"/>
    <w:rsid w:val="00471079"/>
    <w:rsid w:val="004734F4"/>
    <w:rsid w:val="00482209"/>
    <w:rsid w:val="004924B5"/>
    <w:rsid w:val="00494437"/>
    <w:rsid w:val="004A72F4"/>
    <w:rsid w:val="004B331F"/>
    <w:rsid w:val="004B7E97"/>
    <w:rsid w:val="004C1C8A"/>
    <w:rsid w:val="004C32B1"/>
    <w:rsid w:val="004C5C9A"/>
    <w:rsid w:val="004D2FBA"/>
    <w:rsid w:val="004D4E89"/>
    <w:rsid w:val="004E72AB"/>
    <w:rsid w:val="004F08A2"/>
    <w:rsid w:val="004F6C4C"/>
    <w:rsid w:val="00505699"/>
    <w:rsid w:val="00536176"/>
    <w:rsid w:val="00542C71"/>
    <w:rsid w:val="00560C4D"/>
    <w:rsid w:val="005670CF"/>
    <w:rsid w:val="005709BF"/>
    <w:rsid w:val="00576B06"/>
    <w:rsid w:val="0057745A"/>
    <w:rsid w:val="00582EA8"/>
    <w:rsid w:val="00582F00"/>
    <w:rsid w:val="005A0D34"/>
    <w:rsid w:val="005A362B"/>
    <w:rsid w:val="005A4D50"/>
    <w:rsid w:val="005C335E"/>
    <w:rsid w:val="005C6E85"/>
    <w:rsid w:val="005C73C9"/>
    <w:rsid w:val="005D139A"/>
    <w:rsid w:val="005D307F"/>
    <w:rsid w:val="005E0B21"/>
    <w:rsid w:val="005E46B4"/>
    <w:rsid w:val="005E5101"/>
    <w:rsid w:val="00607F19"/>
    <w:rsid w:val="00616AE0"/>
    <w:rsid w:val="00620C0B"/>
    <w:rsid w:val="00635221"/>
    <w:rsid w:val="006471C2"/>
    <w:rsid w:val="006475A0"/>
    <w:rsid w:val="006511CA"/>
    <w:rsid w:val="00653A1B"/>
    <w:rsid w:val="00663047"/>
    <w:rsid w:val="00664B89"/>
    <w:rsid w:val="00665B83"/>
    <w:rsid w:val="00666652"/>
    <w:rsid w:val="00681792"/>
    <w:rsid w:val="006900B4"/>
    <w:rsid w:val="00696626"/>
    <w:rsid w:val="006A013F"/>
    <w:rsid w:val="006A21A0"/>
    <w:rsid w:val="006A3A00"/>
    <w:rsid w:val="006A7985"/>
    <w:rsid w:val="006B1A89"/>
    <w:rsid w:val="006B1D8B"/>
    <w:rsid w:val="006C6298"/>
    <w:rsid w:val="006D00EA"/>
    <w:rsid w:val="006F1D7A"/>
    <w:rsid w:val="00705D48"/>
    <w:rsid w:val="00715E89"/>
    <w:rsid w:val="00716295"/>
    <w:rsid w:val="007242F6"/>
    <w:rsid w:val="0072709D"/>
    <w:rsid w:val="0073017B"/>
    <w:rsid w:val="007344A2"/>
    <w:rsid w:val="00737B58"/>
    <w:rsid w:val="00745B5D"/>
    <w:rsid w:val="00746003"/>
    <w:rsid w:val="0074644E"/>
    <w:rsid w:val="0075038A"/>
    <w:rsid w:val="00752C26"/>
    <w:rsid w:val="00754CB9"/>
    <w:rsid w:val="007616C4"/>
    <w:rsid w:val="0076193A"/>
    <w:rsid w:val="007833FE"/>
    <w:rsid w:val="0078552C"/>
    <w:rsid w:val="0079116A"/>
    <w:rsid w:val="00796031"/>
    <w:rsid w:val="0079725F"/>
    <w:rsid w:val="007A420A"/>
    <w:rsid w:val="007B2B0E"/>
    <w:rsid w:val="007B42D9"/>
    <w:rsid w:val="007C1A4E"/>
    <w:rsid w:val="007C26DD"/>
    <w:rsid w:val="007D4A54"/>
    <w:rsid w:val="007D5AD3"/>
    <w:rsid w:val="007D7327"/>
    <w:rsid w:val="007E0653"/>
    <w:rsid w:val="007E5521"/>
    <w:rsid w:val="007E656E"/>
    <w:rsid w:val="007F67FB"/>
    <w:rsid w:val="008223A9"/>
    <w:rsid w:val="00824806"/>
    <w:rsid w:val="00826449"/>
    <w:rsid w:val="00834A69"/>
    <w:rsid w:val="00834C22"/>
    <w:rsid w:val="00843DCB"/>
    <w:rsid w:val="008440E8"/>
    <w:rsid w:val="00845363"/>
    <w:rsid w:val="00853461"/>
    <w:rsid w:val="00857E10"/>
    <w:rsid w:val="00864F28"/>
    <w:rsid w:val="00894984"/>
    <w:rsid w:val="00896CA1"/>
    <w:rsid w:val="008A0F91"/>
    <w:rsid w:val="008A7C89"/>
    <w:rsid w:val="008B2E33"/>
    <w:rsid w:val="008B3A66"/>
    <w:rsid w:val="008C1C33"/>
    <w:rsid w:val="008C3019"/>
    <w:rsid w:val="008C4012"/>
    <w:rsid w:val="008C4CF4"/>
    <w:rsid w:val="008C63DB"/>
    <w:rsid w:val="008C7695"/>
    <w:rsid w:val="008D4720"/>
    <w:rsid w:val="008D7E93"/>
    <w:rsid w:val="008F4ABE"/>
    <w:rsid w:val="008F677A"/>
    <w:rsid w:val="00903BC2"/>
    <w:rsid w:val="0090642F"/>
    <w:rsid w:val="00906520"/>
    <w:rsid w:val="009070B9"/>
    <w:rsid w:val="00910B38"/>
    <w:rsid w:val="00913FAA"/>
    <w:rsid w:val="00916BB6"/>
    <w:rsid w:val="00921D95"/>
    <w:rsid w:val="00921E2C"/>
    <w:rsid w:val="00926A35"/>
    <w:rsid w:val="009313D6"/>
    <w:rsid w:val="00943A5A"/>
    <w:rsid w:val="009456E5"/>
    <w:rsid w:val="00945AE9"/>
    <w:rsid w:val="0094762A"/>
    <w:rsid w:val="00951909"/>
    <w:rsid w:val="00953A26"/>
    <w:rsid w:val="00954C08"/>
    <w:rsid w:val="00960C5A"/>
    <w:rsid w:val="00970C8D"/>
    <w:rsid w:val="00981C83"/>
    <w:rsid w:val="00981D6F"/>
    <w:rsid w:val="00982738"/>
    <w:rsid w:val="00993D84"/>
    <w:rsid w:val="009967C7"/>
    <w:rsid w:val="009A362D"/>
    <w:rsid w:val="009B02C6"/>
    <w:rsid w:val="009B12D6"/>
    <w:rsid w:val="009C4659"/>
    <w:rsid w:val="009C7756"/>
    <w:rsid w:val="009D237A"/>
    <w:rsid w:val="009F1CA2"/>
    <w:rsid w:val="009F328D"/>
    <w:rsid w:val="009F46A2"/>
    <w:rsid w:val="00A14818"/>
    <w:rsid w:val="00A20431"/>
    <w:rsid w:val="00A2416A"/>
    <w:rsid w:val="00A31CE8"/>
    <w:rsid w:val="00A357B9"/>
    <w:rsid w:val="00A40A61"/>
    <w:rsid w:val="00A44122"/>
    <w:rsid w:val="00A50CF5"/>
    <w:rsid w:val="00A52D0E"/>
    <w:rsid w:val="00A54112"/>
    <w:rsid w:val="00A64B8D"/>
    <w:rsid w:val="00A6731A"/>
    <w:rsid w:val="00A70089"/>
    <w:rsid w:val="00A72CAB"/>
    <w:rsid w:val="00A73D5D"/>
    <w:rsid w:val="00A73EAA"/>
    <w:rsid w:val="00A7513C"/>
    <w:rsid w:val="00A82BBD"/>
    <w:rsid w:val="00A87A70"/>
    <w:rsid w:val="00A92BB8"/>
    <w:rsid w:val="00A92E0D"/>
    <w:rsid w:val="00A970B3"/>
    <w:rsid w:val="00AD3351"/>
    <w:rsid w:val="00AD746B"/>
    <w:rsid w:val="00AD7E27"/>
    <w:rsid w:val="00AF1148"/>
    <w:rsid w:val="00AF29EE"/>
    <w:rsid w:val="00AF550C"/>
    <w:rsid w:val="00B1528E"/>
    <w:rsid w:val="00B21EC5"/>
    <w:rsid w:val="00B41848"/>
    <w:rsid w:val="00B42DE5"/>
    <w:rsid w:val="00B5121C"/>
    <w:rsid w:val="00B64231"/>
    <w:rsid w:val="00B66A0D"/>
    <w:rsid w:val="00B66E92"/>
    <w:rsid w:val="00B73770"/>
    <w:rsid w:val="00B829FB"/>
    <w:rsid w:val="00B93A79"/>
    <w:rsid w:val="00B9492A"/>
    <w:rsid w:val="00B963E7"/>
    <w:rsid w:val="00B97A04"/>
    <w:rsid w:val="00BB1912"/>
    <w:rsid w:val="00BB4341"/>
    <w:rsid w:val="00BC5E86"/>
    <w:rsid w:val="00BC74A8"/>
    <w:rsid w:val="00BE4758"/>
    <w:rsid w:val="00BE5211"/>
    <w:rsid w:val="00BE5EA7"/>
    <w:rsid w:val="00BE758F"/>
    <w:rsid w:val="00BF407C"/>
    <w:rsid w:val="00C0212B"/>
    <w:rsid w:val="00C10694"/>
    <w:rsid w:val="00C12DB2"/>
    <w:rsid w:val="00C3020F"/>
    <w:rsid w:val="00C31E7A"/>
    <w:rsid w:val="00C33768"/>
    <w:rsid w:val="00C34095"/>
    <w:rsid w:val="00C41B7E"/>
    <w:rsid w:val="00C50AF5"/>
    <w:rsid w:val="00C52DB0"/>
    <w:rsid w:val="00C54852"/>
    <w:rsid w:val="00C54EE1"/>
    <w:rsid w:val="00C56581"/>
    <w:rsid w:val="00C56A6D"/>
    <w:rsid w:val="00C60917"/>
    <w:rsid w:val="00C63EA8"/>
    <w:rsid w:val="00C671E3"/>
    <w:rsid w:val="00C76033"/>
    <w:rsid w:val="00C8284E"/>
    <w:rsid w:val="00C866A1"/>
    <w:rsid w:val="00CA09D4"/>
    <w:rsid w:val="00CA34DE"/>
    <w:rsid w:val="00CA352E"/>
    <w:rsid w:val="00CA63C6"/>
    <w:rsid w:val="00CB1613"/>
    <w:rsid w:val="00CB7AB5"/>
    <w:rsid w:val="00CC2E7A"/>
    <w:rsid w:val="00CC6161"/>
    <w:rsid w:val="00CD45E9"/>
    <w:rsid w:val="00CD6BF7"/>
    <w:rsid w:val="00CF5CBB"/>
    <w:rsid w:val="00D042CB"/>
    <w:rsid w:val="00D06918"/>
    <w:rsid w:val="00D12D7A"/>
    <w:rsid w:val="00D173EE"/>
    <w:rsid w:val="00D23D1A"/>
    <w:rsid w:val="00D360F4"/>
    <w:rsid w:val="00D379A4"/>
    <w:rsid w:val="00D45D3F"/>
    <w:rsid w:val="00D566A9"/>
    <w:rsid w:val="00D61358"/>
    <w:rsid w:val="00D71813"/>
    <w:rsid w:val="00D80200"/>
    <w:rsid w:val="00D86FD7"/>
    <w:rsid w:val="00D92E85"/>
    <w:rsid w:val="00D9432E"/>
    <w:rsid w:val="00D95434"/>
    <w:rsid w:val="00DA0691"/>
    <w:rsid w:val="00DA5D04"/>
    <w:rsid w:val="00DB1880"/>
    <w:rsid w:val="00DB1C80"/>
    <w:rsid w:val="00DB7A96"/>
    <w:rsid w:val="00DC1771"/>
    <w:rsid w:val="00DC1E06"/>
    <w:rsid w:val="00DC2372"/>
    <w:rsid w:val="00DC4633"/>
    <w:rsid w:val="00DD0A9A"/>
    <w:rsid w:val="00DD161A"/>
    <w:rsid w:val="00DD340F"/>
    <w:rsid w:val="00DD5F65"/>
    <w:rsid w:val="00DD6C34"/>
    <w:rsid w:val="00DF209A"/>
    <w:rsid w:val="00DF3712"/>
    <w:rsid w:val="00DF49EF"/>
    <w:rsid w:val="00DF4A9B"/>
    <w:rsid w:val="00E01A30"/>
    <w:rsid w:val="00E0584A"/>
    <w:rsid w:val="00E1104E"/>
    <w:rsid w:val="00E206E7"/>
    <w:rsid w:val="00E22516"/>
    <w:rsid w:val="00E30EB0"/>
    <w:rsid w:val="00E375B4"/>
    <w:rsid w:val="00E41C05"/>
    <w:rsid w:val="00E4215B"/>
    <w:rsid w:val="00E472D6"/>
    <w:rsid w:val="00E54352"/>
    <w:rsid w:val="00E543D7"/>
    <w:rsid w:val="00E55262"/>
    <w:rsid w:val="00E6073C"/>
    <w:rsid w:val="00E72848"/>
    <w:rsid w:val="00E804E4"/>
    <w:rsid w:val="00E83EE8"/>
    <w:rsid w:val="00E90F23"/>
    <w:rsid w:val="00E91957"/>
    <w:rsid w:val="00E975E4"/>
    <w:rsid w:val="00EA3604"/>
    <w:rsid w:val="00EA4F6A"/>
    <w:rsid w:val="00EC291A"/>
    <w:rsid w:val="00EC3F99"/>
    <w:rsid w:val="00EC75AE"/>
    <w:rsid w:val="00ED65B6"/>
    <w:rsid w:val="00EE428D"/>
    <w:rsid w:val="00EE5266"/>
    <w:rsid w:val="00EF6262"/>
    <w:rsid w:val="00F04019"/>
    <w:rsid w:val="00F13D77"/>
    <w:rsid w:val="00F1648E"/>
    <w:rsid w:val="00F23B9B"/>
    <w:rsid w:val="00F24262"/>
    <w:rsid w:val="00F30374"/>
    <w:rsid w:val="00F34137"/>
    <w:rsid w:val="00F3546D"/>
    <w:rsid w:val="00F44605"/>
    <w:rsid w:val="00F50386"/>
    <w:rsid w:val="00F55108"/>
    <w:rsid w:val="00F6728B"/>
    <w:rsid w:val="00F73AC3"/>
    <w:rsid w:val="00F7790D"/>
    <w:rsid w:val="00F945E6"/>
    <w:rsid w:val="00FA0381"/>
    <w:rsid w:val="00FA5181"/>
    <w:rsid w:val="00FB1365"/>
    <w:rsid w:val="00FB2671"/>
    <w:rsid w:val="00FB2BB6"/>
    <w:rsid w:val="00FB580D"/>
    <w:rsid w:val="00FB75CC"/>
    <w:rsid w:val="00FC0170"/>
    <w:rsid w:val="00FD5DB3"/>
    <w:rsid w:val="00FE041E"/>
    <w:rsid w:val="00FF0E0F"/>
    <w:rsid w:val="00FF5F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8D307C25-1954-9B48-94F5-577A1F56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71E3"/>
  </w:style>
  <w:style w:type="character" w:customStyle="1" w:styleId="eop">
    <w:name w:val="eop"/>
    <w:basedOn w:val="DefaultParagraphFont"/>
    <w:rsid w:val="00C671E3"/>
  </w:style>
  <w:style w:type="paragraph" w:styleId="NormalWeb">
    <w:name w:val="Normal (Web)"/>
    <w:basedOn w:val="Normal"/>
    <w:uiPriority w:val="99"/>
    <w:unhideWhenUsed/>
    <w:rsid w:val="00B97A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B75CC"/>
    <w:rPr>
      <w:i/>
      <w:iCs/>
    </w:rPr>
  </w:style>
  <w:style w:type="character" w:styleId="Hyperlink">
    <w:name w:val="Hyperlink"/>
    <w:basedOn w:val="DefaultParagraphFont"/>
    <w:uiPriority w:val="99"/>
    <w:unhideWhenUsed/>
    <w:rsid w:val="006A3A00"/>
    <w:rPr>
      <w:color w:val="467886" w:themeColor="hyperlink"/>
      <w:u w:val="single"/>
    </w:rPr>
  </w:style>
  <w:style w:type="character" w:styleId="UnresolvedMention">
    <w:name w:val="Unresolved Mention"/>
    <w:basedOn w:val="DefaultParagraphFont"/>
    <w:uiPriority w:val="99"/>
    <w:semiHidden/>
    <w:unhideWhenUsed/>
    <w:rsid w:val="006A3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74048">
      <w:bodyDiv w:val="1"/>
      <w:marLeft w:val="0"/>
      <w:marRight w:val="0"/>
      <w:marTop w:val="0"/>
      <w:marBottom w:val="0"/>
      <w:divBdr>
        <w:top w:val="none" w:sz="0" w:space="0" w:color="auto"/>
        <w:left w:val="none" w:sz="0" w:space="0" w:color="auto"/>
        <w:bottom w:val="none" w:sz="0" w:space="0" w:color="auto"/>
        <w:right w:val="none" w:sz="0" w:space="0" w:color="auto"/>
      </w:divBdr>
    </w:div>
    <w:div w:id="188497016">
      <w:bodyDiv w:val="1"/>
      <w:marLeft w:val="0"/>
      <w:marRight w:val="0"/>
      <w:marTop w:val="0"/>
      <w:marBottom w:val="0"/>
      <w:divBdr>
        <w:top w:val="none" w:sz="0" w:space="0" w:color="auto"/>
        <w:left w:val="none" w:sz="0" w:space="0" w:color="auto"/>
        <w:bottom w:val="none" w:sz="0" w:space="0" w:color="auto"/>
        <w:right w:val="none" w:sz="0" w:space="0" w:color="auto"/>
      </w:divBdr>
    </w:div>
    <w:div w:id="213391544">
      <w:bodyDiv w:val="1"/>
      <w:marLeft w:val="0"/>
      <w:marRight w:val="0"/>
      <w:marTop w:val="0"/>
      <w:marBottom w:val="0"/>
      <w:divBdr>
        <w:top w:val="none" w:sz="0" w:space="0" w:color="auto"/>
        <w:left w:val="none" w:sz="0" w:space="0" w:color="auto"/>
        <w:bottom w:val="none" w:sz="0" w:space="0" w:color="auto"/>
        <w:right w:val="none" w:sz="0" w:space="0" w:color="auto"/>
      </w:divBdr>
    </w:div>
    <w:div w:id="352338544">
      <w:bodyDiv w:val="1"/>
      <w:marLeft w:val="0"/>
      <w:marRight w:val="0"/>
      <w:marTop w:val="0"/>
      <w:marBottom w:val="0"/>
      <w:divBdr>
        <w:top w:val="none" w:sz="0" w:space="0" w:color="auto"/>
        <w:left w:val="none" w:sz="0" w:space="0" w:color="auto"/>
        <w:bottom w:val="none" w:sz="0" w:space="0" w:color="auto"/>
        <w:right w:val="none" w:sz="0" w:space="0" w:color="auto"/>
      </w:divBdr>
    </w:div>
    <w:div w:id="385298378">
      <w:bodyDiv w:val="1"/>
      <w:marLeft w:val="0"/>
      <w:marRight w:val="0"/>
      <w:marTop w:val="0"/>
      <w:marBottom w:val="0"/>
      <w:divBdr>
        <w:top w:val="none" w:sz="0" w:space="0" w:color="auto"/>
        <w:left w:val="none" w:sz="0" w:space="0" w:color="auto"/>
        <w:bottom w:val="none" w:sz="0" w:space="0" w:color="auto"/>
        <w:right w:val="none" w:sz="0" w:space="0" w:color="auto"/>
      </w:divBdr>
    </w:div>
    <w:div w:id="386297067">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4636327">
      <w:bodyDiv w:val="1"/>
      <w:marLeft w:val="0"/>
      <w:marRight w:val="0"/>
      <w:marTop w:val="0"/>
      <w:marBottom w:val="0"/>
      <w:divBdr>
        <w:top w:val="none" w:sz="0" w:space="0" w:color="auto"/>
        <w:left w:val="none" w:sz="0" w:space="0" w:color="auto"/>
        <w:bottom w:val="none" w:sz="0" w:space="0" w:color="auto"/>
        <w:right w:val="none" w:sz="0" w:space="0" w:color="auto"/>
      </w:divBdr>
    </w:div>
    <w:div w:id="437068731">
      <w:bodyDiv w:val="1"/>
      <w:marLeft w:val="0"/>
      <w:marRight w:val="0"/>
      <w:marTop w:val="0"/>
      <w:marBottom w:val="0"/>
      <w:divBdr>
        <w:top w:val="none" w:sz="0" w:space="0" w:color="auto"/>
        <w:left w:val="none" w:sz="0" w:space="0" w:color="auto"/>
        <w:bottom w:val="none" w:sz="0" w:space="0" w:color="auto"/>
        <w:right w:val="none" w:sz="0" w:space="0" w:color="auto"/>
      </w:divBdr>
    </w:div>
    <w:div w:id="488636871">
      <w:bodyDiv w:val="1"/>
      <w:marLeft w:val="0"/>
      <w:marRight w:val="0"/>
      <w:marTop w:val="0"/>
      <w:marBottom w:val="0"/>
      <w:divBdr>
        <w:top w:val="none" w:sz="0" w:space="0" w:color="auto"/>
        <w:left w:val="none" w:sz="0" w:space="0" w:color="auto"/>
        <w:bottom w:val="none" w:sz="0" w:space="0" w:color="auto"/>
        <w:right w:val="none" w:sz="0" w:space="0" w:color="auto"/>
      </w:divBdr>
    </w:div>
    <w:div w:id="554705909">
      <w:bodyDiv w:val="1"/>
      <w:marLeft w:val="0"/>
      <w:marRight w:val="0"/>
      <w:marTop w:val="0"/>
      <w:marBottom w:val="0"/>
      <w:divBdr>
        <w:top w:val="none" w:sz="0" w:space="0" w:color="auto"/>
        <w:left w:val="none" w:sz="0" w:space="0" w:color="auto"/>
        <w:bottom w:val="none" w:sz="0" w:space="0" w:color="auto"/>
        <w:right w:val="none" w:sz="0" w:space="0" w:color="auto"/>
      </w:divBdr>
    </w:div>
    <w:div w:id="592935014">
      <w:bodyDiv w:val="1"/>
      <w:marLeft w:val="0"/>
      <w:marRight w:val="0"/>
      <w:marTop w:val="0"/>
      <w:marBottom w:val="0"/>
      <w:divBdr>
        <w:top w:val="none" w:sz="0" w:space="0" w:color="auto"/>
        <w:left w:val="none" w:sz="0" w:space="0" w:color="auto"/>
        <w:bottom w:val="none" w:sz="0" w:space="0" w:color="auto"/>
        <w:right w:val="none" w:sz="0" w:space="0" w:color="auto"/>
      </w:divBdr>
    </w:div>
    <w:div w:id="619842073">
      <w:bodyDiv w:val="1"/>
      <w:marLeft w:val="0"/>
      <w:marRight w:val="0"/>
      <w:marTop w:val="0"/>
      <w:marBottom w:val="0"/>
      <w:divBdr>
        <w:top w:val="none" w:sz="0" w:space="0" w:color="auto"/>
        <w:left w:val="none" w:sz="0" w:space="0" w:color="auto"/>
        <w:bottom w:val="none" w:sz="0" w:space="0" w:color="auto"/>
        <w:right w:val="none" w:sz="0" w:space="0" w:color="auto"/>
      </w:divBdr>
    </w:div>
    <w:div w:id="739867919">
      <w:bodyDiv w:val="1"/>
      <w:marLeft w:val="0"/>
      <w:marRight w:val="0"/>
      <w:marTop w:val="0"/>
      <w:marBottom w:val="0"/>
      <w:divBdr>
        <w:top w:val="none" w:sz="0" w:space="0" w:color="auto"/>
        <w:left w:val="none" w:sz="0" w:space="0" w:color="auto"/>
        <w:bottom w:val="none" w:sz="0" w:space="0" w:color="auto"/>
        <w:right w:val="none" w:sz="0" w:space="0" w:color="auto"/>
      </w:divBdr>
    </w:div>
    <w:div w:id="760223732">
      <w:bodyDiv w:val="1"/>
      <w:marLeft w:val="0"/>
      <w:marRight w:val="0"/>
      <w:marTop w:val="0"/>
      <w:marBottom w:val="0"/>
      <w:divBdr>
        <w:top w:val="none" w:sz="0" w:space="0" w:color="auto"/>
        <w:left w:val="none" w:sz="0" w:space="0" w:color="auto"/>
        <w:bottom w:val="none" w:sz="0" w:space="0" w:color="auto"/>
        <w:right w:val="none" w:sz="0" w:space="0" w:color="auto"/>
      </w:divBdr>
    </w:div>
    <w:div w:id="854880496">
      <w:bodyDiv w:val="1"/>
      <w:marLeft w:val="0"/>
      <w:marRight w:val="0"/>
      <w:marTop w:val="0"/>
      <w:marBottom w:val="0"/>
      <w:divBdr>
        <w:top w:val="none" w:sz="0" w:space="0" w:color="auto"/>
        <w:left w:val="none" w:sz="0" w:space="0" w:color="auto"/>
        <w:bottom w:val="none" w:sz="0" w:space="0" w:color="auto"/>
        <w:right w:val="none" w:sz="0" w:space="0" w:color="auto"/>
      </w:divBdr>
    </w:div>
    <w:div w:id="875314418">
      <w:bodyDiv w:val="1"/>
      <w:marLeft w:val="0"/>
      <w:marRight w:val="0"/>
      <w:marTop w:val="0"/>
      <w:marBottom w:val="0"/>
      <w:divBdr>
        <w:top w:val="none" w:sz="0" w:space="0" w:color="auto"/>
        <w:left w:val="none" w:sz="0" w:space="0" w:color="auto"/>
        <w:bottom w:val="none" w:sz="0" w:space="0" w:color="auto"/>
        <w:right w:val="none" w:sz="0" w:space="0" w:color="auto"/>
      </w:divBdr>
    </w:div>
    <w:div w:id="887182963">
      <w:bodyDiv w:val="1"/>
      <w:marLeft w:val="0"/>
      <w:marRight w:val="0"/>
      <w:marTop w:val="0"/>
      <w:marBottom w:val="0"/>
      <w:divBdr>
        <w:top w:val="none" w:sz="0" w:space="0" w:color="auto"/>
        <w:left w:val="none" w:sz="0" w:space="0" w:color="auto"/>
        <w:bottom w:val="none" w:sz="0" w:space="0" w:color="auto"/>
        <w:right w:val="none" w:sz="0" w:space="0" w:color="auto"/>
      </w:divBdr>
    </w:div>
    <w:div w:id="925384298">
      <w:bodyDiv w:val="1"/>
      <w:marLeft w:val="0"/>
      <w:marRight w:val="0"/>
      <w:marTop w:val="0"/>
      <w:marBottom w:val="0"/>
      <w:divBdr>
        <w:top w:val="none" w:sz="0" w:space="0" w:color="auto"/>
        <w:left w:val="none" w:sz="0" w:space="0" w:color="auto"/>
        <w:bottom w:val="none" w:sz="0" w:space="0" w:color="auto"/>
        <w:right w:val="none" w:sz="0" w:space="0" w:color="auto"/>
      </w:divBdr>
    </w:div>
    <w:div w:id="1060444993">
      <w:bodyDiv w:val="1"/>
      <w:marLeft w:val="0"/>
      <w:marRight w:val="0"/>
      <w:marTop w:val="0"/>
      <w:marBottom w:val="0"/>
      <w:divBdr>
        <w:top w:val="none" w:sz="0" w:space="0" w:color="auto"/>
        <w:left w:val="none" w:sz="0" w:space="0" w:color="auto"/>
        <w:bottom w:val="none" w:sz="0" w:space="0" w:color="auto"/>
        <w:right w:val="none" w:sz="0" w:space="0" w:color="auto"/>
      </w:divBdr>
    </w:div>
    <w:div w:id="1070618663">
      <w:bodyDiv w:val="1"/>
      <w:marLeft w:val="0"/>
      <w:marRight w:val="0"/>
      <w:marTop w:val="0"/>
      <w:marBottom w:val="0"/>
      <w:divBdr>
        <w:top w:val="none" w:sz="0" w:space="0" w:color="auto"/>
        <w:left w:val="none" w:sz="0" w:space="0" w:color="auto"/>
        <w:bottom w:val="none" w:sz="0" w:space="0" w:color="auto"/>
        <w:right w:val="none" w:sz="0" w:space="0" w:color="auto"/>
      </w:divBdr>
      <w:divsChild>
        <w:div w:id="1057240839">
          <w:marLeft w:val="0"/>
          <w:marRight w:val="0"/>
          <w:marTop w:val="0"/>
          <w:marBottom w:val="0"/>
          <w:divBdr>
            <w:top w:val="none" w:sz="0" w:space="0" w:color="auto"/>
            <w:left w:val="none" w:sz="0" w:space="0" w:color="auto"/>
            <w:bottom w:val="none" w:sz="0" w:space="0" w:color="auto"/>
            <w:right w:val="none" w:sz="0" w:space="0" w:color="auto"/>
          </w:divBdr>
          <w:divsChild>
            <w:div w:id="748697585">
              <w:marLeft w:val="0"/>
              <w:marRight w:val="0"/>
              <w:marTop w:val="0"/>
              <w:marBottom w:val="0"/>
              <w:divBdr>
                <w:top w:val="none" w:sz="0" w:space="0" w:color="auto"/>
                <w:left w:val="none" w:sz="0" w:space="0" w:color="auto"/>
                <w:bottom w:val="none" w:sz="0" w:space="0" w:color="auto"/>
                <w:right w:val="none" w:sz="0" w:space="0" w:color="auto"/>
              </w:divBdr>
            </w:div>
          </w:divsChild>
        </w:div>
        <w:div w:id="168982133">
          <w:marLeft w:val="0"/>
          <w:marRight w:val="0"/>
          <w:marTop w:val="120"/>
          <w:marBottom w:val="0"/>
          <w:divBdr>
            <w:top w:val="none" w:sz="0" w:space="0" w:color="auto"/>
            <w:left w:val="none" w:sz="0" w:space="0" w:color="auto"/>
            <w:bottom w:val="none" w:sz="0" w:space="0" w:color="auto"/>
            <w:right w:val="none" w:sz="0" w:space="0" w:color="auto"/>
          </w:divBdr>
          <w:divsChild>
            <w:div w:id="555438049">
              <w:marLeft w:val="0"/>
              <w:marRight w:val="0"/>
              <w:marTop w:val="0"/>
              <w:marBottom w:val="0"/>
              <w:divBdr>
                <w:top w:val="none" w:sz="0" w:space="0" w:color="auto"/>
                <w:left w:val="none" w:sz="0" w:space="0" w:color="auto"/>
                <w:bottom w:val="none" w:sz="0" w:space="0" w:color="auto"/>
                <w:right w:val="none" w:sz="0" w:space="0" w:color="auto"/>
              </w:divBdr>
            </w:div>
          </w:divsChild>
        </w:div>
        <w:div w:id="1987196340">
          <w:marLeft w:val="0"/>
          <w:marRight w:val="0"/>
          <w:marTop w:val="120"/>
          <w:marBottom w:val="0"/>
          <w:divBdr>
            <w:top w:val="none" w:sz="0" w:space="0" w:color="auto"/>
            <w:left w:val="none" w:sz="0" w:space="0" w:color="auto"/>
            <w:bottom w:val="none" w:sz="0" w:space="0" w:color="auto"/>
            <w:right w:val="none" w:sz="0" w:space="0" w:color="auto"/>
          </w:divBdr>
          <w:divsChild>
            <w:div w:id="17924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68454">
      <w:bodyDiv w:val="1"/>
      <w:marLeft w:val="0"/>
      <w:marRight w:val="0"/>
      <w:marTop w:val="0"/>
      <w:marBottom w:val="0"/>
      <w:divBdr>
        <w:top w:val="none" w:sz="0" w:space="0" w:color="auto"/>
        <w:left w:val="none" w:sz="0" w:space="0" w:color="auto"/>
        <w:bottom w:val="none" w:sz="0" w:space="0" w:color="auto"/>
        <w:right w:val="none" w:sz="0" w:space="0" w:color="auto"/>
      </w:divBdr>
    </w:div>
    <w:div w:id="1143893273">
      <w:bodyDiv w:val="1"/>
      <w:marLeft w:val="0"/>
      <w:marRight w:val="0"/>
      <w:marTop w:val="0"/>
      <w:marBottom w:val="0"/>
      <w:divBdr>
        <w:top w:val="none" w:sz="0" w:space="0" w:color="auto"/>
        <w:left w:val="none" w:sz="0" w:space="0" w:color="auto"/>
        <w:bottom w:val="none" w:sz="0" w:space="0" w:color="auto"/>
        <w:right w:val="none" w:sz="0" w:space="0" w:color="auto"/>
      </w:divBdr>
    </w:div>
    <w:div w:id="1153789731">
      <w:bodyDiv w:val="1"/>
      <w:marLeft w:val="0"/>
      <w:marRight w:val="0"/>
      <w:marTop w:val="0"/>
      <w:marBottom w:val="0"/>
      <w:divBdr>
        <w:top w:val="none" w:sz="0" w:space="0" w:color="auto"/>
        <w:left w:val="none" w:sz="0" w:space="0" w:color="auto"/>
        <w:bottom w:val="none" w:sz="0" w:space="0" w:color="auto"/>
        <w:right w:val="none" w:sz="0" w:space="0" w:color="auto"/>
      </w:divBdr>
    </w:div>
    <w:div w:id="1197238125">
      <w:bodyDiv w:val="1"/>
      <w:marLeft w:val="0"/>
      <w:marRight w:val="0"/>
      <w:marTop w:val="0"/>
      <w:marBottom w:val="0"/>
      <w:divBdr>
        <w:top w:val="none" w:sz="0" w:space="0" w:color="auto"/>
        <w:left w:val="none" w:sz="0" w:space="0" w:color="auto"/>
        <w:bottom w:val="none" w:sz="0" w:space="0" w:color="auto"/>
        <w:right w:val="none" w:sz="0" w:space="0" w:color="auto"/>
      </w:divBdr>
    </w:div>
    <w:div w:id="1207791801">
      <w:bodyDiv w:val="1"/>
      <w:marLeft w:val="0"/>
      <w:marRight w:val="0"/>
      <w:marTop w:val="0"/>
      <w:marBottom w:val="0"/>
      <w:divBdr>
        <w:top w:val="none" w:sz="0" w:space="0" w:color="auto"/>
        <w:left w:val="none" w:sz="0" w:space="0" w:color="auto"/>
        <w:bottom w:val="none" w:sz="0" w:space="0" w:color="auto"/>
        <w:right w:val="none" w:sz="0" w:space="0" w:color="auto"/>
      </w:divBdr>
    </w:div>
    <w:div w:id="1305500152">
      <w:bodyDiv w:val="1"/>
      <w:marLeft w:val="0"/>
      <w:marRight w:val="0"/>
      <w:marTop w:val="0"/>
      <w:marBottom w:val="0"/>
      <w:divBdr>
        <w:top w:val="none" w:sz="0" w:space="0" w:color="auto"/>
        <w:left w:val="none" w:sz="0" w:space="0" w:color="auto"/>
        <w:bottom w:val="none" w:sz="0" w:space="0" w:color="auto"/>
        <w:right w:val="none" w:sz="0" w:space="0" w:color="auto"/>
      </w:divBdr>
    </w:div>
    <w:div w:id="1344818052">
      <w:bodyDiv w:val="1"/>
      <w:marLeft w:val="0"/>
      <w:marRight w:val="0"/>
      <w:marTop w:val="0"/>
      <w:marBottom w:val="0"/>
      <w:divBdr>
        <w:top w:val="none" w:sz="0" w:space="0" w:color="auto"/>
        <w:left w:val="none" w:sz="0" w:space="0" w:color="auto"/>
        <w:bottom w:val="none" w:sz="0" w:space="0" w:color="auto"/>
        <w:right w:val="none" w:sz="0" w:space="0" w:color="auto"/>
      </w:divBdr>
    </w:div>
    <w:div w:id="1398742211">
      <w:bodyDiv w:val="1"/>
      <w:marLeft w:val="0"/>
      <w:marRight w:val="0"/>
      <w:marTop w:val="0"/>
      <w:marBottom w:val="0"/>
      <w:divBdr>
        <w:top w:val="none" w:sz="0" w:space="0" w:color="auto"/>
        <w:left w:val="none" w:sz="0" w:space="0" w:color="auto"/>
        <w:bottom w:val="none" w:sz="0" w:space="0" w:color="auto"/>
        <w:right w:val="none" w:sz="0" w:space="0" w:color="auto"/>
      </w:divBdr>
    </w:div>
    <w:div w:id="1446345134">
      <w:bodyDiv w:val="1"/>
      <w:marLeft w:val="0"/>
      <w:marRight w:val="0"/>
      <w:marTop w:val="0"/>
      <w:marBottom w:val="0"/>
      <w:divBdr>
        <w:top w:val="none" w:sz="0" w:space="0" w:color="auto"/>
        <w:left w:val="none" w:sz="0" w:space="0" w:color="auto"/>
        <w:bottom w:val="none" w:sz="0" w:space="0" w:color="auto"/>
        <w:right w:val="none" w:sz="0" w:space="0" w:color="auto"/>
      </w:divBdr>
    </w:div>
    <w:div w:id="1465005674">
      <w:bodyDiv w:val="1"/>
      <w:marLeft w:val="0"/>
      <w:marRight w:val="0"/>
      <w:marTop w:val="0"/>
      <w:marBottom w:val="0"/>
      <w:divBdr>
        <w:top w:val="none" w:sz="0" w:space="0" w:color="auto"/>
        <w:left w:val="none" w:sz="0" w:space="0" w:color="auto"/>
        <w:bottom w:val="none" w:sz="0" w:space="0" w:color="auto"/>
        <w:right w:val="none" w:sz="0" w:space="0" w:color="auto"/>
      </w:divBdr>
    </w:div>
    <w:div w:id="1530802758">
      <w:bodyDiv w:val="1"/>
      <w:marLeft w:val="0"/>
      <w:marRight w:val="0"/>
      <w:marTop w:val="0"/>
      <w:marBottom w:val="0"/>
      <w:divBdr>
        <w:top w:val="none" w:sz="0" w:space="0" w:color="auto"/>
        <w:left w:val="none" w:sz="0" w:space="0" w:color="auto"/>
        <w:bottom w:val="none" w:sz="0" w:space="0" w:color="auto"/>
        <w:right w:val="none" w:sz="0" w:space="0" w:color="auto"/>
      </w:divBdr>
    </w:div>
    <w:div w:id="1685286664">
      <w:bodyDiv w:val="1"/>
      <w:marLeft w:val="0"/>
      <w:marRight w:val="0"/>
      <w:marTop w:val="0"/>
      <w:marBottom w:val="0"/>
      <w:divBdr>
        <w:top w:val="none" w:sz="0" w:space="0" w:color="auto"/>
        <w:left w:val="none" w:sz="0" w:space="0" w:color="auto"/>
        <w:bottom w:val="none" w:sz="0" w:space="0" w:color="auto"/>
        <w:right w:val="none" w:sz="0" w:space="0" w:color="auto"/>
      </w:divBdr>
    </w:div>
    <w:div w:id="1813866746">
      <w:bodyDiv w:val="1"/>
      <w:marLeft w:val="0"/>
      <w:marRight w:val="0"/>
      <w:marTop w:val="0"/>
      <w:marBottom w:val="0"/>
      <w:divBdr>
        <w:top w:val="none" w:sz="0" w:space="0" w:color="auto"/>
        <w:left w:val="none" w:sz="0" w:space="0" w:color="auto"/>
        <w:bottom w:val="none" w:sz="0" w:space="0" w:color="auto"/>
        <w:right w:val="none" w:sz="0" w:space="0" w:color="auto"/>
      </w:divBdr>
    </w:div>
    <w:div w:id="1853298039">
      <w:bodyDiv w:val="1"/>
      <w:marLeft w:val="0"/>
      <w:marRight w:val="0"/>
      <w:marTop w:val="0"/>
      <w:marBottom w:val="0"/>
      <w:divBdr>
        <w:top w:val="none" w:sz="0" w:space="0" w:color="auto"/>
        <w:left w:val="none" w:sz="0" w:space="0" w:color="auto"/>
        <w:bottom w:val="none" w:sz="0" w:space="0" w:color="auto"/>
        <w:right w:val="none" w:sz="0" w:space="0" w:color="auto"/>
      </w:divBdr>
    </w:div>
    <w:div w:id="1863858601">
      <w:bodyDiv w:val="1"/>
      <w:marLeft w:val="0"/>
      <w:marRight w:val="0"/>
      <w:marTop w:val="0"/>
      <w:marBottom w:val="0"/>
      <w:divBdr>
        <w:top w:val="none" w:sz="0" w:space="0" w:color="auto"/>
        <w:left w:val="none" w:sz="0" w:space="0" w:color="auto"/>
        <w:bottom w:val="none" w:sz="0" w:space="0" w:color="auto"/>
        <w:right w:val="none" w:sz="0" w:space="0" w:color="auto"/>
      </w:divBdr>
    </w:div>
    <w:div w:id="2004778428">
      <w:bodyDiv w:val="1"/>
      <w:marLeft w:val="0"/>
      <w:marRight w:val="0"/>
      <w:marTop w:val="0"/>
      <w:marBottom w:val="0"/>
      <w:divBdr>
        <w:top w:val="none" w:sz="0" w:space="0" w:color="auto"/>
        <w:left w:val="none" w:sz="0" w:space="0" w:color="auto"/>
        <w:bottom w:val="none" w:sz="0" w:space="0" w:color="auto"/>
        <w:right w:val="none" w:sz="0" w:space="0" w:color="auto"/>
      </w:divBdr>
    </w:div>
    <w:div w:id="2047025066">
      <w:bodyDiv w:val="1"/>
      <w:marLeft w:val="0"/>
      <w:marRight w:val="0"/>
      <w:marTop w:val="0"/>
      <w:marBottom w:val="0"/>
      <w:divBdr>
        <w:top w:val="none" w:sz="0" w:space="0" w:color="auto"/>
        <w:left w:val="none" w:sz="0" w:space="0" w:color="auto"/>
        <w:bottom w:val="none" w:sz="0" w:space="0" w:color="auto"/>
        <w:right w:val="none" w:sz="0" w:space="0" w:color="auto"/>
      </w:divBdr>
    </w:div>
    <w:div w:id="206302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sutra.oslpr.org/medidas/1583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4SQX5P7U7WPY-958212181-821648</_dlc_DocId>
    <_dlc_DocIdUrl xmlns="c890fddd-4e87-4e08-8b51-545f2a3f7b06">
      <Url>https://senpr.sharepoint.com/sites/obralegislativa/_layouts/15/DocIdRedir.aspx?ID=4SQX5P7U7WPY-958212181-821648</Url>
      <Description>4SQX5P7U7WPY-958212181-821648</Description>
    </_dlc_DocIdUrl>
  </documentManagement>
</p:properti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39038092-7662-4F44-89EF-5418EB439C87}">
  <ds:schemaRefs>
    <ds:schemaRef ds:uri="http://schemas.microsoft.com/sharepoint/v3/contenttype/forms"/>
  </ds:schemaRefs>
</ds:datastoreItem>
</file>

<file path=customXml/itemProps3.xml><?xml version="1.0" encoding="utf-8"?>
<ds:datastoreItem xmlns:ds="http://schemas.openxmlformats.org/officeDocument/2006/customXml" ds:itemID="{5DEC8EC9-B1C0-44B2-8914-717B9AE06C8E}">
  <ds:schemaRefs>
    <ds:schemaRef ds:uri="http://schemas.microsoft.com/sharepoint/events"/>
  </ds:schemaRefs>
</ds:datastoreItem>
</file>

<file path=customXml/itemProps4.xml><?xml version="1.0" encoding="utf-8"?>
<ds:datastoreItem xmlns:ds="http://schemas.openxmlformats.org/officeDocument/2006/customXml" ds:itemID="{3B8C1B72-EAE6-4F7E-9D44-020AF90FFCD7}"/>
</file>

<file path=customXml/itemProps5.xml><?xml version="1.0" encoding="utf-8"?>
<ds:datastoreItem xmlns:ds="http://schemas.openxmlformats.org/officeDocument/2006/customXml" ds:itemID="{33F61151-50B5-46AB-9478-60E11D73E8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1504</Words>
  <Characters>8576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2025-11-17T19:33:00Z</cp:lastPrinted>
  <dcterms:created xsi:type="dcterms:W3CDTF">2025-11-18T18:28:00Z</dcterms:created>
  <dcterms:modified xsi:type="dcterms:W3CDTF">2025-11-18T18:28:00Z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c2405b9d-e06d-4df7-af12-7acce0e50853</vt:lpwstr>
  </property>
  <property fmtid="{D5CDD505-2E9C-101B-9397-08002B2CF9AE}" pid="4" name="MediaServiceImageTags">
    <vt:lpwstr/>
  </property>
</Properties>
</file>