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E28FE" w14:textId="3F757C49" w:rsidR="001878E0" w:rsidRPr="00C40C85" w:rsidRDefault="001878E0" w:rsidP="00841F57">
      <w:pPr>
        <w:jc w:val="center"/>
        <w:rPr>
          <w:rFonts w:ascii="Book Antiqua" w:hAnsi="Book Antiqua"/>
          <w:b/>
          <w:bCs/>
          <w:sz w:val="36"/>
          <w:u w:val="single"/>
          <w:lang w:val="es-ES_tradnl"/>
        </w:rPr>
      </w:pPr>
      <w:r w:rsidRPr="00C40C85">
        <w:rPr>
          <w:rFonts w:ascii="Book Antiqua" w:hAnsi="Book Antiqua"/>
          <w:b/>
          <w:bCs/>
          <w:sz w:val="36"/>
          <w:u w:val="single"/>
          <w:lang w:val="es-ES_tradnl"/>
        </w:rPr>
        <w:t>ENTIRILLADO ELECTRÓNICO</w:t>
      </w:r>
    </w:p>
    <w:p w14:paraId="00131474" w14:textId="6971F202" w:rsidR="008C4672" w:rsidRPr="00C40C85" w:rsidRDefault="00841F57" w:rsidP="00841F57">
      <w:pPr>
        <w:jc w:val="center"/>
        <w:rPr>
          <w:rFonts w:ascii="Book Antiqua" w:hAnsi="Book Antiqua"/>
          <w:sz w:val="36"/>
          <w:lang w:val="es-ES_tradnl"/>
        </w:rPr>
      </w:pPr>
      <w:r w:rsidRPr="00C40C85">
        <w:rPr>
          <w:rFonts w:ascii="Book Antiqua" w:hAnsi="Book Antiqua"/>
          <w:sz w:val="36"/>
          <w:lang w:val="es-ES_tradnl"/>
        </w:rPr>
        <w:t>GOBIERNO DE PUERTO RICO</w:t>
      </w:r>
    </w:p>
    <w:p w14:paraId="77046740" w14:textId="77777777" w:rsidR="00841F57" w:rsidRPr="00C40C85" w:rsidRDefault="00841F57" w:rsidP="00841F57">
      <w:pPr>
        <w:jc w:val="center"/>
        <w:rPr>
          <w:rFonts w:ascii="Book Antiqua" w:hAnsi="Book Antiqua"/>
          <w:sz w:val="36"/>
          <w:lang w:val="es-ES_tradnl"/>
        </w:rPr>
      </w:pPr>
    </w:p>
    <w:p w14:paraId="7EF9FC88" w14:textId="26365598" w:rsidR="00841F57" w:rsidRPr="00C40C85" w:rsidRDefault="00841F57" w:rsidP="00841F57">
      <w:pPr>
        <w:pStyle w:val="Title2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>20</w:t>
      </w:r>
      <w:r w:rsidRPr="00C40C85">
        <w:rPr>
          <w:rFonts w:ascii="Book Antiqua" w:hAnsi="Book Antiqua"/>
          <w:vertAlign w:val="superscript"/>
          <w:lang w:val="es-ES_tradnl"/>
        </w:rPr>
        <w:t>ma</w:t>
      </w:r>
      <w:r w:rsidR="004B6DD7" w:rsidRPr="00C40C85">
        <w:rPr>
          <w:rFonts w:ascii="Book Antiqua" w:hAnsi="Book Antiqua"/>
          <w:vertAlign w:val="superscript"/>
          <w:lang w:val="es-ES_tradnl"/>
        </w:rPr>
        <w:t>.</w:t>
      </w:r>
      <w:r w:rsidRPr="00C40C85">
        <w:rPr>
          <w:rFonts w:ascii="Book Antiqua" w:hAnsi="Book Antiqua"/>
          <w:lang w:val="es-ES_tradnl"/>
        </w:rPr>
        <w:tab/>
        <w:t>Asamblea</w:t>
      </w:r>
      <w:r w:rsidRPr="00C40C85">
        <w:rPr>
          <w:rFonts w:ascii="Book Antiqua" w:hAnsi="Book Antiqua"/>
          <w:lang w:val="es-ES_tradnl"/>
        </w:rPr>
        <w:tab/>
        <w:t>2</w:t>
      </w:r>
      <w:r w:rsidRPr="00C40C85">
        <w:rPr>
          <w:rFonts w:ascii="Book Antiqua" w:hAnsi="Book Antiqua"/>
          <w:vertAlign w:val="superscript"/>
          <w:lang w:val="es-ES_tradnl"/>
        </w:rPr>
        <w:t>da</w:t>
      </w:r>
      <w:r w:rsidR="004B6DD7" w:rsidRPr="00C40C85">
        <w:rPr>
          <w:rFonts w:ascii="Book Antiqua" w:hAnsi="Book Antiqua"/>
          <w:vertAlign w:val="superscript"/>
          <w:lang w:val="es-ES_tradnl"/>
        </w:rPr>
        <w:t>.</w:t>
      </w:r>
      <w:r w:rsidRPr="00C40C85">
        <w:rPr>
          <w:rFonts w:ascii="Book Antiqua" w:hAnsi="Book Antiqua"/>
          <w:lang w:val="es-ES_tradnl"/>
        </w:rPr>
        <w:tab/>
        <w:t>Sesión</w:t>
      </w:r>
    </w:p>
    <w:p w14:paraId="5759E5D1" w14:textId="77777777" w:rsidR="00841F57" w:rsidRPr="00C40C85" w:rsidRDefault="00841F57" w:rsidP="00841F57">
      <w:pPr>
        <w:pStyle w:val="Title2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ab/>
        <w:t>Legislativa</w:t>
      </w:r>
      <w:r w:rsidRPr="00C40C85">
        <w:rPr>
          <w:rFonts w:ascii="Book Antiqua" w:hAnsi="Book Antiqua"/>
          <w:lang w:val="es-ES_tradnl"/>
        </w:rPr>
        <w:tab/>
      </w:r>
      <w:r w:rsidRPr="00C40C85">
        <w:rPr>
          <w:rFonts w:ascii="Book Antiqua" w:hAnsi="Book Antiqua"/>
          <w:lang w:val="es-ES_tradnl"/>
        </w:rPr>
        <w:tab/>
        <w:t>Ordinaria</w:t>
      </w:r>
    </w:p>
    <w:p w14:paraId="2ED258DF" w14:textId="77777777" w:rsidR="00841F57" w:rsidRPr="00C40C85" w:rsidRDefault="00841F57" w:rsidP="00841F57">
      <w:pPr>
        <w:rPr>
          <w:lang w:val="es-ES_tradnl"/>
        </w:rPr>
      </w:pPr>
    </w:p>
    <w:p w14:paraId="56A82399" w14:textId="77777777" w:rsidR="00841F57" w:rsidRPr="00C40C85" w:rsidRDefault="00841F57" w:rsidP="00841F57">
      <w:pPr>
        <w:jc w:val="center"/>
        <w:rPr>
          <w:rFonts w:ascii="Book Antiqua" w:hAnsi="Book Antiqua"/>
          <w:b/>
          <w:sz w:val="36"/>
          <w:lang w:val="es-ES_tradnl"/>
        </w:rPr>
      </w:pPr>
      <w:r w:rsidRPr="00C40C85">
        <w:rPr>
          <w:rFonts w:ascii="Book Antiqua" w:hAnsi="Book Antiqua"/>
          <w:b/>
          <w:sz w:val="36"/>
          <w:lang w:val="es-ES_tradnl"/>
        </w:rPr>
        <w:t>SENADO DE PUERTO RICO</w:t>
      </w:r>
    </w:p>
    <w:p w14:paraId="0B6A9474" w14:textId="30950AE3" w:rsidR="00841F57" w:rsidRPr="00C40C85" w:rsidRDefault="00841F57" w:rsidP="00841F57">
      <w:pPr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 w:rsidRPr="00C40C85">
        <w:rPr>
          <w:rFonts w:ascii="Book Antiqua" w:hAnsi="Book Antiqua"/>
          <w:b/>
          <w:sz w:val="52"/>
          <w:lang w:val="es-ES_tradnl"/>
        </w:rPr>
        <w:t xml:space="preserve">R. C. del S. </w:t>
      </w:r>
      <w:r w:rsidR="009E2A61" w:rsidRPr="00C40C85">
        <w:rPr>
          <w:rFonts w:ascii="Book Antiqua" w:hAnsi="Book Antiqua"/>
          <w:b/>
          <w:sz w:val="52"/>
          <w:lang w:val="es-ES_tradnl"/>
        </w:rPr>
        <w:t>94</w:t>
      </w:r>
    </w:p>
    <w:p w14:paraId="12CDE0E3" w14:textId="2827D6A9" w:rsidR="00841F57" w:rsidRPr="00C40C85" w:rsidRDefault="009E2A61" w:rsidP="00841F57">
      <w:pPr>
        <w:spacing w:before="120"/>
        <w:jc w:val="center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>18</w:t>
      </w:r>
      <w:r w:rsidR="00841F57" w:rsidRPr="00C40C85">
        <w:rPr>
          <w:rFonts w:ascii="Book Antiqua" w:hAnsi="Book Antiqua"/>
          <w:lang w:val="es-ES_tradnl"/>
        </w:rPr>
        <w:t xml:space="preserve"> de septiembre de 2025</w:t>
      </w:r>
    </w:p>
    <w:p w14:paraId="7F392786" w14:textId="77777777" w:rsidR="00841F57" w:rsidRPr="00C40C85" w:rsidRDefault="00841F57" w:rsidP="00841F57">
      <w:pPr>
        <w:spacing w:before="120"/>
        <w:jc w:val="center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 xml:space="preserve">Presentada por la señora </w:t>
      </w:r>
      <w:r w:rsidRPr="00C40C85">
        <w:rPr>
          <w:rFonts w:ascii="Book Antiqua" w:hAnsi="Book Antiqua"/>
          <w:i/>
          <w:iCs/>
          <w:lang w:val="es-ES_tradnl"/>
        </w:rPr>
        <w:t>González Huertas</w:t>
      </w:r>
    </w:p>
    <w:p w14:paraId="7537B34F" w14:textId="77777777" w:rsidR="004B6DD7" w:rsidRPr="00C40C85" w:rsidRDefault="00841F57" w:rsidP="004B6DD7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C40C85">
        <w:rPr>
          <w:rFonts w:ascii="Book Antiqua" w:hAnsi="Book Antiqua"/>
          <w:i/>
          <w:iCs/>
          <w:lang w:val="es-ES_tradnl"/>
        </w:rPr>
        <w:t xml:space="preserve">Referida a </w:t>
      </w:r>
      <w:r w:rsidR="004B6DD7" w:rsidRPr="00C40C85">
        <w:rPr>
          <w:rFonts w:ascii="Book Antiqua" w:hAnsi="Book Antiqua"/>
          <w:i/>
          <w:iCs/>
          <w:lang w:val="es-ES_tradnl"/>
        </w:rPr>
        <w:t xml:space="preserve">la Comisión de </w:t>
      </w:r>
      <w:r w:rsidR="004B6DD7" w:rsidRPr="00C40C85">
        <w:rPr>
          <w:rFonts w:ascii="Book Antiqua" w:hAnsi="Book Antiqua"/>
          <w:i/>
          <w:iCs/>
          <w:szCs w:val="24"/>
          <w:lang w:val="es-419"/>
        </w:rPr>
        <w:t>Transportación, Telecomunicaciones, Servicios Públicos y Asuntos del Consumidor</w:t>
      </w:r>
    </w:p>
    <w:p w14:paraId="0B5A4F82" w14:textId="77777777" w:rsidR="00841F57" w:rsidRPr="00C40C85" w:rsidRDefault="00841F57" w:rsidP="00841F57">
      <w:pPr>
        <w:jc w:val="both"/>
        <w:rPr>
          <w:rFonts w:ascii="Book Antiqua" w:hAnsi="Book Antiqua"/>
          <w:lang w:val="es-ES_tradnl"/>
        </w:rPr>
      </w:pPr>
    </w:p>
    <w:p w14:paraId="22A8E53A" w14:textId="77777777" w:rsidR="00841F57" w:rsidRPr="00C40C85" w:rsidRDefault="00841F57" w:rsidP="00841F57">
      <w:pPr>
        <w:jc w:val="center"/>
        <w:rPr>
          <w:rFonts w:ascii="Book Antiqua" w:hAnsi="Book Antiqua"/>
          <w:b/>
          <w:lang w:val="es-ES_tradnl"/>
        </w:rPr>
      </w:pPr>
      <w:r w:rsidRPr="00C40C85">
        <w:rPr>
          <w:rFonts w:ascii="Book Antiqua" w:hAnsi="Book Antiqua"/>
          <w:b/>
          <w:lang w:val="es-ES_tradnl"/>
        </w:rPr>
        <w:t>RESOLUCIÓN CONJUNTA</w:t>
      </w:r>
    </w:p>
    <w:p w14:paraId="446EA1FC" w14:textId="77777777" w:rsidR="00841F57" w:rsidRPr="00C40C85" w:rsidRDefault="00841F57" w:rsidP="00841F57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63491810" w14:textId="3BACA63B" w:rsidR="00841F57" w:rsidRPr="00C40C85" w:rsidRDefault="00841F57" w:rsidP="00841F57">
      <w:pPr>
        <w:ind w:left="360" w:hanging="360"/>
        <w:jc w:val="both"/>
        <w:rPr>
          <w:rFonts w:ascii="Book Antiqua" w:hAnsi="Book Antiqua"/>
          <w:lang w:val="es-ES_tradnl"/>
        </w:rPr>
      </w:pPr>
      <w:r w:rsidRPr="00C40C85">
        <w:rPr>
          <w:rFonts w:ascii="Book Antiqua" w:hAnsi="Book Antiqua"/>
          <w:lang w:val="es-ES_tradnl"/>
        </w:rPr>
        <w:t>Para ordenar al Departamento de Transportación y Obras Públicas (DTOP), en coordinación con la Oficina de Gerencia y Presupuesto (OGP), a destinar los fondos necesarios para realizar de manera urgente</w:t>
      </w:r>
      <w:r w:rsidR="001878E0" w:rsidRPr="00C40C85">
        <w:rPr>
          <w:rFonts w:ascii="Book Antiqua" w:hAnsi="Book Antiqua"/>
          <w:i/>
          <w:iCs/>
          <w:u w:val="single"/>
          <w:lang w:val="es-ES_tradnl"/>
        </w:rPr>
        <w:t>,</w:t>
      </w:r>
      <w:r w:rsidRPr="00C40C85">
        <w:rPr>
          <w:rFonts w:ascii="Book Antiqua" w:hAnsi="Book Antiqua"/>
          <w:lang w:val="es-ES_tradnl"/>
        </w:rPr>
        <w:t xml:space="preserve"> las obras de reparación y reapertura de la carretera PR-106, kilómetro 8.8, jurisdicción del </w:t>
      </w:r>
      <w:r w:rsidRPr="00C40C85">
        <w:rPr>
          <w:rFonts w:ascii="Book Antiqua" w:hAnsi="Book Antiqua"/>
          <w:strike/>
          <w:lang w:val="es-ES_tradnl"/>
        </w:rPr>
        <w:t>municipio</w:t>
      </w:r>
      <w:r w:rsidRPr="00C40C85">
        <w:rPr>
          <w:rFonts w:ascii="Book Antiqua" w:hAnsi="Book Antiqua"/>
          <w:lang w:val="es-ES_tradnl"/>
        </w:rPr>
        <w:t xml:space="preserve"> </w:t>
      </w:r>
      <w:proofErr w:type="spellStart"/>
      <w:r w:rsidR="001878E0" w:rsidRPr="00C40C85">
        <w:rPr>
          <w:rFonts w:ascii="Book Antiqua" w:hAnsi="Book Antiqua"/>
          <w:i/>
          <w:iCs/>
          <w:u w:val="single"/>
          <w:lang w:val="es-ES_tradnl"/>
        </w:rPr>
        <w:t>Municipio</w:t>
      </w:r>
      <w:proofErr w:type="spellEnd"/>
      <w:r w:rsidR="001878E0" w:rsidRPr="00C40C85">
        <w:rPr>
          <w:rFonts w:ascii="Book Antiqua" w:hAnsi="Book Antiqua"/>
          <w:lang w:val="es-ES_tradnl"/>
        </w:rPr>
        <w:t xml:space="preserve"> </w:t>
      </w:r>
      <w:r w:rsidRPr="00C40C85">
        <w:rPr>
          <w:rFonts w:ascii="Book Antiqua" w:hAnsi="Book Antiqua"/>
          <w:lang w:val="es-ES_tradnl"/>
        </w:rPr>
        <w:t xml:space="preserve">de Maricao que conecta con el </w:t>
      </w:r>
      <w:r w:rsidRPr="00C40C85">
        <w:rPr>
          <w:rFonts w:ascii="Book Antiqua" w:hAnsi="Book Antiqua"/>
          <w:strike/>
          <w:lang w:val="es-ES_tradnl"/>
        </w:rPr>
        <w:t>municipio</w:t>
      </w:r>
      <w:r w:rsidRPr="00C40C85">
        <w:rPr>
          <w:rFonts w:ascii="Book Antiqua" w:hAnsi="Book Antiqua"/>
          <w:lang w:val="es-ES_tradnl"/>
        </w:rPr>
        <w:t xml:space="preserve"> </w:t>
      </w:r>
      <w:proofErr w:type="spellStart"/>
      <w:r w:rsidR="001878E0" w:rsidRPr="00C40C85">
        <w:rPr>
          <w:rFonts w:ascii="Book Antiqua" w:hAnsi="Book Antiqua"/>
          <w:i/>
          <w:iCs/>
          <w:u w:val="single"/>
          <w:lang w:val="es-ES_tradnl"/>
        </w:rPr>
        <w:t>Municipio</w:t>
      </w:r>
      <w:proofErr w:type="spellEnd"/>
      <w:r w:rsidR="001878E0" w:rsidRPr="00C40C85">
        <w:rPr>
          <w:rFonts w:ascii="Book Antiqua" w:hAnsi="Book Antiqua"/>
          <w:lang w:val="es-ES_tradnl"/>
        </w:rPr>
        <w:t xml:space="preserve"> </w:t>
      </w:r>
      <w:r w:rsidRPr="00C40C85">
        <w:rPr>
          <w:rFonts w:ascii="Book Antiqua" w:hAnsi="Book Antiqua"/>
          <w:lang w:val="es-ES_tradnl"/>
        </w:rPr>
        <w:t>de Las Marías; y para otros fines relacionados.</w:t>
      </w:r>
    </w:p>
    <w:p w14:paraId="062CFDA6" w14:textId="77777777" w:rsidR="00841F57" w:rsidRDefault="00841F57" w:rsidP="004B6DD7">
      <w:pPr>
        <w:spacing w:before="240" w:after="12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lang w:val="es-ES_tradnl"/>
        </w:rPr>
        <w:t>EXPOSICIÓN DE MOTIVOS</w:t>
      </w:r>
    </w:p>
    <w:p w14:paraId="2D041D3E" w14:textId="1282F435" w:rsidR="00841F57" w:rsidRPr="00841F57" w:rsidRDefault="00841F57" w:rsidP="00841F5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</w:t>
      </w:r>
      <w:r w:rsidRPr="00841F57">
        <w:rPr>
          <w:rFonts w:ascii="Book Antiqua" w:hAnsi="Book Antiqua"/>
          <w:lang w:val="es-ES_tradnl"/>
        </w:rPr>
        <w:t>a carretera estatal PR-106, en el kilómetro 8.8, que conecta los municipios de Maricao y Las Marías</w:t>
      </w:r>
      <w:r w:rsidR="001878E0">
        <w:rPr>
          <w:rFonts w:ascii="Book Antiqua" w:hAnsi="Book Antiqua"/>
          <w:i/>
          <w:iCs/>
          <w:u w:val="single"/>
          <w:lang w:val="es-ES_tradnl"/>
        </w:rPr>
        <w:t>,</w:t>
      </w:r>
      <w:r w:rsidRPr="00841F57">
        <w:rPr>
          <w:rFonts w:ascii="Book Antiqua" w:hAnsi="Book Antiqua"/>
          <w:lang w:val="es-ES_tradnl"/>
        </w:rPr>
        <w:t xml:space="preserve"> con el </w:t>
      </w:r>
      <w:r w:rsidRPr="001878E0">
        <w:rPr>
          <w:rFonts w:ascii="Book Antiqua" w:hAnsi="Book Antiqua"/>
          <w:strike/>
          <w:lang w:val="es-ES_tradnl"/>
        </w:rPr>
        <w:t>municipio</w:t>
      </w:r>
      <w:r w:rsidRPr="00841F57">
        <w:rPr>
          <w:rFonts w:ascii="Book Antiqua" w:hAnsi="Book Antiqua"/>
          <w:lang w:val="es-ES_tradnl"/>
        </w:rPr>
        <w:t xml:space="preserve"> </w:t>
      </w:r>
      <w:proofErr w:type="spellStart"/>
      <w:r w:rsidR="001878E0">
        <w:rPr>
          <w:rFonts w:ascii="Book Antiqua" w:hAnsi="Book Antiqua"/>
          <w:i/>
          <w:iCs/>
          <w:u w:val="single"/>
          <w:lang w:val="es-ES_tradnl"/>
        </w:rPr>
        <w:t>Municipio</w:t>
      </w:r>
      <w:proofErr w:type="spellEnd"/>
      <w:r w:rsidR="001878E0">
        <w:rPr>
          <w:rFonts w:ascii="Book Antiqua" w:hAnsi="Book Antiqua"/>
          <w:lang w:val="es-ES_tradnl"/>
        </w:rPr>
        <w:t xml:space="preserve"> </w:t>
      </w:r>
      <w:r w:rsidRPr="00841F57">
        <w:rPr>
          <w:rFonts w:ascii="Book Antiqua" w:hAnsi="Book Antiqua"/>
          <w:lang w:val="es-ES_tradnl"/>
        </w:rPr>
        <w:t>de Mayagüez</w:t>
      </w:r>
      <w:r>
        <w:rPr>
          <w:rFonts w:ascii="Book Antiqua" w:hAnsi="Book Antiqua"/>
          <w:lang w:val="es-ES_tradnl"/>
        </w:rPr>
        <w:t>,</w:t>
      </w:r>
      <w:r w:rsidRPr="00841F57">
        <w:rPr>
          <w:rFonts w:ascii="Book Antiqua" w:hAnsi="Book Antiqua"/>
          <w:lang w:val="es-ES_tradnl"/>
        </w:rPr>
        <w:t xml:space="preserve"> constituye una vía esencial para la vida social y económica de toda la región central-oeste. Actualmente, este tramo se encuentra cerrado, y aunque se han anunciado estudios de suelo, la inacción </w:t>
      </w:r>
      <w:r w:rsidRPr="001878E0">
        <w:rPr>
          <w:rFonts w:ascii="Book Antiqua" w:hAnsi="Book Antiqua"/>
          <w:strike/>
          <w:lang w:val="es-ES_tradnl"/>
        </w:rPr>
        <w:t>inmediata</w:t>
      </w:r>
      <w:r w:rsidRPr="00841F57">
        <w:rPr>
          <w:rFonts w:ascii="Book Antiqua" w:hAnsi="Book Antiqua"/>
          <w:lang w:val="es-ES_tradnl"/>
        </w:rPr>
        <w:t xml:space="preserve"> mantiene a nuestras comunidades en un estado de emergencia las veinticuatro (24) horas del día, los siete (7) días de la semana</w:t>
      </w:r>
      <w:r>
        <w:rPr>
          <w:rFonts w:ascii="Book Antiqua" w:hAnsi="Book Antiqua"/>
          <w:lang w:val="es-ES_tradnl"/>
        </w:rPr>
        <w:t>.</w:t>
      </w:r>
    </w:p>
    <w:p w14:paraId="7A72D6FF" w14:textId="60AAF3FD" w:rsidR="00841F57" w:rsidRDefault="00841F57" w:rsidP="00841F5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841F57">
        <w:rPr>
          <w:rFonts w:ascii="Book Antiqua" w:hAnsi="Book Antiqua"/>
          <w:lang w:val="es-ES_tradnl"/>
        </w:rPr>
        <w:t xml:space="preserve">Por esta vía circulan camiones y equipo pesado que transportan la materia prima de la empresa Fresenius Medical Care, cuya operación representa el sustento de más de ochocientos (800) empleos directos y lo que constituye el motor económico más importante de Maricao y los pueblos aledaños. Además, esta carretera es la ruta principal </w:t>
      </w:r>
      <w:r w:rsidRPr="00841F57">
        <w:rPr>
          <w:rFonts w:ascii="Book Antiqua" w:hAnsi="Book Antiqua"/>
          <w:lang w:val="es-ES_tradnl"/>
        </w:rPr>
        <w:lastRenderedPageBreak/>
        <w:t xml:space="preserve">para que ambulancias y ciudadanos puedan acceder a los hospitales Perea, Bella Vista y Centro Médico de Mayagüez, así como para que estudiantes universitarios lleguen a sus centros de estudio como el </w:t>
      </w:r>
      <w:r w:rsidRPr="001878E0">
        <w:rPr>
          <w:rFonts w:ascii="Book Antiqua" w:hAnsi="Book Antiqua"/>
          <w:strike/>
          <w:lang w:val="es-ES_tradnl"/>
        </w:rPr>
        <w:t>Colegio</w:t>
      </w:r>
      <w:r w:rsidRPr="00841F57">
        <w:rPr>
          <w:rFonts w:ascii="Book Antiqua" w:hAnsi="Book Antiqua"/>
          <w:lang w:val="es-ES_tradnl"/>
        </w:rPr>
        <w:t xml:space="preserve"> </w:t>
      </w:r>
      <w:r w:rsidR="001878E0">
        <w:rPr>
          <w:rFonts w:ascii="Book Antiqua" w:hAnsi="Book Antiqua"/>
          <w:i/>
          <w:iCs/>
          <w:u w:val="single"/>
          <w:lang w:val="es-ES_tradnl"/>
        </w:rPr>
        <w:t>Recinto Universitario</w:t>
      </w:r>
      <w:r w:rsidR="001878E0">
        <w:rPr>
          <w:rFonts w:ascii="Book Antiqua" w:hAnsi="Book Antiqua"/>
          <w:lang w:val="es-ES_tradnl"/>
        </w:rPr>
        <w:t xml:space="preserve"> </w:t>
      </w:r>
      <w:r w:rsidRPr="00841F57">
        <w:rPr>
          <w:rFonts w:ascii="Book Antiqua" w:hAnsi="Book Antiqua"/>
          <w:lang w:val="es-ES_tradnl"/>
        </w:rPr>
        <w:t>de Mayagüez</w:t>
      </w:r>
      <w:r w:rsidR="001878E0">
        <w:rPr>
          <w:rFonts w:ascii="Book Antiqua" w:hAnsi="Book Antiqua"/>
          <w:lang w:val="es-ES_tradnl"/>
        </w:rPr>
        <w:t xml:space="preserve"> </w:t>
      </w:r>
      <w:r w:rsidR="001878E0">
        <w:rPr>
          <w:rFonts w:ascii="Book Antiqua" w:hAnsi="Book Antiqua"/>
          <w:i/>
          <w:iCs/>
          <w:u w:val="single"/>
          <w:lang w:val="es-ES_tradnl"/>
        </w:rPr>
        <w:t>de la UPR</w:t>
      </w:r>
      <w:r w:rsidRPr="00841F57">
        <w:rPr>
          <w:rFonts w:ascii="Book Antiqua" w:hAnsi="Book Antiqua"/>
          <w:lang w:val="es-ES_tradnl"/>
        </w:rPr>
        <w:t xml:space="preserve"> y otras universidades. </w:t>
      </w:r>
      <w:r w:rsidR="008B0D5C">
        <w:rPr>
          <w:rFonts w:ascii="Book Antiqua" w:hAnsi="Book Antiqua"/>
          <w:lang w:val="es-ES_tradnl"/>
        </w:rPr>
        <w:t>Asimismo</w:t>
      </w:r>
      <w:r w:rsidRPr="00841F57">
        <w:rPr>
          <w:rFonts w:ascii="Book Antiqua" w:hAnsi="Book Antiqua"/>
          <w:lang w:val="es-ES_tradnl"/>
        </w:rPr>
        <w:t>, es la vía de acceso para compras y servicios básicos de los residentes de Maricao y Las Marías</w:t>
      </w:r>
      <w:r>
        <w:rPr>
          <w:rFonts w:ascii="Book Antiqua" w:hAnsi="Book Antiqua"/>
          <w:lang w:val="es-ES_tradnl"/>
        </w:rPr>
        <w:t>.</w:t>
      </w:r>
    </w:p>
    <w:p w14:paraId="070B88FF" w14:textId="34E743EA" w:rsidR="00841F57" w:rsidRDefault="00841F57" w:rsidP="00841F5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841F57">
        <w:rPr>
          <w:rFonts w:ascii="Book Antiqua" w:hAnsi="Book Antiqua"/>
          <w:lang w:val="es-ES_tradnl"/>
        </w:rPr>
        <w:t xml:space="preserve">El cierre prolongado de la PR-106 pone en riesgo la estabilidad económica, la seguridad y la calidad de vida de miles de ciudadanos de estos dos municipios del centro </w:t>
      </w:r>
      <w:r w:rsidRPr="001878E0">
        <w:rPr>
          <w:rFonts w:ascii="Book Antiqua" w:hAnsi="Book Antiqua"/>
          <w:strike/>
          <w:lang w:val="es-ES_tradnl"/>
        </w:rPr>
        <w:t>del País</w:t>
      </w:r>
      <w:r w:rsidR="001878E0">
        <w:rPr>
          <w:rFonts w:ascii="Book Antiqua" w:hAnsi="Book Antiqua"/>
          <w:lang w:val="es-ES_tradnl"/>
        </w:rPr>
        <w:t xml:space="preserve"> </w:t>
      </w:r>
      <w:r w:rsidR="001878E0">
        <w:rPr>
          <w:rFonts w:ascii="Book Antiqua" w:hAnsi="Book Antiqua"/>
          <w:i/>
          <w:iCs/>
          <w:u w:val="single"/>
          <w:lang w:val="es-ES_tradnl"/>
        </w:rPr>
        <w:t>de la isla</w:t>
      </w:r>
      <w:r w:rsidR="008B0D5C">
        <w:rPr>
          <w:rFonts w:ascii="Book Antiqua" w:hAnsi="Book Antiqua"/>
          <w:lang w:val="es-ES_tradnl"/>
        </w:rPr>
        <w:t xml:space="preserve">. </w:t>
      </w:r>
      <w:r w:rsidRPr="00841F57">
        <w:rPr>
          <w:rFonts w:ascii="Book Antiqua" w:hAnsi="Book Antiqua"/>
          <w:lang w:val="es-ES_tradnl"/>
        </w:rPr>
        <w:t xml:space="preserve">Conscientes de la urgencia de esta situación, </w:t>
      </w:r>
      <w:r w:rsidR="008B0D5C">
        <w:rPr>
          <w:rFonts w:ascii="Book Antiqua" w:hAnsi="Book Antiqua"/>
          <w:lang w:val="es-ES_tradnl"/>
        </w:rPr>
        <w:t>es indispensable que el Gobierno de Puerto Rico lleve a cabo las gestiones necesarias para</w:t>
      </w:r>
      <w:r w:rsidRPr="00841F57">
        <w:rPr>
          <w:rFonts w:ascii="Book Antiqua" w:hAnsi="Book Antiqua"/>
          <w:lang w:val="es-ES_tradnl"/>
        </w:rPr>
        <w:t xml:space="preserve"> reabrir y rehabilitar el tramo afectado, priorizando los trabajos de emergencia y asignando los recursos necesarios para garantizar la seguridad de los usuarios y la continuidad de las actividades económicas vitales para la región central-oeste.</w:t>
      </w:r>
      <w:r w:rsidR="008B0D5C">
        <w:rPr>
          <w:rFonts w:ascii="Book Antiqua" w:hAnsi="Book Antiqua"/>
          <w:lang w:val="es-ES_tradnl"/>
        </w:rPr>
        <w:t xml:space="preserve"> </w:t>
      </w:r>
      <w:r w:rsidRPr="00841F57">
        <w:rPr>
          <w:rFonts w:ascii="Book Antiqua" w:hAnsi="Book Antiqua"/>
          <w:lang w:val="es-ES_tradnl"/>
        </w:rPr>
        <w:t>Por tal razón, se requiere acción inmediata del DTOP</w:t>
      </w:r>
      <w:r w:rsidR="001878E0">
        <w:rPr>
          <w:rFonts w:ascii="Book Antiqua" w:hAnsi="Book Antiqua"/>
          <w:i/>
          <w:iCs/>
          <w:u w:val="single"/>
          <w:lang w:val="es-ES_tradnl"/>
        </w:rPr>
        <w:t>,</w:t>
      </w:r>
      <w:r w:rsidRPr="00841F57">
        <w:rPr>
          <w:rFonts w:ascii="Book Antiqua" w:hAnsi="Book Antiqua"/>
          <w:lang w:val="es-ES_tradnl"/>
        </w:rPr>
        <w:t xml:space="preserve"> para mitigar la emergencia vial y garantizar la continuidad de la vida comunitaria y económica de Maricao y municipios adyacentes.</w:t>
      </w:r>
    </w:p>
    <w:p w14:paraId="386449F4" w14:textId="1A570903" w:rsidR="00841F57" w:rsidRDefault="00841F57" w:rsidP="004B6DD7">
      <w:pPr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b/>
          <w:lang w:val="es-ES_tradnl"/>
        </w:rPr>
        <w:t>RESUÉLVESE POR LA ASAMBLEA LEGISLATIVA DE PUERTO RICO:</w:t>
      </w:r>
    </w:p>
    <w:p w14:paraId="31A7706B" w14:textId="77777777" w:rsidR="00841F57" w:rsidRDefault="00841F57" w:rsidP="00841F57">
      <w:pPr>
        <w:spacing w:line="480" w:lineRule="auto"/>
        <w:jc w:val="both"/>
        <w:rPr>
          <w:rFonts w:ascii="Book Antiqua" w:hAnsi="Book Antiqua"/>
          <w:lang w:val="es-ES_tradnl"/>
        </w:rPr>
        <w:sectPr w:rsidR="00841F57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017ADB" w14:textId="0B58C72A" w:rsidR="00841F57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1.– Se </w:t>
      </w:r>
      <w:r w:rsidRPr="008B0D5C">
        <w:rPr>
          <w:rFonts w:ascii="Book Antiqua" w:hAnsi="Book Antiqua"/>
          <w:lang w:val="es-ES_tradnl"/>
        </w:rPr>
        <w:t>ordena al Departamento de Transportación y Obras Públicas (DTOP)</w:t>
      </w:r>
      <w:r w:rsidR="001878E0">
        <w:rPr>
          <w:rFonts w:ascii="Book Antiqua" w:hAnsi="Book Antiqua"/>
          <w:i/>
          <w:iCs/>
          <w:u w:val="single"/>
          <w:lang w:val="es-ES_tradnl"/>
        </w:rPr>
        <w:t>,</w:t>
      </w:r>
      <w:r w:rsidRPr="008B0D5C">
        <w:rPr>
          <w:rFonts w:ascii="Book Antiqua" w:hAnsi="Book Antiqua"/>
          <w:lang w:val="es-ES_tradnl"/>
        </w:rPr>
        <w:t xml:space="preserve"> a iniciar de manera inmediata los trabajos de reparación, estabilización y reapertura del tramo afectado en la </w:t>
      </w:r>
      <w:r w:rsidRPr="001878E0">
        <w:rPr>
          <w:rFonts w:ascii="Book Antiqua" w:hAnsi="Book Antiqua"/>
          <w:strike/>
          <w:lang w:val="es-ES_tradnl"/>
        </w:rPr>
        <w:t>carretera</w:t>
      </w:r>
      <w:r w:rsidRPr="008B0D5C">
        <w:rPr>
          <w:rFonts w:ascii="Book Antiqua" w:hAnsi="Book Antiqua"/>
          <w:lang w:val="es-ES_tradnl"/>
        </w:rPr>
        <w:t xml:space="preserve"> </w:t>
      </w:r>
      <w:proofErr w:type="spellStart"/>
      <w:r w:rsidR="001878E0">
        <w:rPr>
          <w:rFonts w:ascii="Book Antiqua" w:hAnsi="Book Antiqua"/>
          <w:i/>
          <w:iCs/>
          <w:u w:val="single"/>
          <w:lang w:val="es-ES_tradnl"/>
        </w:rPr>
        <w:t>Carretera</w:t>
      </w:r>
      <w:proofErr w:type="spellEnd"/>
      <w:r w:rsidR="001878E0">
        <w:rPr>
          <w:rFonts w:ascii="Book Antiqua" w:hAnsi="Book Antiqua"/>
          <w:i/>
          <w:iCs/>
          <w:u w:val="single"/>
          <w:lang w:val="es-ES_tradnl"/>
        </w:rPr>
        <w:t xml:space="preserve"> Estatal</w:t>
      </w:r>
      <w:r w:rsidR="001878E0">
        <w:rPr>
          <w:rFonts w:ascii="Book Antiqua" w:hAnsi="Book Antiqua"/>
          <w:lang w:val="es-ES_tradnl"/>
        </w:rPr>
        <w:t xml:space="preserve"> </w:t>
      </w:r>
      <w:r w:rsidRPr="008B0D5C">
        <w:rPr>
          <w:rFonts w:ascii="Book Antiqua" w:hAnsi="Book Antiqua"/>
          <w:lang w:val="es-ES_tradnl"/>
        </w:rPr>
        <w:t>PR-106, kilómetro 8.8.</w:t>
      </w:r>
    </w:p>
    <w:p w14:paraId="0CBC94A5" w14:textId="77EC32C3" w:rsidR="008B0D5C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2.– El </w:t>
      </w:r>
      <w:r w:rsidRPr="008B0D5C">
        <w:rPr>
          <w:rFonts w:ascii="Book Antiqua" w:hAnsi="Book Antiqua"/>
          <w:lang w:val="es-ES_tradnl"/>
        </w:rPr>
        <w:t xml:space="preserve">DTOP deberá rendir un informe de progreso </w:t>
      </w:r>
      <w:r w:rsidRPr="001878E0">
        <w:rPr>
          <w:rFonts w:ascii="Book Antiqua" w:hAnsi="Book Antiqua"/>
          <w:strike/>
          <w:lang w:val="es-ES_tradnl"/>
        </w:rPr>
        <w:t>al Senado</w:t>
      </w:r>
      <w:r>
        <w:rPr>
          <w:rFonts w:ascii="Book Antiqua" w:hAnsi="Book Antiqua"/>
          <w:lang w:val="es-ES_tradnl"/>
        </w:rPr>
        <w:t xml:space="preserve"> </w:t>
      </w:r>
      <w:r w:rsidR="001878E0">
        <w:rPr>
          <w:rFonts w:ascii="Book Antiqua" w:hAnsi="Book Antiqua"/>
          <w:i/>
          <w:iCs/>
          <w:u w:val="single"/>
          <w:lang w:val="es-ES_tradnl"/>
        </w:rPr>
        <w:t>a la Asamblea Legislativa</w:t>
      </w:r>
      <w:r w:rsidR="001878E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de Puerto Rico</w:t>
      </w:r>
      <w:r w:rsidRPr="008B0D5C">
        <w:rPr>
          <w:rFonts w:ascii="Book Antiqua" w:hAnsi="Book Antiqua"/>
          <w:lang w:val="es-ES_tradnl"/>
        </w:rPr>
        <w:t xml:space="preserve">, por conducto de </w:t>
      </w:r>
      <w:r w:rsidRPr="001878E0">
        <w:rPr>
          <w:rFonts w:ascii="Book Antiqua" w:hAnsi="Book Antiqua"/>
          <w:strike/>
          <w:lang w:val="es-ES_tradnl"/>
        </w:rPr>
        <w:t>la Secretaría</w:t>
      </w:r>
      <w:r w:rsidR="001878E0">
        <w:rPr>
          <w:rFonts w:ascii="Book Antiqua" w:hAnsi="Book Antiqua"/>
          <w:lang w:val="es-ES_tradnl"/>
        </w:rPr>
        <w:t xml:space="preserve"> </w:t>
      </w:r>
      <w:r w:rsidR="001878E0">
        <w:rPr>
          <w:rFonts w:ascii="Book Antiqua" w:hAnsi="Book Antiqua"/>
          <w:i/>
          <w:iCs/>
          <w:u w:val="single"/>
          <w:lang w:val="es-ES_tradnl"/>
        </w:rPr>
        <w:t>sus correspondientes Secretarías</w:t>
      </w:r>
      <w:r w:rsidRPr="008B0D5C">
        <w:rPr>
          <w:rFonts w:ascii="Book Antiqua" w:hAnsi="Book Antiqua"/>
          <w:lang w:val="es-ES_tradnl"/>
        </w:rPr>
        <w:t>, en un término no mayor de treinta (30) días,</w:t>
      </w:r>
      <w:r>
        <w:rPr>
          <w:rFonts w:ascii="Book Antiqua" w:hAnsi="Book Antiqua"/>
          <w:lang w:val="es-ES_tradnl"/>
        </w:rPr>
        <w:t xml:space="preserve"> luego de aprobada esta Resolución</w:t>
      </w:r>
      <w:r w:rsidR="00EE2DD0">
        <w:rPr>
          <w:rFonts w:ascii="Book Antiqua" w:hAnsi="Book Antiqua"/>
          <w:lang w:val="es-ES_tradnl"/>
        </w:rPr>
        <w:t xml:space="preserve"> Conjunta</w:t>
      </w:r>
      <w:r>
        <w:rPr>
          <w:rFonts w:ascii="Book Antiqua" w:hAnsi="Book Antiqua"/>
          <w:lang w:val="es-ES_tradnl"/>
        </w:rPr>
        <w:t>,</w:t>
      </w:r>
      <w:r w:rsidRPr="008B0D5C">
        <w:rPr>
          <w:rFonts w:ascii="Book Antiqua" w:hAnsi="Book Antiqua"/>
          <w:lang w:val="es-ES_tradnl"/>
        </w:rPr>
        <w:t xml:space="preserve"> detallando las acciones tomadas, los recursos invertidos y el calendario de culminación de la obra.</w:t>
      </w:r>
    </w:p>
    <w:p w14:paraId="5D70AFD2" w14:textId="167DD372" w:rsidR="008B0D5C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Sección </w:t>
      </w:r>
      <w:proofErr w:type="gramStart"/>
      <w:r>
        <w:rPr>
          <w:rFonts w:ascii="Book Antiqua" w:hAnsi="Book Antiqua"/>
          <w:lang w:val="es-ES_tradnl"/>
        </w:rPr>
        <w:t>3.–</w:t>
      </w:r>
      <w:proofErr w:type="gramEnd"/>
      <w:r>
        <w:rPr>
          <w:rFonts w:ascii="Book Antiqua" w:hAnsi="Book Antiqua"/>
          <w:lang w:val="es-ES_tradnl"/>
        </w:rPr>
        <w:t xml:space="preserve"> Se </w:t>
      </w:r>
      <w:r w:rsidRPr="008B0D5C">
        <w:rPr>
          <w:rFonts w:ascii="Book Antiqua" w:hAnsi="Book Antiqua"/>
          <w:lang w:val="es-ES_tradnl"/>
        </w:rPr>
        <w:t>autoriza a la Oficina de Gerencia y Presupuesto (OGP) a identificar y transferir los fondos necesarios para garantizar la ejecución de las medidas aquí dispuestas.</w:t>
      </w:r>
    </w:p>
    <w:p w14:paraId="12564B25" w14:textId="642B74AB" w:rsidR="008B0D5C" w:rsidRPr="00841F57" w:rsidRDefault="008B0D5C" w:rsidP="00841F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</w:t>
      </w:r>
      <w:proofErr w:type="gramStart"/>
      <w:r>
        <w:rPr>
          <w:rFonts w:ascii="Book Antiqua" w:hAnsi="Book Antiqua"/>
          <w:lang w:val="es-ES_tradnl"/>
        </w:rPr>
        <w:t>4.</w:t>
      </w:r>
      <w:r w:rsidR="00D70706">
        <w:rPr>
          <w:rFonts w:ascii="Book Antiqua" w:hAnsi="Book Antiqua"/>
          <w:lang w:val="es-ES_tradnl"/>
        </w:rPr>
        <w:t>–</w:t>
      </w:r>
      <w:proofErr w:type="gramEnd"/>
      <w:r>
        <w:rPr>
          <w:rFonts w:ascii="Book Antiqua" w:hAnsi="Book Antiqua"/>
          <w:lang w:val="es-ES_tradnl"/>
        </w:rPr>
        <w:t xml:space="preserve"> </w:t>
      </w:r>
      <w:r w:rsidR="00D70706">
        <w:rPr>
          <w:rFonts w:ascii="Book Antiqua" w:hAnsi="Book Antiqua"/>
          <w:lang w:val="es-ES_tradnl"/>
        </w:rPr>
        <w:t xml:space="preserve">Esta </w:t>
      </w:r>
      <w:r w:rsidRPr="008B0D5C">
        <w:rPr>
          <w:rFonts w:ascii="Book Antiqua" w:hAnsi="Book Antiqua"/>
          <w:lang w:val="es-ES_tradnl"/>
        </w:rPr>
        <w:t>Resolución</w:t>
      </w:r>
      <w:r w:rsidR="00D70706">
        <w:rPr>
          <w:rFonts w:ascii="Book Antiqua" w:hAnsi="Book Antiqua"/>
          <w:lang w:val="es-ES_tradnl"/>
        </w:rPr>
        <w:t xml:space="preserve"> Conjunta</w:t>
      </w:r>
      <w:r w:rsidRPr="008B0D5C">
        <w:rPr>
          <w:rFonts w:ascii="Book Antiqua" w:hAnsi="Book Antiqua"/>
          <w:lang w:val="es-ES_tradnl"/>
        </w:rPr>
        <w:t xml:space="preserve"> entrará en vigor inmediatamente después de su aprobación.</w:t>
      </w:r>
    </w:p>
    <w:sectPr w:rsidR="008B0D5C" w:rsidRPr="00841F57" w:rsidSect="00841F57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99418" w14:textId="77777777" w:rsidR="003E1C91" w:rsidRDefault="003E1C91">
      <w:r>
        <w:separator/>
      </w:r>
    </w:p>
  </w:endnote>
  <w:endnote w:type="continuationSeparator" w:id="0">
    <w:p w14:paraId="0A008CC1" w14:textId="77777777" w:rsidR="003E1C91" w:rsidRDefault="003E1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8AE1E" w14:textId="77777777" w:rsidR="003E1C91" w:rsidRDefault="003E1C91">
      <w:r>
        <w:separator/>
      </w:r>
    </w:p>
  </w:footnote>
  <w:footnote w:type="continuationSeparator" w:id="0">
    <w:p w14:paraId="34AF0905" w14:textId="77777777" w:rsidR="003E1C91" w:rsidRDefault="003E1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E897B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41F57"/>
    <w:rsid w:val="000F6834"/>
    <w:rsid w:val="001878E0"/>
    <w:rsid w:val="001F4CC4"/>
    <w:rsid w:val="002151F3"/>
    <w:rsid w:val="0021546C"/>
    <w:rsid w:val="00275D9E"/>
    <w:rsid w:val="0027785D"/>
    <w:rsid w:val="002D2308"/>
    <w:rsid w:val="002E6D71"/>
    <w:rsid w:val="00321EB7"/>
    <w:rsid w:val="00323544"/>
    <w:rsid w:val="00354F2D"/>
    <w:rsid w:val="00355813"/>
    <w:rsid w:val="003E1C91"/>
    <w:rsid w:val="003E7FC2"/>
    <w:rsid w:val="0042753F"/>
    <w:rsid w:val="004A1888"/>
    <w:rsid w:val="004B6DD7"/>
    <w:rsid w:val="004F1EE4"/>
    <w:rsid w:val="005559A1"/>
    <w:rsid w:val="005E37E7"/>
    <w:rsid w:val="006B0440"/>
    <w:rsid w:val="006B559B"/>
    <w:rsid w:val="007A1394"/>
    <w:rsid w:val="007D6191"/>
    <w:rsid w:val="007F0B3D"/>
    <w:rsid w:val="00827101"/>
    <w:rsid w:val="00841F57"/>
    <w:rsid w:val="008547BE"/>
    <w:rsid w:val="008B0D5C"/>
    <w:rsid w:val="008C4672"/>
    <w:rsid w:val="008E2201"/>
    <w:rsid w:val="008E4B89"/>
    <w:rsid w:val="008E6E97"/>
    <w:rsid w:val="0092176F"/>
    <w:rsid w:val="00980C1C"/>
    <w:rsid w:val="009B7A94"/>
    <w:rsid w:val="009C765B"/>
    <w:rsid w:val="009E2A61"/>
    <w:rsid w:val="00A60AA5"/>
    <w:rsid w:val="00A750BD"/>
    <w:rsid w:val="00A829DF"/>
    <w:rsid w:val="00AB16EC"/>
    <w:rsid w:val="00B456A4"/>
    <w:rsid w:val="00BB4B68"/>
    <w:rsid w:val="00BC0A6F"/>
    <w:rsid w:val="00BF6758"/>
    <w:rsid w:val="00C27704"/>
    <w:rsid w:val="00C40C85"/>
    <w:rsid w:val="00C433A2"/>
    <w:rsid w:val="00C652E0"/>
    <w:rsid w:val="00CA5394"/>
    <w:rsid w:val="00D20C77"/>
    <w:rsid w:val="00D51285"/>
    <w:rsid w:val="00D70706"/>
    <w:rsid w:val="00E40814"/>
    <w:rsid w:val="00E532CF"/>
    <w:rsid w:val="00E55203"/>
    <w:rsid w:val="00EE2DD0"/>
    <w:rsid w:val="00EE322B"/>
    <w:rsid w:val="00F17231"/>
    <w:rsid w:val="00F2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C10DF2"/>
  <w15:chartTrackingRefBased/>
  <w15:docId w15:val="{EA85D123-8963-7748-BA13-88A202CC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4SQX5P7U7WPY-958212181-822135</_dlc_DocId>
    <_dlc_DocIdUrl xmlns="c890fddd-4e87-4e08-8b51-545f2a3f7b06">
      <Url>https://senpr.sharepoint.com/sites/obralegislativa/_layouts/15/DocIdRedir.aspx?ID=4SQX5P7U7WPY-958212181-822135</Url>
      <Description>4SQX5P7U7WPY-958212181-822135</Description>
    </_dlc_DocIdUrl>
  </documentManagement>
</p:properties>
</file>

<file path=customXml/itemProps1.xml><?xml version="1.0" encoding="utf-8"?>
<ds:datastoreItem xmlns:ds="http://schemas.openxmlformats.org/officeDocument/2006/customXml" ds:itemID="{DCC8E85B-E528-4ED0-924D-4B2E1CBED4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E4C635-FE3E-4DBA-97E7-226242F0070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C34B28C-45C4-40BE-A146-200945CF98F9}"/>
</file>

<file path=customXml/itemProps4.xml><?xml version="1.0" encoding="utf-8"?>
<ds:datastoreItem xmlns:ds="http://schemas.openxmlformats.org/officeDocument/2006/customXml" ds:itemID="{46074891-7DBB-4672-95BC-3AA521E2492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3080</Characters>
  <Application>Microsoft Office Word</Application>
  <DocSecurity>0</DocSecurity>
  <Lines>60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Microsoft Office User</dc:creator>
  <cp:keywords/>
  <cp:lastModifiedBy>Jessica M. Caraballo Rivera (Trámites y Récords)</cp:lastModifiedBy>
  <cp:revision>2</cp:revision>
  <cp:lastPrinted>2000-03-03T16:35:00Z</cp:lastPrinted>
  <dcterms:created xsi:type="dcterms:W3CDTF">2026-01-12T15:45:00Z</dcterms:created>
  <dcterms:modified xsi:type="dcterms:W3CDTF">2026-01-12T15:45:00Z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1be071c3-9a7c-4899-852b-07e05d0cbaab</vt:lpwstr>
  </property>
  <property fmtid="{D5CDD505-2E9C-101B-9397-08002B2CF9AE}" pid="4" name="MediaServiceImageTags">
    <vt:lpwstr/>
  </property>
</Properties>
</file>