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320C26" w:rsidRDefault="00F13533" w:rsidP="00F13533">
      <w:pPr>
        <w:jc w:val="center"/>
        <w:rPr>
          <w:rFonts w:ascii="Book Antiqua" w:hAnsi="Book Antiqua"/>
          <w:szCs w:val="24"/>
          <w:lang w:val="es-ES_tradnl"/>
        </w:rPr>
      </w:pPr>
    </w:p>
    <w:p w14:paraId="6AE3905C" w14:textId="722F28B8" w:rsidR="00F13533" w:rsidRPr="0033739A" w:rsidRDefault="00F13533" w:rsidP="00320C26">
      <w:pPr>
        <w:pStyle w:val="Title2"/>
        <w:tabs>
          <w:tab w:val="clear" w:pos="648"/>
          <w:tab w:val="clear" w:pos="7776"/>
          <w:tab w:val="clear" w:pos="7848"/>
        </w:tabs>
        <w:rPr>
          <w:rFonts w:ascii="Book Antiqua" w:hAnsi="Book Antiqua"/>
          <w:lang w:val="es-PR"/>
        </w:rPr>
      </w:pPr>
      <w:r w:rsidRPr="0033739A">
        <w:rPr>
          <w:rFonts w:ascii="Book Antiqua" w:hAnsi="Book Antiqua"/>
          <w:lang w:val="es-PR"/>
        </w:rPr>
        <w:t xml:space="preserve"> </w:t>
      </w:r>
      <w:r w:rsidR="00320C26" w:rsidRPr="0033739A">
        <w:rPr>
          <w:rFonts w:ascii="Book Antiqua" w:hAnsi="Book Antiqua"/>
          <w:lang w:val="es-PR"/>
        </w:rPr>
        <w:t>20ma.</w:t>
      </w:r>
      <w:r w:rsidRPr="0033739A">
        <w:rPr>
          <w:rFonts w:ascii="Book Antiqua" w:hAnsi="Book Antiqua"/>
          <w:lang w:val="es-PR"/>
        </w:rPr>
        <w:tab/>
      </w:r>
      <w:r w:rsidR="00320C26" w:rsidRPr="0033739A">
        <w:rPr>
          <w:rFonts w:ascii="Book Antiqua" w:hAnsi="Book Antiqua"/>
          <w:lang w:val="es-PR"/>
        </w:rPr>
        <w:t xml:space="preserve"> </w:t>
      </w:r>
      <w:r w:rsidRPr="0033739A">
        <w:rPr>
          <w:rFonts w:ascii="Book Antiqua" w:hAnsi="Book Antiqua"/>
          <w:lang w:val="es-PR"/>
        </w:rPr>
        <w:t>Asamblea</w:t>
      </w:r>
      <w:r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t xml:space="preserve">          2da. </w:t>
      </w:r>
      <w:r w:rsidRPr="0033739A">
        <w:rPr>
          <w:rFonts w:ascii="Book Antiqua" w:hAnsi="Book Antiqua"/>
          <w:lang w:val="es-PR"/>
        </w:rPr>
        <w:t>Sesión</w:t>
      </w:r>
    </w:p>
    <w:p w14:paraId="37260458" w14:textId="4EACB195" w:rsidR="00F13533" w:rsidRPr="0033739A" w:rsidRDefault="00F13533" w:rsidP="00320C26">
      <w:pPr>
        <w:pStyle w:val="Title2"/>
        <w:tabs>
          <w:tab w:val="clear" w:pos="648"/>
          <w:tab w:val="clear" w:pos="7776"/>
          <w:tab w:val="clear" w:pos="7848"/>
        </w:tabs>
        <w:rPr>
          <w:rFonts w:ascii="Book Antiqua" w:hAnsi="Book Antiqua"/>
          <w:lang w:val="es-PR"/>
        </w:rPr>
      </w:pPr>
      <w:r w:rsidRPr="0033739A">
        <w:rPr>
          <w:rFonts w:ascii="Book Antiqua" w:hAnsi="Book Antiqua"/>
          <w:lang w:val="es-PR"/>
        </w:rPr>
        <w:tab/>
      </w:r>
      <w:r w:rsidR="00320C26" w:rsidRPr="0033739A">
        <w:rPr>
          <w:rFonts w:ascii="Book Antiqua" w:hAnsi="Book Antiqua"/>
          <w:lang w:val="es-PR"/>
        </w:rPr>
        <w:t xml:space="preserve"> </w:t>
      </w:r>
      <w:r w:rsidRPr="0033739A">
        <w:rPr>
          <w:rFonts w:ascii="Book Antiqua" w:hAnsi="Book Antiqua"/>
          <w:lang w:val="es-PR"/>
        </w:rPr>
        <w:t>Legislativa</w:t>
      </w:r>
      <w:r w:rsidRPr="0033739A">
        <w:rPr>
          <w:rFonts w:ascii="Book Antiqua" w:hAnsi="Book Antiqua"/>
          <w:lang w:val="es-PR"/>
        </w:rPr>
        <w:tab/>
      </w:r>
      <w:r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r>
      <w:r w:rsidR="00320C26" w:rsidRPr="0033739A">
        <w:rPr>
          <w:rFonts w:ascii="Book Antiqua" w:hAnsi="Book Antiqua"/>
          <w:lang w:val="es-PR"/>
        </w:rPr>
        <w:tab/>
        <w:t xml:space="preserve">      </w:t>
      </w:r>
      <w:r w:rsidRPr="0033739A">
        <w:rPr>
          <w:rFonts w:ascii="Book Antiqua" w:hAnsi="Book Antiqua"/>
          <w:lang w:val="es-PR"/>
        </w:rPr>
        <w:t>Ordinaria</w:t>
      </w:r>
    </w:p>
    <w:p w14:paraId="4881859A" w14:textId="77777777" w:rsidR="00F13533" w:rsidRPr="0033739A" w:rsidRDefault="00F13533" w:rsidP="00F13533">
      <w:pPr>
        <w:rPr>
          <w:rFonts w:ascii="Book Antiqua" w:hAnsi="Book Antiqua"/>
          <w:lang w:val="es-PR"/>
        </w:rPr>
      </w:pPr>
    </w:p>
    <w:p w14:paraId="2BEF326C" w14:textId="77777777" w:rsidR="00F13533" w:rsidRPr="004F6F8E" w:rsidRDefault="00F13533" w:rsidP="00320C26">
      <w:pPr>
        <w:jc w:val="center"/>
        <w:rPr>
          <w:rFonts w:ascii="Book Antiqua" w:hAnsi="Book Antiqua"/>
          <w:b/>
          <w:sz w:val="36"/>
          <w:lang w:val="es-ES_tradnl"/>
        </w:rPr>
      </w:pPr>
      <w:r w:rsidRPr="004F6F8E">
        <w:rPr>
          <w:rFonts w:ascii="Book Antiqua" w:hAnsi="Book Antiqua"/>
          <w:b/>
          <w:sz w:val="36"/>
          <w:lang w:val="es-ES_tradnl"/>
        </w:rPr>
        <w:t>CÁMARA DE REPRESENTANTES</w:t>
      </w:r>
    </w:p>
    <w:p w14:paraId="2ABF24EE" w14:textId="77777777" w:rsidR="00320C26" w:rsidRPr="00320C26" w:rsidRDefault="00320C26" w:rsidP="00320C26">
      <w:pPr>
        <w:jc w:val="center"/>
        <w:rPr>
          <w:rFonts w:ascii="Book Antiqua" w:hAnsi="Book Antiqua"/>
          <w:b/>
          <w:szCs w:val="24"/>
          <w:lang w:val="es-ES_tradnl"/>
        </w:rPr>
      </w:pPr>
    </w:p>
    <w:p w14:paraId="279BFDBC" w14:textId="5565501C" w:rsidR="00F13533" w:rsidRPr="004F6F8E" w:rsidRDefault="00F13533" w:rsidP="00320C26">
      <w:pPr>
        <w:jc w:val="center"/>
        <w:rPr>
          <w:rFonts w:ascii="Book Antiqua" w:hAnsi="Book Antiqua"/>
          <w:b/>
          <w:sz w:val="52"/>
          <w:lang w:val="es-ES_tradnl"/>
        </w:rPr>
      </w:pPr>
      <w:r w:rsidRPr="004F6F8E">
        <w:rPr>
          <w:rFonts w:ascii="Book Antiqua" w:hAnsi="Book Antiqua"/>
          <w:b/>
          <w:sz w:val="52"/>
          <w:lang w:val="es-ES_tradnl"/>
        </w:rPr>
        <w:t xml:space="preserve">P. de la C. </w:t>
      </w:r>
      <w:r w:rsidR="00B74AA5">
        <w:rPr>
          <w:rFonts w:ascii="Book Antiqua" w:hAnsi="Book Antiqua"/>
          <w:b/>
          <w:sz w:val="52"/>
          <w:lang w:val="es-ES_tradnl"/>
        </w:rPr>
        <w:t>868</w:t>
      </w:r>
    </w:p>
    <w:p w14:paraId="4AACF757" w14:textId="77777777" w:rsidR="00320C26" w:rsidRDefault="00320C26" w:rsidP="00320C26">
      <w:pPr>
        <w:jc w:val="center"/>
        <w:rPr>
          <w:rFonts w:ascii="Book Antiqua" w:hAnsi="Book Antiqua"/>
          <w:lang w:val="es-ES_tradnl"/>
        </w:rPr>
      </w:pPr>
    </w:p>
    <w:p w14:paraId="2661CC12" w14:textId="21E43409" w:rsidR="00F13533" w:rsidRDefault="00C65E28" w:rsidP="00320C26">
      <w:pPr>
        <w:jc w:val="center"/>
        <w:rPr>
          <w:rFonts w:ascii="Book Antiqua" w:hAnsi="Book Antiqua"/>
          <w:lang w:val="es-ES_tradnl"/>
        </w:rPr>
      </w:pPr>
      <w:r>
        <w:rPr>
          <w:rFonts w:ascii="Book Antiqua" w:hAnsi="Book Antiqua"/>
          <w:lang w:val="es-ES_tradnl"/>
        </w:rPr>
        <w:t>1</w:t>
      </w:r>
      <w:r w:rsidR="00C27E72">
        <w:rPr>
          <w:rFonts w:ascii="Book Antiqua" w:hAnsi="Book Antiqua"/>
          <w:lang w:val="es-ES_tradnl"/>
        </w:rPr>
        <w:t>9</w:t>
      </w:r>
      <w:r w:rsidR="00F13533" w:rsidRPr="004F6F8E">
        <w:rPr>
          <w:rFonts w:ascii="Book Antiqua" w:hAnsi="Book Antiqua"/>
          <w:lang w:val="es-ES_tradnl"/>
        </w:rPr>
        <w:t xml:space="preserve"> DE </w:t>
      </w:r>
      <w:r>
        <w:rPr>
          <w:rFonts w:ascii="Book Antiqua" w:hAnsi="Book Antiqua"/>
          <w:lang w:val="es-ES_tradnl"/>
        </w:rPr>
        <w:t>SEPTIEMBRE</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320C26">
      <w:pPr>
        <w:jc w:val="center"/>
        <w:rPr>
          <w:rFonts w:ascii="Book Antiqua" w:hAnsi="Book Antiqua"/>
          <w:lang w:val="es-ES_tradnl"/>
        </w:rPr>
      </w:pPr>
    </w:p>
    <w:p w14:paraId="58BC7EBC" w14:textId="77777777" w:rsidR="00320C26" w:rsidRDefault="00F13533" w:rsidP="00320C26">
      <w:pPr>
        <w:jc w:val="center"/>
        <w:rPr>
          <w:rFonts w:ascii="Book Antiqua" w:hAnsi="Book Antiqua"/>
          <w:i/>
          <w:iCs/>
          <w:lang w:val="es-ES_tradnl"/>
        </w:rPr>
      </w:pPr>
      <w:r w:rsidRPr="004F6F8E">
        <w:rPr>
          <w:rFonts w:ascii="Book Antiqua" w:hAnsi="Book Antiqua"/>
          <w:lang w:val="es-ES_tradnl"/>
        </w:rPr>
        <w:t xml:space="preserve">Presentado por </w:t>
      </w:r>
      <w:r w:rsidR="00320C26">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320C26">
        <w:rPr>
          <w:rFonts w:ascii="Book Antiqua" w:hAnsi="Book Antiqua"/>
          <w:i/>
          <w:iCs/>
          <w:lang w:val="es-ES_tradnl"/>
        </w:rPr>
        <w:t xml:space="preserve"> </w:t>
      </w:r>
    </w:p>
    <w:p w14:paraId="10DE9FEA" w14:textId="3BAF8CE2" w:rsidR="00F13533" w:rsidRPr="004F6F8E" w:rsidRDefault="00320C26" w:rsidP="00320C26">
      <w:pPr>
        <w:jc w:val="center"/>
        <w:rPr>
          <w:rFonts w:ascii="Book Antiqua" w:hAnsi="Book Antiqua"/>
          <w:i/>
          <w:iCs/>
          <w:lang w:val="es-ES_tradnl"/>
        </w:rPr>
      </w:pPr>
      <w:r w:rsidRPr="00320C26">
        <w:rPr>
          <w:rFonts w:ascii="Book Antiqua" w:hAnsi="Book Antiqua"/>
          <w:lang w:val="es-ES_tradnl"/>
        </w:rPr>
        <w:t>y las representante</w:t>
      </w:r>
      <w:r w:rsidRPr="00C665A5">
        <w:rPr>
          <w:rFonts w:ascii="Book Antiqua" w:hAnsi="Book Antiqua"/>
          <w:lang w:val="es-ES_tradnl"/>
        </w:rPr>
        <w:t>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33739A">
        <w:rPr>
          <w:rFonts w:ascii="Book Antiqua" w:hAnsi="Book Antiqua"/>
          <w:lang w:val="es-ES_tradnl"/>
        </w:rPr>
        <w:t>y</w:t>
      </w:r>
      <w:r w:rsidR="00034585" w:rsidRPr="004F6F8E">
        <w:rPr>
          <w:rFonts w:ascii="Book Antiqua" w:hAnsi="Book Antiqua"/>
          <w:i/>
          <w:iCs/>
          <w:lang w:val="es-ES_tradnl"/>
        </w:rPr>
        <w:t xml:space="preserve"> Lebrón Robles</w:t>
      </w:r>
    </w:p>
    <w:p w14:paraId="69159309" w14:textId="77777777" w:rsidR="00320C26" w:rsidRDefault="00320C26" w:rsidP="00320C26">
      <w:pPr>
        <w:jc w:val="center"/>
        <w:rPr>
          <w:rFonts w:ascii="Book Antiqua" w:hAnsi="Book Antiqua"/>
          <w:lang w:val="es-ES_tradnl"/>
        </w:rPr>
      </w:pPr>
    </w:p>
    <w:p w14:paraId="47A99186" w14:textId="2576F619" w:rsidR="00F13533" w:rsidRPr="004F6F8E" w:rsidRDefault="00F13533" w:rsidP="00320C26">
      <w:pPr>
        <w:jc w:val="center"/>
        <w:rPr>
          <w:rFonts w:ascii="Book Antiqua" w:hAnsi="Book Antiqua"/>
          <w:lang w:val="es-ES_tradnl"/>
        </w:rPr>
      </w:pPr>
      <w:r w:rsidRPr="004F6F8E">
        <w:rPr>
          <w:rFonts w:ascii="Book Antiqua" w:hAnsi="Book Antiqua"/>
          <w:lang w:val="es-ES_tradnl"/>
        </w:rPr>
        <w:t xml:space="preserve">Referido a </w:t>
      </w:r>
      <w:r w:rsidR="0033739A">
        <w:rPr>
          <w:rFonts w:ascii="Book Antiqua" w:hAnsi="Book Antiqua"/>
          <w:lang w:val="es-ES_tradnl"/>
        </w:rPr>
        <w:t>la Comisión de Hacienda</w:t>
      </w:r>
    </w:p>
    <w:p w14:paraId="4F40A063" w14:textId="77777777" w:rsidR="00F13533" w:rsidRPr="004F6F8E" w:rsidRDefault="00F13533" w:rsidP="00320C26">
      <w:pPr>
        <w:jc w:val="both"/>
        <w:rPr>
          <w:rFonts w:ascii="Book Antiqua" w:hAnsi="Book Antiqua"/>
          <w:lang w:val="es-ES_tradnl"/>
        </w:rPr>
      </w:pPr>
    </w:p>
    <w:p w14:paraId="7D55E694" w14:textId="77777777" w:rsidR="00F13533" w:rsidRPr="00DD2AA2" w:rsidRDefault="00F13533" w:rsidP="00320C26">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320C26">
      <w:pPr>
        <w:jc w:val="both"/>
        <w:rPr>
          <w:rFonts w:ascii="Book Antiqua" w:hAnsi="Book Antiqua"/>
          <w:lang w:val="es-ES_tradnl"/>
        </w:rPr>
      </w:pPr>
    </w:p>
    <w:p w14:paraId="1CEF8A88" w14:textId="22D215A4" w:rsidR="00F13533" w:rsidRPr="004F6F8E" w:rsidRDefault="00782D50" w:rsidP="00320C26">
      <w:pPr>
        <w:ind w:left="720" w:hanging="720"/>
        <w:jc w:val="both"/>
        <w:rPr>
          <w:rFonts w:ascii="Book Antiqua" w:hAnsi="Book Antiqua"/>
          <w:lang w:val="es-ES"/>
        </w:rPr>
      </w:pPr>
      <w:r w:rsidRPr="00782D50">
        <w:rPr>
          <w:rFonts w:ascii="Book Antiqua" w:hAnsi="Book Antiqua"/>
          <w:lang w:val="es-ES_tradnl"/>
        </w:rPr>
        <w:t xml:space="preserve">Para </w:t>
      </w:r>
      <w:r w:rsidR="00F7676D" w:rsidRPr="00834AA0">
        <w:rPr>
          <w:rFonts w:ascii="Book Antiqua" w:hAnsi="Book Antiqua"/>
          <w:lang w:val="es-ES_tradnl"/>
        </w:rPr>
        <w:t xml:space="preserve">enmendar el inciso (j) del Artículo 3 de la Ley </w:t>
      </w:r>
      <w:r w:rsidR="00F7676D" w:rsidRPr="00834AA0">
        <w:rPr>
          <w:rFonts w:ascii="Book Antiqua" w:hAnsi="Book Antiqua"/>
          <w:lang w:val="es-419"/>
        </w:rPr>
        <w:t xml:space="preserve">230 de 23 de julio de 1974, según enmendada, conocida como “Ley de Contabilidad del Gobierno de Puerto Rico”; y establecer la responsabilidad del </w:t>
      </w:r>
      <w:r w:rsidR="00F7676D" w:rsidRPr="00834AA0">
        <w:rPr>
          <w:rFonts w:ascii="Book Antiqua" w:hAnsi="Book Antiqua"/>
          <w:szCs w:val="24"/>
          <w:lang w:val="es-419"/>
        </w:rPr>
        <w:t>Departamento de Hacienda de adopt</w:t>
      </w:r>
      <w:r w:rsidR="00F7676D" w:rsidRPr="00834AA0">
        <w:rPr>
          <w:rFonts w:ascii="Book Antiqua" w:hAnsi="Book Antiqua"/>
          <w:lang w:val="es-419"/>
        </w:rPr>
        <w:t xml:space="preserve">ar </w:t>
      </w:r>
      <w:r w:rsidR="00F7676D" w:rsidRPr="00834AA0">
        <w:rPr>
          <w:rFonts w:ascii="Book Antiqua" w:hAnsi="Book Antiqua"/>
          <w:szCs w:val="24"/>
          <w:lang w:val="es-419"/>
        </w:rPr>
        <w:t xml:space="preserve">reglamentación </w:t>
      </w:r>
      <w:r w:rsidR="00F7676D" w:rsidRPr="00834AA0">
        <w:rPr>
          <w:rFonts w:ascii="Book Antiqua" w:hAnsi="Book Antiqua"/>
          <w:lang w:val="es-419"/>
        </w:rPr>
        <w:t>administrativa con el fin de requerir</w:t>
      </w:r>
      <w:r w:rsidR="00F7676D" w:rsidRPr="00B95BB4">
        <w:rPr>
          <w:rFonts w:ascii="Book Antiqua" w:hAnsi="Book Antiqua"/>
          <w:szCs w:val="24"/>
          <w:lang w:val="es-419"/>
        </w:rPr>
        <w:t xml:space="preserve"> que </w:t>
      </w:r>
      <w:r w:rsidR="00F7676D" w:rsidRPr="00834AA0">
        <w:rPr>
          <w:rFonts w:ascii="Book Antiqua" w:hAnsi="Book Antiqua"/>
          <w:szCs w:val="24"/>
          <w:lang w:val="es-419"/>
        </w:rPr>
        <w:t xml:space="preserve">las asignaciones, </w:t>
      </w:r>
      <w:r w:rsidR="00F7676D" w:rsidRPr="00B95BB4">
        <w:rPr>
          <w:rFonts w:ascii="Book Antiqua" w:hAnsi="Book Antiqua"/>
          <w:szCs w:val="24"/>
          <w:lang w:val="es-419"/>
        </w:rPr>
        <w:t>los gastos</w:t>
      </w:r>
      <w:r w:rsidR="00F7676D" w:rsidRPr="00834AA0">
        <w:rPr>
          <w:rFonts w:ascii="Book Antiqua" w:hAnsi="Book Antiqua"/>
          <w:szCs w:val="24"/>
          <w:lang w:val="es-419"/>
        </w:rPr>
        <w:t xml:space="preserve"> y las ganancias generadas por servicios de tecnología e informática provistos o contratados por el </w:t>
      </w:r>
      <w:r w:rsidR="00F7676D" w:rsidRPr="00834AA0">
        <w:rPr>
          <w:rFonts w:ascii="Book Antiqua" w:hAnsi="Book Antiqua"/>
          <w:lang w:val="es-419"/>
        </w:rPr>
        <w:t>G</w:t>
      </w:r>
      <w:r w:rsidR="00F7676D" w:rsidRPr="00834AA0">
        <w:rPr>
          <w:rFonts w:ascii="Book Antiqua" w:hAnsi="Book Antiqua"/>
          <w:szCs w:val="24"/>
          <w:lang w:val="es-419"/>
        </w:rPr>
        <w:t xml:space="preserve">obierno </w:t>
      </w:r>
      <w:r w:rsidR="00F7676D" w:rsidRPr="00834AA0">
        <w:rPr>
          <w:rFonts w:ascii="Book Antiqua" w:hAnsi="Book Antiqua"/>
          <w:lang w:val="es-419"/>
        </w:rPr>
        <w:t xml:space="preserve">de Puerto Rico </w:t>
      </w:r>
      <w:r w:rsidR="00F7676D" w:rsidRPr="00834AA0">
        <w:rPr>
          <w:rFonts w:ascii="Book Antiqua" w:hAnsi="Book Antiqua"/>
          <w:szCs w:val="24"/>
          <w:lang w:val="es-419"/>
        </w:rPr>
        <w:t>se divulguen de forma</w:t>
      </w:r>
      <w:r w:rsidR="00F7676D" w:rsidRPr="00B95BB4">
        <w:rPr>
          <w:rFonts w:ascii="Book Antiqua" w:hAnsi="Book Antiqua"/>
          <w:szCs w:val="24"/>
          <w:lang w:val="es-419"/>
        </w:rPr>
        <w:t xml:space="preserve"> </w:t>
      </w:r>
      <w:r w:rsidR="00F7676D" w:rsidRPr="00834AA0">
        <w:rPr>
          <w:rFonts w:ascii="Book Antiqua" w:hAnsi="Book Antiqua"/>
          <w:szCs w:val="24"/>
          <w:lang w:val="es-419"/>
        </w:rPr>
        <w:t>específica</w:t>
      </w:r>
      <w:r w:rsidR="00F7676D" w:rsidRPr="00834AA0">
        <w:rPr>
          <w:rFonts w:ascii="Book Antiqua" w:hAnsi="Book Antiqua"/>
          <w:lang w:val="es-419"/>
        </w:rPr>
        <w:t xml:space="preserve"> en un informe anual</w:t>
      </w:r>
      <w:r w:rsidR="00F7676D" w:rsidRPr="00834AA0">
        <w:rPr>
          <w:rFonts w:ascii="Book Antiqua" w:hAnsi="Book Antiqua"/>
          <w:szCs w:val="24"/>
          <w:lang w:val="es-ES_tradnl"/>
        </w:rPr>
        <w:t>; con el fin de garantizar la transparencia cuando</w:t>
      </w:r>
      <w:r w:rsidR="00F7676D" w:rsidRPr="00834AA0">
        <w:rPr>
          <w:rFonts w:ascii="Book Antiqua" w:hAnsi="Book Antiqua"/>
          <w:lang w:val="es-419"/>
        </w:rPr>
        <w:t xml:space="preserve"> una </w:t>
      </w:r>
      <w:r w:rsidR="00F7676D" w:rsidRPr="00834AA0">
        <w:rPr>
          <w:rFonts w:ascii="Book Antiqua" w:hAnsi="Book Antiqua"/>
          <w:szCs w:val="24"/>
          <w:lang w:val="es-ES_tradnl"/>
        </w:rPr>
        <w:t>empresa privada es contratada o subcontratada para ejercer funciones adjudicadas al Estado por virtud de la Constitución de Puerto Rico, las leyes o la reglamentación administrativa; y para decretar otras disposiciones complementarias.</w:t>
      </w:r>
    </w:p>
    <w:p w14:paraId="6C86C3E7" w14:textId="77777777" w:rsidR="00320C26" w:rsidRDefault="00320C26" w:rsidP="00320C26">
      <w:pPr>
        <w:ind w:firstLine="360"/>
        <w:jc w:val="center"/>
        <w:rPr>
          <w:rFonts w:ascii="Book Antiqua" w:hAnsi="Book Antiqua"/>
          <w:lang w:val="es-ES_tradnl"/>
        </w:rPr>
      </w:pPr>
    </w:p>
    <w:p w14:paraId="2CA23802" w14:textId="7D5CCF39" w:rsidR="00F13533" w:rsidRDefault="00F13533" w:rsidP="00320C26">
      <w:pPr>
        <w:ind w:firstLine="360"/>
        <w:jc w:val="center"/>
        <w:rPr>
          <w:rFonts w:ascii="Book Antiqua" w:hAnsi="Book Antiqua"/>
          <w:lang w:val="es-ES_tradnl"/>
        </w:rPr>
      </w:pPr>
      <w:r w:rsidRPr="004F6F8E">
        <w:rPr>
          <w:rFonts w:ascii="Book Antiqua" w:hAnsi="Book Antiqua"/>
          <w:lang w:val="es-ES_tradnl"/>
        </w:rPr>
        <w:t>EXPOSICIÓN DE MOTIVOS</w:t>
      </w:r>
    </w:p>
    <w:p w14:paraId="762C8A86" w14:textId="77777777" w:rsidR="00320C26" w:rsidRPr="004F6F8E" w:rsidRDefault="00320C26" w:rsidP="00320C26">
      <w:pPr>
        <w:ind w:firstLine="360"/>
        <w:jc w:val="center"/>
        <w:rPr>
          <w:rFonts w:ascii="Book Antiqua" w:hAnsi="Book Antiqua"/>
          <w:lang w:val="es-ES_tradnl"/>
        </w:rPr>
      </w:pPr>
    </w:p>
    <w:p w14:paraId="5796577B" w14:textId="77777777" w:rsidR="00CF3B6C" w:rsidRDefault="00CF3B6C" w:rsidP="00320C26">
      <w:pPr>
        <w:ind w:firstLine="360"/>
        <w:jc w:val="both"/>
        <w:rPr>
          <w:rFonts w:ascii="Book Antiqua" w:hAnsi="Book Antiqua"/>
          <w:lang w:val="es-419"/>
        </w:rPr>
      </w:pPr>
      <w:r w:rsidRPr="00CF3B6C">
        <w:rPr>
          <w:rFonts w:ascii="Book Antiqua" w:hAnsi="Book Antiqua"/>
          <w:lang w:val="es-419"/>
        </w:rPr>
        <w:t xml:space="preserve">El Código Civil de Puerto Rico dispone en su Artículo 270 que todo “negocio jurídico debe tener un fin lícito en atención a las circunstancias existentes al tiempo de su celebración y al de su ejecución. No es lícito el fin contrario a la ley, a la moral o al </w:t>
      </w:r>
      <w:r w:rsidRPr="00CF3B6C">
        <w:rPr>
          <w:rFonts w:ascii="Book Antiqua" w:hAnsi="Book Antiqua"/>
          <w:i/>
          <w:iCs/>
          <w:lang w:val="es-419"/>
        </w:rPr>
        <w:t>orden público</w:t>
      </w:r>
      <w:r w:rsidRPr="00CF3B6C">
        <w:rPr>
          <w:rFonts w:ascii="Book Antiqua" w:hAnsi="Book Antiqua"/>
          <w:lang w:val="es-419"/>
        </w:rPr>
        <w:t>, o lesivo de derechos de terceros”.</w:t>
      </w:r>
      <w:r w:rsidRPr="00CF3B6C">
        <w:rPr>
          <w:rFonts w:ascii="Book Antiqua" w:hAnsi="Book Antiqua"/>
          <w:vertAlign w:val="superscript"/>
          <w:lang w:val="es-419"/>
        </w:rPr>
        <w:footnoteReference w:id="1"/>
      </w:r>
      <w:r w:rsidRPr="00CF3B6C">
        <w:rPr>
          <w:rFonts w:ascii="Book Antiqua" w:hAnsi="Book Antiqua"/>
          <w:lang w:val="es-419"/>
        </w:rPr>
        <w:t xml:space="preserve"> Consecuentemente, independientemente del tipo de contrato de que se trate y de la importancia que éste merezca para las partes contratantes, es nulo y, por lo tanto, inexistente, un contrato que resulte contrario a las leyes, a la moral o al orden público.</w:t>
      </w:r>
      <w:r w:rsidRPr="00CF3B6C">
        <w:rPr>
          <w:rFonts w:ascii="Book Antiqua" w:hAnsi="Book Antiqua"/>
          <w:vertAlign w:val="superscript"/>
          <w:lang w:val="es-419"/>
        </w:rPr>
        <w:footnoteReference w:id="2"/>
      </w:r>
      <w:r w:rsidRPr="00CF3B6C">
        <w:rPr>
          <w:rFonts w:ascii="Book Antiqua" w:hAnsi="Book Antiqua"/>
          <w:lang w:val="es-419"/>
        </w:rPr>
        <w:t xml:space="preserve"> En tales casos, incluso una parte que se haya </w:t>
      </w:r>
      <w:r w:rsidRPr="00CF3B6C">
        <w:rPr>
          <w:rFonts w:ascii="Book Antiqua" w:hAnsi="Book Antiqua"/>
          <w:lang w:val="es-419"/>
        </w:rPr>
        <w:lastRenderedPageBreak/>
        <w:t>beneficiado del contrato en cuestión puede impugnarlo por ser contrario a la ley, a la moral o al orden público.</w:t>
      </w:r>
      <w:r w:rsidRPr="00CF3B6C">
        <w:rPr>
          <w:rFonts w:ascii="Book Antiqua" w:hAnsi="Book Antiqua"/>
          <w:vertAlign w:val="superscript"/>
          <w:lang w:val="es-419"/>
        </w:rPr>
        <w:footnoteReference w:id="3"/>
      </w:r>
    </w:p>
    <w:p w14:paraId="00082DA6" w14:textId="77777777" w:rsidR="00320C26" w:rsidRPr="00CF3B6C" w:rsidRDefault="00320C26" w:rsidP="00320C26">
      <w:pPr>
        <w:ind w:firstLine="360"/>
        <w:jc w:val="both"/>
        <w:rPr>
          <w:rFonts w:ascii="Book Antiqua" w:hAnsi="Book Antiqua"/>
          <w:lang w:val="es-419"/>
        </w:rPr>
      </w:pPr>
    </w:p>
    <w:p w14:paraId="3DA700AC" w14:textId="77777777" w:rsidR="00CF3B6C" w:rsidRDefault="00CF3B6C" w:rsidP="00320C26">
      <w:pPr>
        <w:ind w:firstLine="360"/>
        <w:jc w:val="both"/>
        <w:rPr>
          <w:rFonts w:ascii="Book Antiqua" w:hAnsi="Book Antiqua"/>
          <w:lang w:val="es-419"/>
        </w:rPr>
      </w:pPr>
      <w:r w:rsidRPr="00CF3B6C">
        <w:rPr>
          <w:rFonts w:ascii="Book Antiqua" w:hAnsi="Book Antiqua"/>
          <w:lang w:val="es-419"/>
        </w:rPr>
        <w:t>El orden público, cuando se habla de contratos, representa el interés público, social y de ley en el Derecho privado; es decir, lo que aun favoreciendo a algún individuo en quien se concreta el derecho, no puede quedar a su arbitrio.</w:t>
      </w:r>
      <w:r w:rsidRPr="00CF3B6C">
        <w:rPr>
          <w:rFonts w:ascii="Book Antiqua" w:hAnsi="Book Antiqua"/>
          <w:vertAlign w:val="superscript"/>
          <w:lang w:val="es-419"/>
        </w:rPr>
        <w:footnoteReference w:id="4"/>
      </w:r>
      <w:r w:rsidRPr="00CF3B6C">
        <w:rPr>
          <w:rFonts w:ascii="Book Antiqua" w:hAnsi="Book Antiqua"/>
          <w:lang w:val="es-419"/>
        </w:rPr>
        <w:t xml:space="preserve"> Su finalidad es evitar que el Estado ceda a la imposición de condiciones que van contra lo que es justo o moral, sólo por el hecho de que se trata de la voluntad de los contratantes.</w:t>
      </w:r>
      <w:r w:rsidRPr="00CF3B6C">
        <w:rPr>
          <w:rFonts w:ascii="Book Antiqua" w:hAnsi="Book Antiqua"/>
          <w:vertAlign w:val="superscript"/>
          <w:lang w:val="es-419"/>
        </w:rPr>
        <w:footnoteReference w:id="5"/>
      </w:r>
      <w:r w:rsidRPr="00CF3B6C">
        <w:rPr>
          <w:rFonts w:ascii="Book Antiqua" w:hAnsi="Book Antiqua"/>
          <w:lang w:val="es-419"/>
        </w:rPr>
        <w:t xml:space="preserve"> Éste constituye “un límite contra los abusos del ejercicio de la autonomía de la voluntad en materia contractual”; y funciona como un “medio para lograr un balance entre la autonomía de la voluntad de las partes y la imprescindible protección del bienestar común”.</w:t>
      </w:r>
      <w:r w:rsidRPr="00CF3B6C">
        <w:rPr>
          <w:rFonts w:ascii="Book Antiqua" w:hAnsi="Book Antiqua"/>
          <w:vertAlign w:val="superscript"/>
          <w:lang w:val="es-419"/>
        </w:rPr>
        <w:footnoteReference w:id="6"/>
      </w:r>
      <w:r w:rsidRPr="00CF3B6C">
        <w:rPr>
          <w:rFonts w:ascii="Book Antiqua" w:hAnsi="Book Antiqua"/>
          <w:lang w:val="es-419"/>
        </w:rPr>
        <w:t xml:space="preserve"> La prevalencia de la  justicia y el bienestar común queda revestida de un alto interés público particular cuando se incluye al Estado como una de las partes contratantes.</w:t>
      </w:r>
    </w:p>
    <w:p w14:paraId="2D982E38" w14:textId="77777777" w:rsidR="00320C26" w:rsidRPr="00CF3B6C" w:rsidRDefault="00320C26" w:rsidP="00320C26">
      <w:pPr>
        <w:ind w:firstLine="360"/>
        <w:jc w:val="both"/>
        <w:rPr>
          <w:rFonts w:ascii="Book Antiqua" w:hAnsi="Book Antiqua"/>
          <w:lang w:val="es-419"/>
        </w:rPr>
      </w:pPr>
    </w:p>
    <w:p w14:paraId="4AD18B0B" w14:textId="77777777" w:rsidR="00CF3B6C" w:rsidRDefault="00CF3B6C" w:rsidP="00320C26">
      <w:pPr>
        <w:ind w:firstLine="360"/>
        <w:jc w:val="both"/>
        <w:rPr>
          <w:rFonts w:ascii="Book Antiqua" w:hAnsi="Book Antiqua"/>
          <w:lang w:val="es-419"/>
        </w:rPr>
      </w:pPr>
      <w:r w:rsidRPr="00CF3B6C">
        <w:rPr>
          <w:rFonts w:ascii="Book Antiqua" w:hAnsi="Book Antiqua"/>
          <w:lang w:val="es-419"/>
        </w:rPr>
        <w:t xml:space="preserve">Estos son intereses que quedan en entredicho con la celebración, por ejemplo, de contratos como el suscrito para la provisión de “servicios profesionales” entre el Departamento de Salud y XUVO Technologies LLC (2025-DS6296). Aunque el contrato – cuestionado en su momento por distintos titulares de la </w:t>
      </w:r>
      <w:r w:rsidRPr="00CF3B6C">
        <w:rPr>
          <w:rFonts w:ascii="Book Antiqua" w:hAnsi="Book Antiqua"/>
          <w:i/>
          <w:iCs/>
          <w:lang w:val="es-419"/>
        </w:rPr>
        <w:t xml:space="preserve">Puerto Rico </w:t>
      </w:r>
      <w:proofErr w:type="spellStart"/>
      <w:r w:rsidRPr="00CF3B6C">
        <w:rPr>
          <w:rFonts w:ascii="Book Antiqua" w:hAnsi="Book Antiqua"/>
          <w:i/>
          <w:iCs/>
          <w:lang w:val="es-419"/>
        </w:rPr>
        <w:t>Innovation</w:t>
      </w:r>
      <w:proofErr w:type="spellEnd"/>
      <w:r w:rsidRPr="00CF3B6C">
        <w:rPr>
          <w:rFonts w:ascii="Book Antiqua" w:hAnsi="Book Antiqua"/>
          <w:i/>
          <w:iCs/>
          <w:lang w:val="es-419"/>
        </w:rPr>
        <w:t xml:space="preserve"> and </w:t>
      </w:r>
      <w:proofErr w:type="spellStart"/>
      <w:r w:rsidRPr="00CF3B6C">
        <w:rPr>
          <w:rFonts w:ascii="Book Antiqua" w:hAnsi="Book Antiqua"/>
          <w:i/>
          <w:iCs/>
          <w:lang w:val="es-419"/>
        </w:rPr>
        <w:t>Technology</w:t>
      </w:r>
      <w:proofErr w:type="spellEnd"/>
      <w:r w:rsidRPr="00CF3B6C">
        <w:rPr>
          <w:rFonts w:ascii="Book Antiqua" w:hAnsi="Book Antiqua"/>
          <w:i/>
          <w:iCs/>
          <w:lang w:val="es-419"/>
        </w:rPr>
        <w:t xml:space="preserve"> </w:t>
      </w:r>
      <w:proofErr w:type="spellStart"/>
      <w:r w:rsidRPr="00CF3B6C">
        <w:rPr>
          <w:rFonts w:ascii="Book Antiqua" w:hAnsi="Book Antiqua"/>
          <w:i/>
          <w:iCs/>
          <w:lang w:val="es-419"/>
        </w:rPr>
        <w:t>Service</w:t>
      </w:r>
      <w:proofErr w:type="spellEnd"/>
      <w:r w:rsidRPr="00CF3B6C">
        <w:rPr>
          <w:rFonts w:ascii="Book Antiqua" w:hAnsi="Book Antiqua"/>
          <w:i/>
          <w:iCs/>
          <w:lang w:val="es-419"/>
        </w:rPr>
        <w:t xml:space="preserve"> </w:t>
      </w:r>
      <w:r w:rsidRPr="00CF3B6C">
        <w:rPr>
          <w:rFonts w:ascii="Book Antiqua" w:hAnsi="Book Antiqua"/>
          <w:lang w:val="es-419"/>
        </w:rPr>
        <w:t xml:space="preserve">(PRITS)– sólo conlleva un pago nominal directo de cinco dólares ($5.00) al Gobierno, el negocio garantiza millones de dólares en ingresos para la contratista mediante el cobro de cargos por servicio a los usuarios de la plataforma. Se trata de una estructura tan cuestionable que, hasta la Junta de Control Fiscal, que se ha mantenido al margen de otras transacciones de dudosa transparencia, ha decidido intervenir. </w:t>
      </w:r>
    </w:p>
    <w:p w14:paraId="10D9279B" w14:textId="77777777" w:rsidR="00320C26" w:rsidRPr="00CF3B6C" w:rsidRDefault="00320C26" w:rsidP="00320C26">
      <w:pPr>
        <w:ind w:firstLine="360"/>
        <w:jc w:val="both"/>
        <w:rPr>
          <w:rFonts w:ascii="Book Antiqua" w:hAnsi="Book Antiqua"/>
          <w:lang w:val="es-419"/>
        </w:rPr>
      </w:pPr>
    </w:p>
    <w:p w14:paraId="63D0068D" w14:textId="77777777" w:rsidR="00CF3B6C" w:rsidRDefault="00CF3B6C" w:rsidP="00320C26">
      <w:pPr>
        <w:ind w:firstLine="360"/>
        <w:jc w:val="both"/>
        <w:rPr>
          <w:rFonts w:ascii="Book Antiqua" w:hAnsi="Book Antiqua"/>
          <w:lang w:val="es-419"/>
        </w:rPr>
      </w:pPr>
      <w:r w:rsidRPr="00CF3B6C">
        <w:rPr>
          <w:rFonts w:ascii="Book Antiqua" w:hAnsi="Book Antiqua"/>
          <w:lang w:val="es-419"/>
        </w:rPr>
        <w:t>El precedente que establece esta contratación cobra mayor importancia cuando se considera que, según expuesto durante las vistas de transición de este cuatrienio, el gasto gubernamental en servicios de tecnología e informática, incluyendo fondos locales y federales, excede los 2 mil millones de dólares anuales.</w:t>
      </w:r>
    </w:p>
    <w:p w14:paraId="6FDC1DC5" w14:textId="77777777" w:rsidR="00320C26" w:rsidRPr="00CF3B6C" w:rsidRDefault="00320C26" w:rsidP="00320C26">
      <w:pPr>
        <w:ind w:firstLine="360"/>
        <w:jc w:val="both"/>
        <w:rPr>
          <w:rFonts w:ascii="Book Antiqua" w:hAnsi="Book Antiqua"/>
          <w:lang w:val="es-419"/>
        </w:rPr>
      </w:pPr>
    </w:p>
    <w:p w14:paraId="3E983C18" w14:textId="77777777" w:rsidR="00CF3B6C" w:rsidRDefault="00CF3B6C" w:rsidP="00320C26">
      <w:pPr>
        <w:ind w:firstLine="360"/>
        <w:jc w:val="both"/>
        <w:rPr>
          <w:rFonts w:ascii="Book Antiqua" w:hAnsi="Book Antiqua"/>
          <w:lang w:val="es-419"/>
        </w:rPr>
      </w:pPr>
      <w:r w:rsidRPr="00CF3B6C">
        <w:rPr>
          <w:rFonts w:ascii="Book Antiqua" w:hAnsi="Book Antiqua"/>
          <w:lang w:val="es-419"/>
        </w:rPr>
        <w:t>Según lo pactado con XUVO, la compañía privada devenga ingresos por las transacciones electrónicas tramitadas a favor y en representación de la División del Registro Demográfico, la División de Salud Ambiental, la División de Acreditación de Facilidades de Salud, la Sección de Certificaciones de Salud, la División de Sustancias Controladas, la Junta de Cannabis Medicinal, y el Licenciamiento de Médicos y Profesionales de la Salud. El contrato señala que XUVO es dueña del </w:t>
      </w:r>
      <w:r w:rsidRPr="00CF3B6C">
        <w:rPr>
          <w:rFonts w:ascii="Book Antiqua" w:hAnsi="Book Antiqua"/>
          <w:i/>
          <w:iCs/>
          <w:lang w:val="es-419"/>
        </w:rPr>
        <w:t>software</w:t>
      </w:r>
      <w:r w:rsidRPr="00CF3B6C">
        <w:rPr>
          <w:rFonts w:ascii="Book Antiqua" w:hAnsi="Book Antiqua"/>
          <w:lang w:val="es-419"/>
        </w:rPr>
        <w:t xml:space="preserve"> que utiliza Salud Digital, aunque el Gobierno debe costear aparte los servicios de </w:t>
      </w:r>
      <w:r w:rsidRPr="00CF3B6C">
        <w:rPr>
          <w:rFonts w:ascii="Book Antiqua" w:hAnsi="Book Antiqua"/>
          <w:i/>
          <w:iCs/>
          <w:lang w:val="es-419"/>
        </w:rPr>
        <w:t>Microsoft</w:t>
      </w:r>
      <w:r w:rsidRPr="00CF3B6C">
        <w:rPr>
          <w:rFonts w:ascii="Book Antiqua" w:hAnsi="Book Antiqua"/>
          <w:lang w:val="es-419"/>
        </w:rPr>
        <w:t xml:space="preserve"> que utiliza la plataforma. Más allá de adaptar la programación (</w:t>
      </w:r>
      <w:r w:rsidRPr="00CF3B6C">
        <w:rPr>
          <w:rFonts w:ascii="Book Antiqua" w:hAnsi="Book Antiqua"/>
          <w:i/>
          <w:iCs/>
          <w:lang w:val="es-419"/>
        </w:rPr>
        <w:t>software</w:t>
      </w:r>
      <w:r w:rsidRPr="00CF3B6C">
        <w:rPr>
          <w:rFonts w:ascii="Book Antiqua" w:hAnsi="Book Antiqua"/>
          <w:lang w:val="es-419"/>
        </w:rPr>
        <w:t xml:space="preserve">), darle </w:t>
      </w:r>
      <w:r w:rsidRPr="00CF3B6C">
        <w:rPr>
          <w:rFonts w:ascii="Book Antiqua" w:hAnsi="Book Antiqua"/>
          <w:lang w:val="es-419"/>
        </w:rPr>
        <w:lastRenderedPageBreak/>
        <w:t xml:space="preserve">mantenimiento y proveer acceso al personal de Salud a la plataforma, el contrato no establece qué </w:t>
      </w:r>
      <w:proofErr w:type="gramStart"/>
      <w:r w:rsidRPr="00CF3B6C">
        <w:rPr>
          <w:rFonts w:ascii="Book Antiqua" w:hAnsi="Book Antiqua"/>
          <w:lang w:val="es-419"/>
        </w:rPr>
        <w:t>otras labores realiza</w:t>
      </w:r>
      <w:proofErr w:type="gramEnd"/>
      <w:r w:rsidRPr="00CF3B6C">
        <w:rPr>
          <w:rFonts w:ascii="Book Antiqua" w:hAnsi="Book Antiqua"/>
          <w:lang w:val="es-419"/>
        </w:rPr>
        <w:t xml:space="preserve"> XUVO en cada transacción.</w:t>
      </w:r>
    </w:p>
    <w:p w14:paraId="3EB68E6C" w14:textId="77777777" w:rsidR="00320C26" w:rsidRPr="00CF3B6C" w:rsidRDefault="00320C26" w:rsidP="00320C26">
      <w:pPr>
        <w:ind w:firstLine="360"/>
        <w:jc w:val="both"/>
        <w:rPr>
          <w:rFonts w:ascii="Book Antiqua" w:hAnsi="Book Antiqua"/>
          <w:lang w:val="es-419"/>
        </w:rPr>
      </w:pPr>
    </w:p>
    <w:p w14:paraId="71463BA2" w14:textId="77777777" w:rsidR="00CF3B6C" w:rsidRDefault="00CF3B6C" w:rsidP="00320C26">
      <w:pPr>
        <w:ind w:firstLine="360"/>
        <w:jc w:val="both"/>
        <w:rPr>
          <w:rFonts w:ascii="Book Antiqua" w:hAnsi="Book Antiqua"/>
          <w:lang w:val="es-419"/>
        </w:rPr>
      </w:pPr>
      <w:r w:rsidRPr="00CF3B6C">
        <w:rPr>
          <w:rFonts w:ascii="Book Antiqua" w:hAnsi="Book Antiqua"/>
          <w:lang w:val="es-419"/>
        </w:rPr>
        <w:t>Cada cargo de procesamiento es calculado en correlación con el monto de la transacción realizada. Por ejemplo, cada vez que un médico solicita una licencia para ejercer en Puerto Rico, XUVO cobra $45.00 por la transacción. Estos ingresos llegan directamente a la compañía privada por lo que, a pesar de generarse como pago por la provisión de un servicio que da el Estado, y en atención a requerimientos de ciertas leyes, se ha generado la ficción de que no son fondos públicos.  El concepto que se ha promovido con ese esquema es que, aunque se trate del pago de un servicio público, aunque se realice por obligación de ley, y aunque se trate de un proceso a nombre de una agencia de gobierno, ese dinero es privado y por, lo tanto, puede evadir la divulgación y la fiscalización.</w:t>
      </w:r>
    </w:p>
    <w:p w14:paraId="4C052B10" w14:textId="77777777" w:rsidR="00320C26" w:rsidRPr="00CF3B6C" w:rsidRDefault="00320C26" w:rsidP="00320C26">
      <w:pPr>
        <w:ind w:firstLine="360"/>
        <w:jc w:val="both"/>
        <w:rPr>
          <w:rFonts w:ascii="Book Antiqua" w:hAnsi="Book Antiqua"/>
          <w:lang w:val="es-419"/>
        </w:rPr>
      </w:pPr>
    </w:p>
    <w:p w14:paraId="2E6AAAAB" w14:textId="77777777" w:rsidR="00CF3B6C" w:rsidRDefault="00CF3B6C" w:rsidP="00320C26">
      <w:pPr>
        <w:ind w:firstLine="360"/>
        <w:jc w:val="both"/>
        <w:rPr>
          <w:rFonts w:ascii="Book Antiqua" w:hAnsi="Book Antiqua"/>
          <w:lang w:val="es-419"/>
        </w:rPr>
      </w:pPr>
      <w:r w:rsidRPr="00CF3B6C">
        <w:rPr>
          <w:rFonts w:ascii="Book Antiqua" w:hAnsi="Book Antiqua"/>
          <w:lang w:val="es-419"/>
        </w:rPr>
        <w:t>La necesidad de proteger el orden público y de proscribir el tratamiento preferencial a ciertos contratistas del gobierno, provee la base racional para que se enmienden, supriman o sustituyan disposiciones reglamentarias o estatutarias que atentan contra la administración prudente y honesta de los recursos comunes.  El respeto a la legalidad obliga a tomar medidas que impidan la formalización de negocios jurídicos leoninos o abusivos en contra de la salud del Estado. No hay espacio para pactos que otorguen ventajas injustificadas o irrazonables a los proveedores privados, atentando contra la reciprocidad y el equilibrio intrínseco que debe gobernar un contrato con el gobierno.</w:t>
      </w:r>
    </w:p>
    <w:p w14:paraId="4BB7EFAB" w14:textId="77777777" w:rsidR="00320C26" w:rsidRPr="00CF3B6C" w:rsidRDefault="00320C26" w:rsidP="00320C26">
      <w:pPr>
        <w:ind w:firstLine="360"/>
        <w:jc w:val="both"/>
        <w:rPr>
          <w:rFonts w:ascii="Book Antiqua" w:hAnsi="Book Antiqua"/>
          <w:lang w:val="es-419"/>
        </w:rPr>
      </w:pPr>
    </w:p>
    <w:p w14:paraId="4D221C7D" w14:textId="120F01FC" w:rsidR="00CF3B6C" w:rsidRDefault="00CF3B6C" w:rsidP="00320C26">
      <w:pPr>
        <w:ind w:firstLine="360"/>
        <w:jc w:val="both"/>
        <w:rPr>
          <w:rFonts w:ascii="Book Antiqua" w:hAnsi="Book Antiqua"/>
          <w:lang w:val="es-419"/>
        </w:rPr>
      </w:pPr>
      <w:r w:rsidRPr="00CF3B6C">
        <w:rPr>
          <w:rFonts w:ascii="Book Antiqua" w:hAnsi="Book Antiqua"/>
          <w:lang w:val="es-419"/>
        </w:rPr>
        <w:t xml:space="preserve">Específicamente, urge restructurar la definición de ‘fondos públicos’ derivada de la “Ley de Contabilidad del Gobierno de Puerto Rico” para que, cuando una empresa privada ejerza funciones propias del Estado, el monto de lo </w:t>
      </w:r>
      <w:r w:rsidR="00C27E72" w:rsidRPr="00CF3B6C">
        <w:rPr>
          <w:rFonts w:ascii="Book Antiqua" w:hAnsi="Book Antiqua"/>
          <w:lang w:val="es-419"/>
        </w:rPr>
        <w:t>contra prestado</w:t>
      </w:r>
      <w:r w:rsidRPr="00CF3B6C">
        <w:rPr>
          <w:rFonts w:ascii="Book Antiqua" w:hAnsi="Book Antiqua"/>
          <w:lang w:val="es-419"/>
        </w:rPr>
        <w:t xml:space="preserve"> se considere dinero público para efectos de su divulgación y fiscalización, como debe ocurrir con las licencias tramitadas por el gobierno, por ejemplo. De igual manera, resulta indispensable que el Departamento de Hacienda adopte reglamentación interna de tal manera que las asignaciones, los gastos y las ganancias generadas por servicios de tecnología e informática provistos o contratados por el gobierno se identifiquen y divulguen de forma oportuna y específica. Lo contrario es permitir la concreción de convenios simulados y </w:t>
      </w:r>
      <w:proofErr w:type="gramStart"/>
      <w:r w:rsidRPr="00CF3B6C">
        <w:rPr>
          <w:rFonts w:ascii="Book Antiqua" w:hAnsi="Book Antiqua"/>
          <w:i/>
          <w:iCs/>
          <w:lang w:val="es-419"/>
        </w:rPr>
        <w:t>pro forma</w:t>
      </w:r>
      <w:proofErr w:type="gramEnd"/>
      <w:r w:rsidRPr="00CF3B6C">
        <w:rPr>
          <w:rFonts w:ascii="Book Antiqua" w:hAnsi="Book Antiqua"/>
          <w:lang w:val="es-419"/>
        </w:rPr>
        <w:t xml:space="preserve"> que, a modo de subterfugio, esconden transacciones disimuladas que evaden la fiscalización efectiva de la ciudadanía, la Rama Legislativa, la prensa y las agencias del orden público.</w:t>
      </w:r>
    </w:p>
    <w:p w14:paraId="3CE87796" w14:textId="77777777" w:rsidR="00320C26" w:rsidRPr="00CF3B6C" w:rsidRDefault="00320C26" w:rsidP="00320C26">
      <w:pPr>
        <w:ind w:firstLine="360"/>
        <w:jc w:val="both"/>
        <w:rPr>
          <w:rFonts w:ascii="Book Antiqua" w:hAnsi="Book Antiqua"/>
          <w:lang w:val="es-419"/>
        </w:rPr>
      </w:pPr>
    </w:p>
    <w:p w14:paraId="1E5914D6" w14:textId="6AD3AEE5" w:rsidR="00A10B1E" w:rsidRPr="004F6F8E" w:rsidRDefault="00CF3B6C" w:rsidP="00320C26">
      <w:pPr>
        <w:ind w:firstLine="360"/>
        <w:jc w:val="both"/>
        <w:rPr>
          <w:rFonts w:ascii="Book Antiqua" w:hAnsi="Book Antiqua"/>
          <w:lang w:val="es-PR"/>
        </w:rPr>
      </w:pPr>
      <w:r w:rsidRPr="00CF3B6C">
        <w:rPr>
          <w:rFonts w:ascii="Book Antiqua" w:hAnsi="Book Antiqua"/>
          <w:lang w:val="es-419"/>
        </w:rPr>
        <w:t xml:space="preserve">La Asamblea Legislativa de Puerto Rico no avala –ni auxiliará con inacción– que las lagunas existentes en la legislación y la reglamentación administrativa permitan la consecución de intereses contrarios al orden público. </w:t>
      </w:r>
      <w:r w:rsidR="00C27E72">
        <w:rPr>
          <w:rFonts w:ascii="Book Antiqua" w:hAnsi="Book Antiqua"/>
          <w:lang w:val="es-419"/>
        </w:rPr>
        <w:t xml:space="preserve"> </w:t>
      </w:r>
      <w:r w:rsidRPr="00CF3B6C">
        <w:rPr>
          <w:rFonts w:ascii="Book Antiqua" w:hAnsi="Book Antiqua"/>
          <w:lang w:val="es-419"/>
        </w:rPr>
        <w:t xml:space="preserve">El ordenamiento no puede permitir, ni mucho menos propiciar, el perfeccionamiento de transgresiones al bienestar común y al sostenimiento del Estado. </w:t>
      </w:r>
      <w:r w:rsidR="00C27E72">
        <w:rPr>
          <w:rFonts w:ascii="Book Antiqua" w:hAnsi="Book Antiqua"/>
          <w:lang w:val="es-419"/>
        </w:rPr>
        <w:t xml:space="preserve"> </w:t>
      </w:r>
      <w:r w:rsidRPr="00CF3B6C">
        <w:rPr>
          <w:rFonts w:ascii="Book Antiqua" w:hAnsi="Book Antiqua"/>
          <w:lang w:val="es-419"/>
        </w:rPr>
        <w:t>Esta Ley se promulga con el objetivo de evitar el despilfarro, la extravagancia, la opacidad y el desequilibrio en la contratación gubernamental.</w:t>
      </w:r>
    </w:p>
    <w:p w14:paraId="64F26560" w14:textId="77777777" w:rsidR="00CF3B6C" w:rsidRDefault="00CF3B6C" w:rsidP="00320C26">
      <w:pPr>
        <w:rPr>
          <w:rFonts w:ascii="Book Antiqua" w:hAnsi="Book Antiqua"/>
          <w:i/>
          <w:lang w:val="es-ES_tradnl"/>
        </w:rPr>
      </w:pPr>
      <w:r>
        <w:rPr>
          <w:rFonts w:ascii="Book Antiqua" w:hAnsi="Book Antiqua"/>
          <w:i/>
          <w:lang w:val="es-ES_tradnl"/>
        </w:rPr>
        <w:br w:type="page"/>
      </w:r>
    </w:p>
    <w:p w14:paraId="7674B2AD" w14:textId="21A2285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lastRenderedPageBreak/>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2A6BF856" w14:textId="55E97363" w:rsidR="00CF3B6C" w:rsidRPr="00834AA0" w:rsidRDefault="00CF3B6C" w:rsidP="00CF3B6C">
      <w:pPr>
        <w:spacing w:line="480" w:lineRule="auto"/>
        <w:ind w:firstLine="720"/>
        <w:jc w:val="both"/>
        <w:rPr>
          <w:rFonts w:ascii="Book Antiqua" w:hAnsi="Book Antiqua"/>
          <w:lang w:val="es-419"/>
        </w:rPr>
      </w:pPr>
      <w:r w:rsidRPr="00834AA0">
        <w:rPr>
          <w:rFonts w:ascii="Book Antiqua" w:hAnsi="Book Antiqua"/>
          <w:lang w:val="es-ES_tradnl"/>
        </w:rPr>
        <w:t>Sección 1.</w:t>
      </w:r>
      <w:r w:rsidR="00C27E72">
        <w:rPr>
          <w:rFonts w:ascii="Book Antiqua" w:hAnsi="Book Antiqua"/>
          <w:lang w:val="es-ES_tradnl"/>
        </w:rPr>
        <w:t xml:space="preserve"> </w:t>
      </w:r>
      <w:r w:rsidRPr="00834AA0">
        <w:rPr>
          <w:rFonts w:ascii="Book Antiqua" w:hAnsi="Book Antiqua"/>
          <w:lang w:val="es-ES_tradnl"/>
        </w:rPr>
        <w:t xml:space="preserve">- Se enmienda el inciso (j) del Artículo 3 de la Ley </w:t>
      </w:r>
      <w:r w:rsidRPr="00834AA0">
        <w:rPr>
          <w:rFonts w:ascii="Book Antiqua" w:hAnsi="Book Antiqua"/>
          <w:lang w:val="es-419"/>
        </w:rPr>
        <w:t>230 de 23 de julio de 1974, según enmendada, conocida como “Ley de Contabilidad del Gobierno de Puerto Rico”, para que lea como sigue:</w:t>
      </w:r>
    </w:p>
    <w:p w14:paraId="0B22CF64" w14:textId="77777777" w:rsidR="00CF3B6C" w:rsidRPr="00834AA0" w:rsidRDefault="00CF3B6C" w:rsidP="00CF3B6C">
      <w:pPr>
        <w:spacing w:line="480" w:lineRule="auto"/>
        <w:ind w:left="720" w:right="720" w:firstLine="720"/>
        <w:jc w:val="both"/>
        <w:rPr>
          <w:rFonts w:ascii="Book Antiqua" w:hAnsi="Book Antiqua"/>
          <w:szCs w:val="24"/>
          <w:lang w:val="es-419"/>
        </w:rPr>
      </w:pPr>
      <w:r w:rsidRPr="00834AA0">
        <w:rPr>
          <w:rFonts w:ascii="Book Antiqua" w:hAnsi="Book Antiqua"/>
          <w:szCs w:val="24"/>
          <w:lang w:val="es-419"/>
        </w:rPr>
        <w:t xml:space="preserve">“Artículo 3. — Definiciones. </w:t>
      </w:r>
    </w:p>
    <w:p w14:paraId="517AE221" w14:textId="77777777" w:rsidR="00CF3B6C" w:rsidRPr="00834AA0" w:rsidRDefault="00CF3B6C" w:rsidP="00CF3B6C">
      <w:pPr>
        <w:spacing w:line="480" w:lineRule="auto"/>
        <w:ind w:left="720" w:right="720" w:firstLine="720"/>
        <w:jc w:val="both"/>
        <w:rPr>
          <w:rFonts w:ascii="Book Antiqua" w:hAnsi="Book Antiqua"/>
          <w:szCs w:val="24"/>
          <w:lang w:val="es-419"/>
        </w:rPr>
      </w:pPr>
      <w:r w:rsidRPr="00834AA0">
        <w:rPr>
          <w:rFonts w:ascii="Book Antiqua" w:hAnsi="Book Antiqua"/>
          <w:szCs w:val="24"/>
          <w:lang w:val="es-419"/>
        </w:rPr>
        <w:t>Cuando se usen en esta Ley, los siguientes términos tendrán el significado que aquí se dispone:</w:t>
      </w:r>
    </w:p>
    <w:p w14:paraId="7241EBAB"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65FAFD99"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68DFC7CC"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6C00C88E"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751ADB8E"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2265CD0D"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367825F1"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3A546D8F"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53FBED13"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02C2E1D9" w14:textId="77777777" w:rsidR="00CF3B6C" w:rsidRPr="00834AA0" w:rsidRDefault="00CF3B6C" w:rsidP="00CF3B6C">
      <w:pPr>
        <w:pStyle w:val="Prrafodelista"/>
        <w:numPr>
          <w:ilvl w:val="0"/>
          <w:numId w:val="25"/>
        </w:numPr>
        <w:spacing w:line="480" w:lineRule="auto"/>
        <w:ind w:right="720"/>
        <w:jc w:val="both"/>
        <w:rPr>
          <w:rFonts w:ascii="Book Antiqua" w:hAnsi="Book Antiqua"/>
          <w:i/>
          <w:iCs/>
          <w:szCs w:val="24"/>
          <w:lang w:val="es-419"/>
        </w:rPr>
      </w:pPr>
      <w:r w:rsidRPr="00834AA0">
        <w:rPr>
          <w:rFonts w:ascii="Book Antiqua" w:hAnsi="Book Antiqua"/>
          <w:szCs w:val="24"/>
          <w:lang w:val="es-419"/>
        </w:rPr>
        <w:t xml:space="preserve">Fondos públicos — Dinero, valores y otros activos de igual naturaleza pertenecientes a, o tenidos en fideicomiso por cualquier dependencia, entidad corporativa o Cuerpo Legislativo. </w:t>
      </w:r>
      <w:r w:rsidRPr="00834AA0">
        <w:rPr>
          <w:rFonts w:ascii="Book Antiqua" w:hAnsi="Book Antiqua"/>
          <w:i/>
          <w:iCs/>
          <w:szCs w:val="24"/>
          <w:lang w:val="es-ES_tradnl"/>
        </w:rPr>
        <w:t>Incluye, además, para efectos de divulgación</w:t>
      </w:r>
      <w:r>
        <w:rPr>
          <w:rFonts w:ascii="Book Antiqua" w:hAnsi="Book Antiqua"/>
          <w:i/>
          <w:iCs/>
          <w:szCs w:val="24"/>
          <w:lang w:val="es-ES_tradnl"/>
        </w:rPr>
        <w:t xml:space="preserve"> y fiscalización, </w:t>
      </w:r>
      <w:r w:rsidRPr="00834AA0">
        <w:rPr>
          <w:rFonts w:ascii="Book Antiqua" w:hAnsi="Book Antiqua"/>
          <w:i/>
          <w:iCs/>
          <w:szCs w:val="24"/>
          <w:lang w:val="es-ES_tradnl"/>
        </w:rPr>
        <w:t>el monto de</w:t>
      </w:r>
      <w:r>
        <w:rPr>
          <w:rFonts w:ascii="Book Antiqua" w:hAnsi="Book Antiqua"/>
          <w:i/>
          <w:iCs/>
          <w:szCs w:val="24"/>
          <w:lang w:val="es-419"/>
        </w:rPr>
        <w:t xml:space="preserve"> los pagos recibidos </w:t>
      </w:r>
      <w:r w:rsidRPr="00834AA0">
        <w:rPr>
          <w:rFonts w:ascii="Book Antiqua" w:hAnsi="Book Antiqua"/>
          <w:i/>
          <w:iCs/>
          <w:szCs w:val="24"/>
          <w:lang w:val="es-419"/>
        </w:rPr>
        <w:t>por cualquier</w:t>
      </w:r>
      <w:r w:rsidRPr="00B95BB4">
        <w:rPr>
          <w:rFonts w:ascii="Book Antiqua" w:hAnsi="Book Antiqua"/>
          <w:i/>
          <w:iCs/>
          <w:szCs w:val="24"/>
          <w:lang w:val="es-419"/>
        </w:rPr>
        <w:t xml:space="preserve"> empresa privada</w:t>
      </w:r>
      <w:r>
        <w:rPr>
          <w:rFonts w:ascii="Book Antiqua" w:hAnsi="Book Antiqua"/>
          <w:i/>
          <w:iCs/>
          <w:szCs w:val="24"/>
          <w:lang w:val="es-419"/>
        </w:rPr>
        <w:t>, persona natural o persona jurídica</w:t>
      </w:r>
      <w:r w:rsidRPr="00B95BB4">
        <w:rPr>
          <w:rFonts w:ascii="Book Antiqua" w:hAnsi="Book Antiqua"/>
          <w:i/>
          <w:iCs/>
          <w:szCs w:val="24"/>
          <w:lang w:val="es-419"/>
        </w:rPr>
        <w:t xml:space="preserve"> </w:t>
      </w:r>
      <w:r w:rsidRPr="00834AA0">
        <w:rPr>
          <w:rFonts w:ascii="Book Antiqua" w:hAnsi="Book Antiqua"/>
          <w:i/>
          <w:iCs/>
          <w:szCs w:val="24"/>
          <w:lang w:val="es-419"/>
        </w:rPr>
        <w:t xml:space="preserve">contratada o subcontratada </w:t>
      </w:r>
      <w:r w:rsidRPr="00834AA0">
        <w:rPr>
          <w:rFonts w:ascii="Book Antiqua" w:hAnsi="Book Antiqua"/>
          <w:i/>
          <w:iCs/>
          <w:szCs w:val="24"/>
          <w:lang w:val="es-419"/>
        </w:rPr>
        <w:lastRenderedPageBreak/>
        <w:t xml:space="preserve">para </w:t>
      </w:r>
      <w:r w:rsidRPr="00B95BB4">
        <w:rPr>
          <w:rFonts w:ascii="Book Antiqua" w:hAnsi="Book Antiqua"/>
          <w:i/>
          <w:iCs/>
          <w:szCs w:val="24"/>
          <w:lang w:val="es-419"/>
        </w:rPr>
        <w:t>ejer</w:t>
      </w:r>
      <w:r w:rsidRPr="00834AA0">
        <w:rPr>
          <w:rFonts w:ascii="Book Antiqua" w:hAnsi="Book Antiqua"/>
          <w:i/>
          <w:iCs/>
          <w:szCs w:val="24"/>
          <w:lang w:val="es-419"/>
        </w:rPr>
        <w:t>cer</w:t>
      </w:r>
      <w:r w:rsidRPr="00B95BB4">
        <w:rPr>
          <w:rFonts w:ascii="Book Antiqua" w:hAnsi="Book Antiqua"/>
          <w:i/>
          <w:iCs/>
          <w:szCs w:val="24"/>
          <w:lang w:val="es-419"/>
        </w:rPr>
        <w:t xml:space="preserve"> funciones </w:t>
      </w:r>
      <w:r w:rsidRPr="00834AA0">
        <w:rPr>
          <w:rFonts w:ascii="Book Antiqua" w:hAnsi="Book Antiqua"/>
          <w:i/>
          <w:iCs/>
          <w:szCs w:val="24"/>
          <w:lang w:val="es-419"/>
        </w:rPr>
        <w:t>adjudicadas al</w:t>
      </w:r>
      <w:r w:rsidRPr="00B95BB4">
        <w:rPr>
          <w:rFonts w:ascii="Book Antiqua" w:hAnsi="Book Antiqua"/>
          <w:i/>
          <w:iCs/>
          <w:szCs w:val="24"/>
          <w:lang w:val="es-419"/>
        </w:rPr>
        <w:t xml:space="preserve"> </w:t>
      </w:r>
      <w:r w:rsidRPr="00834AA0">
        <w:rPr>
          <w:rFonts w:ascii="Book Antiqua" w:hAnsi="Book Antiqua"/>
          <w:i/>
          <w:iCs/>
          <w:szCs w:val="24"/>
          <w:lang w:val="es-419"/>
        </w:rPr>
        <w:t>E</w:t>
      </w:r>
      <w:r w:rsidRPr="00B95BB4">
        <w:rPr>
          <w:rFonts w:ascii="Book Antiqua" w:hAnsi="Book Antiqua"/>
          <w:i/>
          <w:iCs/>
          <w:szCs w:val="24"/>
          <w:lang w:val="es-419"/>
        </w:rPr>
        <w:t>stado</w:t>
      </w:r>
      <w:r>
        <w:rPr>
          <w:rFonts w:ascii="Book Antiqua" w:hAnsi="Book Antiqua"/>
          <w:i/>
          <w:iCs/>
          <w:szCs w:val="24"/>
          <w:lang w:val="es-419"/>
        </w:rPr>
        <w:t>, cualquiera de sus dependencias o instrumentalidades, incluyendo los municipios,</w:t>
      </w:r>
      <w:r w:rsidRPr="00834AA0">
        <w:rPr>
          <w:rFonts w:ascii="Book Antiqua" w:hAnsi="Book Antiqua"/>
          <w:i/>
          <w:iCs/>
          <w:szCs w:val="24"/>
          <w:lang w:val="es-419"/>
        </w:rPr>
        <w:t xml:space="preserve"> por virtud de la Constitución de Puerto Rico, las leyes o la reglamentación administrativa,</w:t>
      </w:r>
      <w:r>
        <w:rPr>
          <w:rFonts w:ascii="Book Antiqua" w:hAnsi="Book Antiqua"/>
          <w:i/>
          <w:iCs/>
          <w:szCs w:val="24"/>
          <w:lang w:val="es-419"/>
        </w:rPr>
        <w:t xml:space="preserve"> cuando dichos pagos sean recibidos</w:t>
      </w:r>
      <w:r w:rsidRPr="00834AA0">
        <w:rPr>
          <w:rFonts w:ascii="Book Antiqua" w:hAnsi="Book Antiqua"/>
          <w:i/>
          <w:iCs/>
          <w:szCs w:val="24"/>
          <w:lang w:val="es-419"/>
        </w:rPr>
        <w:t xml:space="preserve"> en el ejercicio </w:t>
      </w:r>
      <w:r>
        <w:rPr>
          <w:rFonts w:ascii="Book Antiqua" w:hAnsi="Book Antiqua"/>
          <w:i/>
          <w:iCs/>
          <w:szCs w:val="24"/>
          <w:lang w:val="es-419"/>
        </w:rPr>
        <w:t xml:space="preserve">o como parte </w:t>
      </w:r>
      <w:r w:rsidRPr="00834AA0">
        <w:rPr>
          <w:rFonts w:ascii="Book Antiqua" w:hAnsi="Book Antiqua"/>
          <w:i/>
          <w:iCs/>
          <w:szCs w:val="24"/>
          <w:lang w:val="es-419"/>
        </w:rPr>
        <w:t>de esas funciones.</w:t>
      </w:r>
    </w:p>
    <w:p w14:paraId="095F038C"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1D17D0CE"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35B2291F"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0EE060FF"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50F5C072" w14:textId="77777777" w:rsidR="00CF3B6C" w:rsidRPr="00834AA0" w:rsidRDefault="00CF3B6C" w:rsidP="00CF3B6C">
      <w:pPr>
        <w:pStyle w:val="Prrafodelista"/>
        <w:spacing w:line="480" w:lineRule="auto"/>
        <w:ind w:left="1440" w:right="720"/>
        <w:jc w:val="both"/>
        <w:rPr>
          <w:rFonts w:ascii="Book Antiqua" w:hAnsi="Book Antiqua"/>
          <w:szCs w:val="24"/>
          <w:lang w:val="es-419"/>
        </w:rPr>
      </w:pPr>
      <w:r w:rsidRPr="00834AA0">
        <w:rPr>
          <w:rFonts w:ascii="Book Antiqua" w:hAnsi="Book Antiqua"/>
          <w:szCs w:val="24"/>
          <w:lang w:val="es-419"/>
        </w:rPr>
        <w:t>(ñ) …</w:t>
      </w:r>
    </w:p>
    <w:p w14:paraId="7EE4BCE3"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282F4AC0" w14:textId="77777777" w:rsidR="00CF3B6C" w:rsidRPr="00834AA0" w:rsidRDefault="00CF3B6C" w:rsidP="00CF3B6C">
      <w:pPr>
        <w:pStyle w:val="Prrafodelista"/>
        <w:numPr>
          <w:ilvl w:val="0"/>
          <w:numId w:val="25"/>
        </w:numPr>
        <w:spacing w:line="480" w:lineRule="auto"/>
        <w:ind w:right="720"/>
        <w:jc w:val="both"/>
        <w:rPr>
          <w:rFonts w:ascii="Book Antiqua" w:hAnsi="Book Antiqua"/>
          <w:szCs w:val="24"/>
          <w:lang w:val="es-419"/>
        </w:rPr>
      </w:pPr>
      <w:r w:rsidRPr="00834AA0">
        <w:rPr>
          <w:rFonts w:ascii="Book Antiqua" w:hAnsi="Book Antiqua"/>
          <w:szCs w:val="24"/>
          <w:lang w:val="es-419"/>
        </w:rPr>
        <w:t>…”</w:t>
      </w:r>
    </w:p>
    <w:p w14:paraId="39536C03" w14:textId="0472CD8D" w:rsidR="00CF3B6C" w:rsidRPr="00834AA0" w:rsidRDefault="00CF3B6C" w:rsidP="00CF3B6C">
      <w:pPr>
        <w:pStyle w:val="sectext"/>
        <w:spacing w:line="480" w:lineRule="auto"/>
        <w:ind w:firstLine="720"/>
        <w:jc w:val="both"/>
        <w:rPr>
          <w:rFonts w:ascii="Book Antiqua" w:hAnsi="Book Antiqua"/>
          <w:lang w:val="es-ES_tradnl"/>
        </w:rPr>
      </w:pPr>
      <w:r w:rsidRPr="00834AA0">
        <w:rPr>
          <w:rFonts w:ascii="Book Antiqua" w:hAnsi="Book Antiqua"/>
          <w:lang w:val="es-ES_tradnl"/>
        </w:rPr>
        <w:t>Sección 2.</w:t>
      </w:r>
      <w:r w:rsidR="00C27E72">
        <w:rPr>
          <w:rFonts w:ascii="Book Antiqua" w:hAnsi="Book Antiqua"/>
          <w:lang w:val="es-ES_tradnl"/>
        </w:rPr>
        <w:t xml:space="preserve"> </w:t>
      </w:r>
      <w:r w:rsidRPr="00834AA0">
        <w:rPr>
          <w:rFonts w:ascii="Book Antiqua" w:hAnsi="Book Antiqua"/>
          <w:lang w:val="es-ES_tradnl"/>
        </w:rPr>
        <w:t>- Reglamentación administrativa.</w:t>
      </w:r>
    </w:p>
    <w:p w14:paraId="506374C6" w14:textId="77777777" w:rsidR="00CF3B6C" w:rsidRDefault="00CF3B6C" w:rsidP="00CF3B6C">
      <w:pPr>
        <w:pStyle w:val="sectext"/>
        <w:spacing w:line="480" w:lineRule="auto"/>
        <w:ind w:firstLine="720"/>
        <w:jc w:val="both"/>
        <w:rPr>
          <w:rFonts w:ascii="Book Antiqua" w:hAnsi="Book Antiqua"/>
          <w:lang w:val="es-419"/>
        </w:rPr>
      </w:pPr>
      <w:r w:rsidRPr="00834AA0">
        <w:rPr>
          <w:rFonts w:ascii="Book Antiqua" w:hAnsi="Book Antiqua"/>
          <w:lang w:val="es-419"/>
        </w:rPr>
        <w:t>El Departamento de Hacienda adoptará, dentro de un término de ciento ochenta (180) días a partir de la aprobación de esta Ley, reglamentación administrativa con el fin de requerir</w:t>
      </w:r>
      <w:r w:rsidRPr="00B95BB4">
        <w:rPr>
          <w:rFonts w:ascii="Book Antiqua" w:hAnsi="Book Antiqua"/>
          <w:lang w:val="es-419"/>
        </w:rPr>
        <w:t xml:space="preserve"> que </w:t>
      </w:r>
      <w:r w:rsidRPr="00834AA0">
        <w:rPr>
          <w:rFonts w:ascii="Book Antiqua" w:hAnsi="Book Antiqua"/>
          <w:lang w:val="es-419"/>
        </w:rPr>
        <w:t xml:space="preserve">las asignaciones, </w:t>
      </w:r>
      <w:r w:rsidRPr="00B95BB4">
        <w:rPr>
          <w:rFonts w:ascii="Book Antiqua" w:hAnsi="Book Antiqua"/>
          <w:lang w:val="es-419"/>
        </w:rPr>
        <w:t>los gastos</w:t>
      </w:r>
      <w:r>
        <w:rPr>
          <w:rFonts w:ascii="Book Antiqua" w:hAnsi="Book Antiqua"/>
          <w:lang w:val="es-419"/>
        </w:rPr>
        <w:t>, los cobros</w:t>
      </w:r>
      <w:r w:rsidRPr="00834AA0">
        <w:rPr>
          <w:rFonts w:ascii="Book Antiqua" w:hAnsi="Book Antiqua"/>
          <w:lang w:val="es-419"/>
        </w:rPr>
        <w:t xml:space="preserve"> y las ganancias generad</w:t>
      </w:r>
      <w:r>
        <w:rPr>
          <w:rFonts w:ascii="Book Antiqua" w:hAnsi="Book Antiqua"/>
          <w:lang w:val="es-419"/>
        </w:rPr>
        <w:t>a</w:t>
      </w:r>
      <w:r w:rsidRPr="00834AA0">
        <w:rPr>
          <w:rFonts w:ascii="Book Antiqua" w:hAnsi="Book Antiqua"/>
          <w:lang w:val="es-419"/>
        </w:rPr>
        <w:t>s por servicios de tecnología e informática provistos o contratados por el Gobierno de Puerto Rico durante el año fiscal anterior se divulguen de forma</w:t>
      </w:r>
      <w:r w:rsidRPr="00B95BB4">
        <w:rPr>
          <w:rFonts w:ascii="Book Antiqua" w:hAnsi="Book Antiqua"/>
          <w:lang w:val="es-419"/>
        </w:rPr>
        <w:t xml:space="preserve"> </w:t>
      </w:r>
      <w:r w:rsidRPr="00834AA0">
        <w:rPr>
          <w:rFonts w:ascii="Book Antiqua" w:hAnsi="Book Antiqua"/>
          <w:lang w:val="es-419"/>
        </w:rPr>
        <w:t>específica en un informe anual que la agencia rendirá a la Asamblea Legislativa cada 1 de noviembre.</w:t>
      </w:r>
      <w:r>
        <w:rPr>
          <w:rFonts w:ascii="Book Antiqua" w:hAnsi="Book Antiqua"/>
          <w:lang w:val="es-419"/>
        </w:rPr>
        <w:t xml:space="preserve"> </w:t>
      </w:r>
    </w:p>
    <w:p w14:paraId="1283A6ED" w14:textId="77777777" w:rsidR="00CF3B6C" w:rsidRPr="00834AA0" w:rsidRDefault="00CF3B6C" w:rsidP="00CF3B6C">
      <w:pPr>
        <w:pStyle w:val="sectext"/>
        <w:spacing w:line="480" w:lineRule="auto"/>
        <w:ind w:firstLine="720"/>
        <w:jc w:val="both"/>
        <w:rPr>
          <w:rFonts w:ascii="Book Antiqua" w:hAnsi="Book Antiqua"/>
          <w:lang w:val="es-ES_tradnl"/>
        </w:rPr>
      </w:pPr>
      <w:r>
        <w:rPr>
          <w:rFonts w:ascii="Book Antiqua" w:hAnsi="Book Antiqua"/>
          <w:lang w:val="es-419"/>
        </w:rPr>
        <w:t>Cualquier reglamento, carta circular u orden administrativa que no se encuentre en armonía con esta disposición queda derogada.</w:t>
      </w:r>
    </w:p>
    <w:p w14:paraId="5FA78127" w14:textId="236383CE" w:rsidR="00CF3B6C" w:rsidRPr="00834AA0" w:rsidRDefault="00CF3B6C" w:rsidP="00CF3B6C">
      <w:pPr>
        <w:pStyle w:val="sectext"/>
        <w:spacing w:line="480" w:lineRule="auto"/>
        <w:ind w:firstLine="720"/>
        <w:jc w:val="both"/>
        <w:rPr>
          <w:rFonts w:ascii="Book Antiqua" w:hAnsi="Book Antiqua"/>
          <w:lang w:val="es-PR"/>
        </w:rPr>
      </w:pPr>
      <w:r w:rsidRPr="00834AA0">
        <w:rPr>
          <w:rFonts w:ascii="Book Antiqua" w:hAnsi="Book Antiqua"/>
          <w:lang w:val="es-ES_tradnl"/>
        </w:rPr>
        <w:t>Sección 3</w:t>
      </w:r>
      <w:r w:rsidRPr="00834AA0">
        <w:rPr>
          <w:rFonts w:ascii="Book Antiqua" w:hAnsi="Book Antiqua"/>
          <w:lang w:val="es-PR"/>
        </w:rPr>
        <w:t>.</w:t>
      </w:r>
      <w:r w:rsidR="00C27E72">
        <w:rPr>
          <w:rFonts w:ascii="Book Antiqua" w:hAnsi="Book Antiqua"/>
          <w:lang w:val="es-PR"/>
        </w:rPr>
        <w:t xml:space="preserve"> </w:t>
      </w:r>
      <w:r w:rsidRPr="00834AA0">
        <w:rPr>
          <w:rFonts w:ascii="Book Antiqua" w:hAnsi="Book Antiqua"/>
          <w:lang w:val="es-PR"/>
        </w:rPr>
        <w:t>- Cláusula de separabilidad.</w:t>
      </w:r>
    </w:p>
    <w:p w14:paraId="381291B5" w14:textId="77777777" w:rsidR="00CF3B6C" w:rsidRPr="00834AA0" w:rsidRDefault="00CF3B6C" w:rsidP="00CF3B6C">
      <w:pPr>
        <w:pStyle w:val="sectext"/>
        <w:spacing w:line="480" w:lineRule="auto"/>
        <w:ind w:firstLine="720"/>
        <w:jc w:val="both"/>
        <w:rPr>
          <w:rFonts w:ascii="Book Antiqua" w:hAnsi="Book Antiqua"/>
          <w:lang w:val="es-PR"/>
        </w:rPr>
      </w:pPr>
      <w:r w:rsidRPr="00834AA0">
        <w:rPr>
          <w:rFonts w:ascii="Book Antiqua" w:hAnsi="Book Antiqua"/>
          <w:lang w:val="es-PR"/>
        </w:rPr>
        <w:lastRenderedPageBreak/>
        <w:t xml:space="preserve">Si alguna de las disposiciones de esta Ley o su aplicación fuere declarada inconstitucional o nula, tal dictamen de invalidez o nulidad no afectará la </w:t>
      </w:r>
      <w:proofErr w:type="spellStart"/>
      <w:r w:rsidRPr="00834AA0">
        <w:rPr>
          <w:rFonts w:ascii="Book Antiqua" w:hAnsi="Book Antiqua"/>
          <w:lang w:val="es-PR"/>
        </w:rPr>
        <w:t>ejecutabilidad</w:t>
      </w:r>
      <w:proofErr w:type="spellEnd"/>
      <w:r w:rsidRPr="00834AA0">
        <w:rPr>
          <w:rFonts w:ascii="Book Antiqua" w:hAnsi="Book Antiqua"/>
          <w:lang w:val="es-PR"/>
        </w:rPr>
        <w:t xml:space="preserve"> y vigor de las restantes disposiciones que no hayan sido objeto de dictamen adverso.</w:t>
      </w:r>
    </w:p>
    <w:p w14:paraId="3B6C8CBE" w14:textId="308840EE" w:rsidR="00CF3B6C" w:rsidRPr="00834AA0" w:rsidRDefault="00CF3B6C" w:rsidP="00CF3B6C">
      <w:pPr>
        <w:spacing w:line="480" w:lineRule="auto"/>
        <w:ind w:left="360" w:firstLine="360"/>
        <w:jc w:val="both"/>
        <w:rPr>
          <w:rFonts w:ascii="Book Antiqua" w:hAnsi="Book Antiqua"/>
          <w:szCs w:val="24"/>
          <w:lang w:val="es-PR"/>
        </w:rPr>
      </w:pPr>
      <w:r w:rsidRPr="00834AA0">
        <w:rPr>
          <w:rFonts w:ascii="Book Antiqua" w:hAnsi="Book Antiqua"/>
          <w:lang w:val="es-ES_tradnl"/>
        </w:rPr>
        <w:t>Sección 4</w:t>
      </w:r>
      <w:r w:rsidRPr="00834AA0">
        <w:rPr>
          <w:rFonts w:ascii="Book Antiqua" w:hAnsi="Book Antiqua"/>
          <w:szCs w:val="24"/>
          <w:lang w:val="es-PR"/>
        </w:rPr>
        <w:t>.</w:t>
      </w:r>
      <w:r w:rsidR="00C27E72">
        <w:rPr>
          <w:rFonts w:ascii="Book Antiqua" w:hAnsi="Book Antiqua"/>
          <w:szCs w:val="24"/>
          <w:lang w:val="es-PR"/>
        </w:rPr>
        <w:t xml:space="preserve"> </w:t>
      </w:r>
      <w:r w:rsidRPr="00834AA0">
        <w:rPr>
          <w:rFonts w:ascii="Book Antiqua" w:hAnsi="Book Antiqua"/>
          <w:szCs w:val="24"/>
          <w:lang w:val="es-PR"/>
        </w:rPr>
        <w:t xml:space="preserve">- </w:t>
      </w:r>
      <w:r w:rsidRPr="00834AA0">
        <w:rPr>
          <w:rFonts w:ascii="Book Antiqua" w:hAnsi="Book Antiqua"/>
          <w:lang w:val="es-PR"/>
        </w:rPr>
        <w:t>Cláusula de v</w:t>
      </w:r>
      <w:r w:rsidRPr="00834AA0">
        <w:rPr>
          <w:rFonts w:ascii="Book Antiqua" w:hAnsi="Book Antiqua"/>
          <w:szCs w:val="24"/>
          <w:lang w:val="es-PR"/>
        </w:rPr>
        <w:t>igencia.</w:t>
      </w:r>
    </w:p>
    <w:p w14:paraId="14DE6C7B" w14:textId="4E603382" w:rsidR="00173FD0" w:rsidRPr="00BC6728" w:rsidRDefault="00CF3B6C" w:rsidP="00CF3B6C">
      <w:pPr>
        <w:spacing w:line="480" w:lineRule="auto"/>
        <w:ind w:firstLine="360"/>
        <w:jc w:val="both"/>
        <w:rPr>
          <w:rFonts w:ascii="Book Antiqua" w:hAnsi="Book Antiqua"/>
          <w:lang w:val="es-ES"/>
        </w:rPr>
      </w:pPr>
      <w:r w:rsidRPr="00834AA0">
        <w:rPr>
          <w:rFonts w:ascii="Book Antiqua" w:hAnsi="Book Antiqua"/>
          <w:szCs w:val="24"/>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A1401" w14:textId="77777777" w:rsidR="00EB0943" w:rsidRDefault="00EB0943">
      <w:r>
        <w:separator/>
      </w:r>
    </w:p>
  </w:endnote>
  <w:endnote w:type="continuationSeparator" w:id="0">
    <w:p w14:paraId="77FAB313" w14:textId="77777777" w:rsidR="00EB0943" w:rsidRDefault="00EB0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39EED" w14:textId="77777777" w:rsidR="00EB0943" w:rsidRDefault="00EB0943">
      <w:r>
        <w:separator/>
      </w:r>
    </w:p>
  </w:footnote>
  <w:footnote w:type="continuationSeparator" w:id="0">
    <w:p w14:paraId="0A19EE7E" w14:textId="77777777" w:rsidR="00EB0943" w:rsidRDefault="00EB0943">
      <w:r>
        <w:continuationSeparator/>
      </w:r>
    </w:p>
  </w:footnote>
  <w:footnote w:id="1">
    <w:p w14:paraId="4AFE84F2" w14:textId="77777777" w:rsidR="00CF3B6C" w:rsidRPr="00747D24" w:rsidRDefault="00CF3B6C" w:rsidP="00CF3B6C">
      <w:pPr>
        <w:pStyle w:val="Textonotapie"/>
        <w:rPr>
          <w:rFonts w:ascii="Book Antiqua" w:hAnsi="Book Antiqua"/>
          <w:sz w:val="18"/>
          <w:szCs w:val="18"/>
          <w:lang w:val="es-419"/>
        </w:rPr>
      </w:pPr>
      <w:r w:rsidRPr="00747D24">
        <w:rPr>
          <w:rFonts w:ascii="Book Antiqua" w:hAnsi="Book Antiqua"/>
          <w:sz w:val="18"/>
          <w:szCs w:val="18"/>
          <w:lang w:val="es-419"/>
        </w:rPr>
        <w:t xml:space="preserve">  </w:t>
      </w:r>
      <w:r w:rsidRPr="00747D24">
        <w:rPr>
          <w:rStyle w:val="Refdenotaalpie"/>
          <w:rFonts w:ascii="Book Antiqua" w:hAnsi="Book Antiqua"/>
          <w:sz w:val="18"/>
          <w:szCs w:val="18"/>
        </w:rPr>
        <w:footnoteRef/>
      </w:r>
      <w:r w:rsidRPr="00747D24">
        <w:rPr>
          <w:rFonts w:ascii="Book Antiqua" w:hAnsi="Book Antiqua"/>
          <w:sz w:val="18"/>
          <w:szCs w:val="18"/>
          <w:lang w:val="es-419"/>
        </w:rPr>
        <w:t xml:space="preserve"> Código Civil de Puerto Rico, Ley 55-2020, según enmendada, Artículo 270. Énfasis suplido.</w:t>
      </w:r>
    </w:p>
  </w:footnote>
  <w:footnote w:id="2">
    <w:p w14:paraId="213F023F" w14:textId="77777777" w:rsidR="00CF3B6C" w:rsidRPr="00747D24" w:rsidRDefault="00CF3B6C" w:rsidP="00CF3B6C">
      <w:pPr>
        <w:pStyle w:val="Textonotapie"/>
        <w:rPr>
          <w:rFonts w:ascii="Book Antiqua" w:hAnsi="Book Antiqua"/>
          <w:i/>
          <w:iCs/>
          <w:sz w:val="18"/>
          <w:szCs w:val="18"/>
          <w:lang w:val="es-419"/>
        </w:rPr>
      </w:pPr>
      <w:r w:rsidRPr="00747D24">
        <w:rPr>
          <w:rFonts w:ascii="Book Antiqua" w:hAnsi="Book Antiqua"/>
          <w:sz w:val="18"/>
          <w:szCs w:val="18"/>
          <w:lang w:val="es-419"/>
        </w:rPr>
        <w:t xml:space="preserve">  </w:t>
      </w:r>
      <w:r w:rsidRPr="00747D24">
        <w:rPr>
          <w:rStyle w:val="Refdenotaalpie"/>
          <w:rFonts w:ascii="Book Antiqua" w:hAnsi="Book Antiqua"/>
          <w:sz w:val="18"/>
          <w:szCs w:val="18"/>
        </w:rPr>
        <w:footnoteRef/>
      </w:r>
      <w:r w:rsidRPr="00747D24">
        <w:rPr>
          <w:rFonts w:ascii="Book Antiqua" w:hAnsi="Book Antiqua"/>
          <w:sz w:val="18"/>
          <w:szCs w:val="18"/>
          <w:lang w:val="es-419"/>
        </w:rPr>
        <w:t xml:space="preserve"> </w:t>
      </w:r>
      <w:r w:rsidRPr="00747D24">
        <w:rPr>
          <w:rFonts w:ascii="Book Antiqua" w:hAnsi="Book Antiqua"/>
          <w:i/>
          <w:iCs/>
          <w:sz w:val="18"/>
          <w:szCs w:val="18"/>
          <w:lang w:val="es-419"/>
        </w:rPr>
        <w:t xml:space="preserve">Id., </w:t>
      </w:r>
      <w:r w:rsidRPr="00747D24">
        <w:rPr>
          <w:rFonts w:ascii="Book Antiqua" w:hAnsi="Book Antiqua"/>
          <w:sz w:val="18"/>
          <w:szCs w:val="18"/>
          <w:lang w:val="es-419"/>
        </w:rPr>
        <w:t xml:space="preserve">Art. 342. </w:t>
      </w:r>
      <w:r w:rsidRPr="00747D24">
        <w:rPr>
          <w:rFonts w:ascii="Book Antiqua" w:hAnsi="Book Antiqua"/>
          <w:i/>
          <w:iCs/>
          <w:sz w:val="18"/>
          <w:szCs w:val="18"/>
          <w:lang w:val="es-419"/>
        </w:rPr>
        <w:t>Véase,</w:t>
      </w:r>
      <w:r w:rsidRPr="00747D24">
        <w:rPr>
          <w:rFonts w:ascii="Book Antiqua" w:hAnsi="Book Antiqua"/>
          <w:sz w:val="18"/>
          <w:szCs w:val="18"/>
          <w:lang w:val="es-419"/>
        </w:rPr>
        <w:t xml:space="preserve"> </w:t>
      </w:r>
      <w:r w:rsidRPr="003258D8">
        <w:rPr>
          <w:rFonts w:ascii="Book Antiqua" w:hAnsi="Book Antiqua"/>
          <w:i/>
          <w:iCs/>
          <w:sz w:val="18"/>
          <w:szCs w:val="18"/>
          <w:lang w:val="es-419"/>
        </w:rPr>
        <w:t xml:space="preserve">González v. </w:t>
      </w:r>
      <w:proofErr w:type="spellStart"/>
      <w:r w:rsidRPr="003258D8">
        <w:rPr>
          <w:rFonts w:ascii="Book Antiqua" w:hAnsi="Book Antiqua"/>
          <w:i/>
          <w:iCs/>
          <w:sz w:val="18"/>
          <w:szCs w:val="18"/>
          <w:lang w:val="es-419"/>
        </w:rPr>
        <w:t>Aut</w:t>
      </w:r>
      <w:proofErr w:type="spellEnd"/>
      <w:r w:rsidRPr="003258D8">
        <w:rPr>
          <w:rFonts w:ascii="Book Antiqua" w:hAnsi="Book Antiqua"/>
          <w:i/>
          <w:iCs/>
          <w:sz w:val="18"/>
          <w:szCs w:val="18"/>
          <w:lang w:val="es-419"/>
        </w:rPr>
        <w:t>. de Carreteras</w:t>
      </w:r>
      <w:r w:rsidRPr="003258D8">
        <w:rPr>
          <w:rFonts w:ascii="Book Antiqua" w:hAnsi="Book Antiqua"/>
          <w:sz w:val="18"/>
          <w:szCs w:val="18"/>
          <w:lang w:val="es-419"/>
        </w:rPr>
        <w:t>, 148 D</w:t>
      </w:r>
      <w:r w:rsidRPr="00747D24">
        <w:rPr>
          <w:rFonts w:ascii="Book Antiqua" w:hAnsi="Book Antiqua"/>
          <w:sz w:val="18"/>
          <w:szCs w:val="18"/>
          <w:lang w:val="es-419"/>
        </w:rPr>
        <w:t>.P.R.</w:t>
      </w:r>
      <w:r w:rsidRPr="003258D8">
        <w:rPr>
          <w:rFonts w:ascii="Book Antiqua" w:hAnsi="Book Antiqua"/>
          <w:sz w:val="18"/>
          <w:szCs w:val="18"/>
          <w:lang w:val="es-419"/>
        </w:rPr>
        <w:t xml:space="preserve"> 255, 264</w:t>
      </w:r>
      <w:r w:rsidRPr="00747D24">
        <w:rPr>
          <w:rFonts w:ascii="Book Antiqua" w:hAnsi="Book Antiqua"/>
          <w:sz w:val="18"/>
          <w:szCs w:val="18"/>
          <w:lang w:val="es-419"/>
        </w:rPr>
        <w:t>.</w:t>
      </w:r>
    </w:p>
  </w:footnote>
  <w:footnote w:id="3">
    <w:p w14:paraId="0945E58F" w14:textId="77777777" w:rsidR="00CF3B6C" w:rsidRPr="00747D24" w:rsidRDefault="00CF3B6C" w:rsidP="00CF3B6C">
      <w:pPr>
        <w:pStyle w:val="Textonotapie"/>
        <w:rPr>
          <w:rFonts w:ascii="Book Antiqua" w:hAnsi="Book Antiqua"/>
          <w:sz w:val="18"/>
          <w:szCs w:val="18"/>
          <w:lang w:val="es-419"/>
        </w:rPr>
      </w:pPr>
      <w:r w:rsidRPr="00747D24">
        <w:rPr>
          <w:rFonts w:ascii="Book Antiqua" w:hAnsi="Book Antiqua"/>
          <w:sz w:val="18"/>
          <w:szCs w:val="18"/>
          <w:lang w:val="es-419"/>
        </w:rPr>
        <w:t xml:space="preserve">  </w:t>
      </w:r>
      <w:r w:rsidRPr="00747D24">
        <w:rPr>
          <w:rStyle w:val="Refdenotaalpie"/>
          <w:rFonts w:ascii="Book Antiqua" w:hAnsi="Book Antiqua"/>
          <w:sz w:val="18"/>
          <w:szCs w:val="18"/>
        </w:rPr>
        <w:footnoteRef/>
      </w:r>
      <w:r w:rsidRPr="00747D24">
        <w:rPr>
          <w:rFonts w:ascii="Book Antiqua" w:hAnsi="Book Antiqua"/>
          <w:sz w:val="18"/>
          <w:szCs w:val="18"/>
          <w:lang w:val="es-419"/>
        </w:rPr>
        <w:t xml:space="preserve"> </w:t>
      </w:r>
      <w:r w:rsidRPr="00747D24">
        <w:rPr>
          <w:rFonts w:ascii="Book Antiqua" w:hAnsi="Book Antiqua"/>
          <w:i/>
          <w:iCs/>
          <w:sz w:val="18"/>
          <w:szCs w:val="18"/>
          <w:lang w:val="es-419"/>
        </w:rPr>
        <w:t xml:space="preserve">Rasa Eng. Corp. v. </w:t>
      </w:r>
      <w:proofErr w:type="spellStart"/>
      <w:r w:rsidRPr="00747D24">
        <w:rPr>
          <w:rFonts w:ascii="Book Antiqua" w:hAnsi="Book Antiqua"/>
          <w:i/>
          <w:iCs/>
          <w:sz w:val="18"/>
          <w:szCs w:val="18"/>
          <w:lang w:val="es-419"/>
        </w:rPr>
        <w:t>Daubón</w:t>
      </w:r>
      <w:proofErr w:type="spellEnd"/>
      <w:r w:rsidRPr="00747D24">
        <w:rPr>
          <w:rFonts w:ascii="Book Antiqua" w:hAnsi="Book Antiqua"/>
          <w:sz w:val="18"/>
          <w:szCs w:val="18"/>
          <w:lang w:val="es-419"/>
        </w:rPr>
        <w:t>, 86 D.P.R. 193 (1962); </w:t>
      </w:r>
      <w:r w:rsidRPr="00747D24">
        <w:rPr>
          <w:rFonts w:ascii="Book Antiqua" w:hAnsi="Book Antiqua"/>
          <w:i/>
          <w:iCs/>
          <w:sz w:val="18"/>
          <w:szCs w:val="18"/>
          <w:lang w:val="es-419"/>
        </w:rPr>
        <w:t xml:space="preserve">Serra v. </w:t>
      </w:r>
      <w:proofErr w:type="spellStart"/>
      <w:r w:rsidRPr="00747D24">
        <w:rPr>
          <w:rFonts w:ascii="Book Antiqua" w:hAnsi="Book Antiqua"/>
          <w:i/>
          <w:iCs/>
          <w:sz w:val="18"/>
          <w:szCs w:val="18"/>
          <w:lang w:val="es-419"/>
        </w:rPr>
        <w:t>Salesian</w:t>
      </w:r>
      <w:proofErr w:type="spellEnd"/>
      <w:r w:rsidRPr="00747D24">
        <w:rPr>
          <w:rFonts w:ascii="Book Antiqua" w:hAnsi="Book Antiqua"/>
          <w:i/>
          <w:iCs/>
          <w:sz w:val="18"/>
          <w:szCs w:val="18"/>
          <w:lang w:val="es-419"/>
        </w:rPr>
        <w:t xml:space="preserve"> </w:t>
      </w:r>
      <w:proofErr w:type="spellStart"/>
      <w:r w:rsidRPr="00747D24">
        <w:rPr>
          <w:rFonts w:ascii="Book Antiqua" w:hAnsi="Book Antiqua"/>
          <w:i/>
          <w:iCs/>
          <w:sz w:val="18"/>
          <w:szCs w:val="18"/>
          <w:lang w:val="es-419"/>
        </w:rPr>
        <w:t>Society</w:t>
      </w:r>
      <w:proofErr w:type="spellEnd"/>
      <w:r w:rsidRPr="00747D24">
        <w:rPr>
          <w:rFonts w:ascii="Book Antiqua" w:hAnsi="Book Antiqua"/>
          <w:sz w:val="18"/>
          <w:szCs w:val="18"/>
          <w:lang w:val="es-419"/>
        </w:rPr>
        <w:t>, 84 D.P.R. 322 (1961); </w:t>
      </w:r>
      <w:r w:rsidRPr="00747D24">
        <w:rPr>
          <w:rFonts w:ascii="Book Antiqua" w:hAnsi="Book Antiqua"/>
          <w:i/>
          <w:iCs/>
          <w:sz w:val="18"/>
          <w:szCs w:val="18"/>
          <w:lang w:val="es-419"/>
        </w:rPr>
        <w:t xml:space="preserve">Pagán v. </w:t>
      </w:r>
      <w:proofErr w:type="spellStart"/>
      <w:r w:rsidRPr="00747D24">
        <w:rPr>
          <w:rFonts w:ascii="Book Antiqua" w:hAnsi="Book Antiqua"/>
          <w:i/>
          <w:iCs/>
          <w:sz w:val="18"/>
          <w:szCs w:val="18"/>
          <w:lang w:val="es-419"/>
        </w:rPr>
        <w:t>Sucn</w:t>
      </w:r>
      <w:proofErr w:type="spellEnd"/>
      <w:r w:rsidRPr="00747D24">
        <w:rPr>
          <w:rFonts w:ascii="Book Antiqua" w:hAnsi="Book Antiqua"/>
          <w:i/>
          <w:iCs/>
          <w:sz w:val="18"/>
          <w:szCs w:val="18"/>
          <w:lang w:val="es-419"/>
        </w:rPr>
        <w:t xml:space="preserve">. Padilla, </w:t>
      </w:r>
      <w:r w:rsidRPr="00747D24">
        <w:rPr>
          <w:rFonts w:ascii="Book Antiqua" w:hAnsi="Book Antiqua"/>
          <w:sz w:val="18"/>
          <w:szCs w:val="18"/>
          <w:lang w:val="es-419"/>
        </w:rPr>
        <w:t>42 D.P.R. 968</w:t>
      </w:r>
      <w:r w:rsidRPr="00747D24">
        <w:rPr>
          <w:rFonts w:ascii="Book Antiqua" w:hAnsi="Book Antiqua"/>
          <w:i/>
          <w:iCs/>
          <w:sz w:val="18"/>
          <w:szCs w:val="18"/>
          <w:lang w:val="es-419"/>
        </w:rPr>
        <w:t xml:space="preserve"> </w:t>
      </w:r>
      <w:r w:rsidRPr="00747D24">
        <w:rPr>
          <w:rFonts w:ascii="Book Antiqua" w:hAnsi="Book Antiqua"/>
          <w:sz w:val="18"/>
          <w:szCs w:val="18"/>
          <w:lang w:val="es-419"/>
        </w:rPr>
        <w:t>(1931).</w:t>
      </w:r>
    </w:p>
  </w:footnote>
  <w:footnote w:id="4">
    <w:p w14:paraId="59845B0A" w14:textId="77777777" w:rsidR="00CF3B6C" w:rsidRPr="00747D24" w:rsidRDefault="00CF3B6C" w:rsidP="00CF3B6C">
      <w:pPr>
        <w:pStyle w:val="Textonotapie"/>
        <w:rPr>
          <w:rFonts w:ascii="Book Antiqua" w:hAnsi="Book Antiqua"/>
          <w:sz w:val="18"/>
          <w:szCs w:val="18"/>
          <w:lang w:val="es-419"/>
        </w:rPr>
      </w:pPr>
      <w:r w:rsidRPr="00747D24">
        <w:rPr>
          <w:rFonts w:ascii="Book Antiqua" w:hAnsi="Book Antiqua"/>
          <w:sz w:val="18"/>
          <w:szCs w:val="18"/>
          <w:lang w:val="es-419"/>
        </w:rPr>
        <w:t xml:space="preserve">  </w:t>
      </w:r>
      <w:r w:rsidRPr="00747D24">
        <w:rPr>
          <w:rStyle w:val="Refdenotaalpie"/>
          <w:rFonts w:ascii="Book Antiqua" w:hAnsi="Book Antiqua"/>
          <w:sz w:val="18"/>
          <w:szCs w:val="18"/>
        </w:rPr>
        <w:footnoteRef/>
      </w:r>
      <w:r w:rsidRPr="00747D24">
        <w:rPr>
          <w:rFonts w:ascii="Book Antiqua" w:hAnsi="Book Antiqua"/>
          <w:sz w:val="18"/>
          <w:szCs w:val="18"/>
          <w:lang w:val="es-419"/>
        </w:rPr>
        <w:t xml:space="preserve"> </w:t>
      </w:r>
      <w:r w:rsidRPr="00747D24">
        <w:rPr>
          <w:rFonts w:ascii="Book Antiqua" w:hAnsi="Book Antiqua"/>
          <w:i/>
          <w:iCs/>
          <w:sz w:val="18"/>
          <w:szCs w:val="18"/>
          <w:lang w:val="es-419"/>
        </w:rPr>
        <w:t>González</w:t>
      </w:r>
      <w:r w:rsidRPr="00747D24">
        <w:rPr>
          <w:rFonts w:ascii="Book Antiqua" w:hAnsi="Book Antiqua"/>
          <w:sz w:val="18"/>
          <w:szCs w:val="18"/>
          <w:lang w:val="es-419"/>
        </w:rPr>
        <w:t>, 148 D.P.R. 255, 265.</w:t>
      </w:r>
    </w:p>
  </w:footnote>
  <w:footnote w:id="5">
    <w:p w14:paraId="45A58266" w14:textId="77777777" w:rsidR="00CF3B6C" w:rsidRPr="00747D24" w:rsidRDefault="00CF3B6C" w:rsidP="00CF3B6C">
      <w:pPr>
        <w:pStyle w:val="Textonotapie"/>
        <w:rPr>
          <w:rFonts w:ascii="Book Antiqua" w:hAnsi="Book Antiqua"/>
          <w:sz w:val="18"/>
          <w:szCs w:val="18"/>
          <w:lang w:val="es-419"/>
        </w:rPr>
      </w:pPr>
      <w:r w:rsidRPr="00747D24">
        <w:rPr>
          <w:rFonts w:ascii="Book Antiqua" w:hAnsi="Book Antiqua"/>
          <w:sz w:val="18"/>
          <w:szCs w:val="18"/>
          <w:lang w:val="es-419"/>
        </w:rPr>
        <w:t xml:space="preserve">  </w:t>
      </w:r>
      <w:r w:rsidRPr="00747D24">
        <w:rPr>
          <w:rStyle w:val="Refdenotaalpie"/>
          <w:rFonts w:ascii="Book Antiqua" w:hAnsi="Book Antiqua"/>
          <w:sz w:val="18"/>
          <w:szCs w:val="18"/>
        </w:rPr>
        <w:footnoteRef/>
      </w:r>
      <w:r w:rsidRPr="00747D24">
        <w:rPr>
          <w:rFonts w:ascii="Book Antiqua" w:hAnsi="Book Antiqua"/>
          <w:sz w:val="18"/>
          <w:szCs w:val="18"/>
          <w:lang w:val="es-419"/>
        </w:rPr>
        <w:t xml:space="preserve"> F. De Castro, </w:t>
      </w:r>
      <w:r w:rsidRPr="00747D24">
        <w:rPr>
          <w:rFonts w:ascii="Book Antiqua" w:hAnsi="Book Antiqua"/>
          <w:i/>
          <w:iCs/>
          <w:sz w:val="18"/>
          <w:szCs w:val="18"/>
          <w:lang w:val="es-419"/>
        </w:rPr>
        <w:t>Notas sobre las limitaciones intrínsecas de la autonomía de la voluntad</w:t>
      </w:r>
      <w:r w:rsidRPr="00747D24">
        <w:rPr>
          <w:rFonts w:ascii="Book Antiqua" w:hAnsi="Book Antiqua"/>
          <w:sz w:val="18"/>
          <w:szCs w:val="18"/>
          <w:lang w:val="es-419"/>
        </w:rPr>
        <w:t>, IV Anuario de Derecho Civil 987, 1049 (1982).</w:t>
      </w:r>
    </w:p>
  </w:footnote>
  <w:footnote w:id="6">
    <w:p w14:paraId="79884EE1" w14:textId="77777777" w:rsidR="00CF3B6C" w:rsidRPr="00747D24" w:rsidRDefault="00CF3B6C" w:rsidP="00CF3B6C">
      <w:pPr>
        <w:pStyle w:val="Textonotapie"/>
        <w:rPr>
          <w:rFonts w:ascii="Book Antiqua" w:hAnsi="Book Antiqua"/>
          <w:sz w:val="18"/>
          <w:szCs w:val="18"/>
          <w:lang w:val="es-419"/>
        </w:rPr>
      </w:pPr>
      <w:r w:rsidRPr="00747D24">
        <w:rPr>
          <w:rFonts w:ascii="Book Antiqua" w:hAnsi="Book Antiqua"/>
          <w:sz w:val="18"/>
          <w:szCs w:val="18"/>
          <w:lang w:val="es-419"/>
        </w:rPr>
        <w:t xml:space="preserve">  </w:t>
      </w:r>
      <w:r w:rsidRPr="00747D24">
        <w:rPr>
          <w:rStyle w:val="Refdenotaalpie"/>
          <w:rFonts w:ascii="Book Antiqua" w:hAnsi="Book Antiqua"/>
          <w:sz w:val="18"/>
          <w:szCs w:val="18"/>
        </w:rPr>
        <w:footnoteRef/>
      </w:r>
      <w:r w:rsidRPr="00747D24">
        <w:rPr>
          <w:rFonts w:ascii="Book Antiqua" w:hAnsi="Book Antiqua"/>
          <w:sz w:val="18"/>
          <w:szCs w:val="18"/>
          <w:lang w:val="es-419"/>
        </w:rPr>
        <w:t xml:space="preserve"> </w:t>
      </w:r>
      <w:r w:rsidRPr="00747D24">
        <w:rPr>
          <w:rFonts w:ascii="Book Antiqua" w:hAnsi="Book Antiqua"/>
          <w:i/>
          <w:iCs/>
          <w:sz w:val="18"/>
          <w:szCs w:val="18"/>
          <w:lang w:val="es-419"/>
        </w:rPr>
        <w:t>González</w:t>
      </w:r>
      <w:r w:rsidRPr="00747D24">
        <w:rPr>
          <w:rFonts w:ascii="Book Antiqua" w:hAnsi="Book Antiqua"/>
          <w:sz w:val="18"/>
          <w:szCs w:val="18"/>
          <w:lang w:val="es-419"/>
        </w:rPr>
        <w:t>, 148 D.P.R. 255, 266.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03392C"/>
    <w:multiLevelType w:val="hybridMultilevel"/>
    <w:tmpl w:val="58DC48FC"/>
    <w:lvl w:ilvl="0" w:tplc="1910C8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F362E19"/>
    <w:multiLevelType w:val="hybridMultilevel"/>
    <w:tmpl w:val="29226CBE"/>
    <w:lvl w:ilvl="0" w:tplc="FFFFFFFF">
      <w:start w:val="1"/>
      <w:numFmt w:val="lowerLetter"/>
      <w:lvlText w:val="%1)"/>
      <w:lvlJc w:val="left"/>
      <w:pPr>
        <w:ind w:left="2880" w:hanging="360"/>
      </w:pPr>
      <w:rPr>
        <w:rFonts w:hint="default"/>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3"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13EF6CAD"/>
    <w:multiLevelType w:val="hybridMultilevel"/>
    <w:tmpl w:val="6DD26EEA"/>
    <w:lvl w:ilvl="0" w:tplc="940AE1C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7AE20D9"/>
    <w:multiLevelType w:val="hybridMultilevel"/>
    <w:tmpl w:val="A1EC837E"/>
    <w:lvl w:ilvl="0" w:tplc="C7187F5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15:restartNumberingAfterBreak="0">
    <w:nsid w:val="2C57438F"/>
    <w:multiLevelType w:val="hybridMultilevel"/>
    <w:tmpl w:val="F998059C"/>
    <w:lvl w:ilvl="0" w:tplc="83AA971A">
      <w:start w:val="1"/>
      <w:numFmt w:val="decimal"/>
      <w:lvlText w:val="(%1)"/>
      <w:lvlJc w:val="left"/>
      <w:pPr>
        <w:ind w:left="1800" w:hanging="36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E4056C9"/>
    <w:multiLevelType w:val="hybridMultilevel"/>
    <w:tmpl w:val="29226CBE"/>
    <w:lvl w:ilvl="0" w:tplc="126E714E">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3F86481C"/>
    <w:multiLevelType w:val="hybridMultilevel"/>
    <w:tmpl w:val="2246257C"/>
    <w:lvl w:ilvl="0" w:tplc="B7E6A896">
      <w:start w:val="1"/>
      <w:numFmt w:val="lowerLetter"/>
      <w:lvlText w:val="(%1)"/>
      <w:lvlJc w:val="left"/>
      <w:pPr>
        <w:ind w:left="1950" w:hanging="51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4EE86EA7"/>
    <w:multiLevelType w:val="hybridMultilevel"/>
    <w:tmpl w:val="F4948742"/>
    <w:lvl w:ilvl="0" w:tplc="63F64390">
      <w:start w:val="1"/>
      <w:numFmt w:val="lowerLetter"/>
      <w:lvlText w:val="(%1)"/>
      <w:lvlJc w:val="left"/>
      <w:pPr>
        <w:ind w:left="1800" w:hanging="360"/>
      </w:pPr>
      <w:rPr>
        <w:rFonts w:hint="default"/>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6D61A67"/>
    <w:multiLevelType w:val="hybridMultilevel"/>
    <w:tmpl w:val="8D9E80E2"/>
    <w:lvl w:ilvl="0" w:tplc="659A592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8AB34FC"/>
    <w:multiLevelType w:val="hybridMultilevel"/>
    <w:tmpl w:val="939EA0E2"/>
    <w:lvl w:ilvl="0" w:tplc="DE9EFED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5FA4C8D"/>
    <w:multiLevelType w:val="hybridMultilevel"/>
    <w:tmpl w:val="30CA0BA2"/>
    <w:lvl w:ilvl="0" w:tplc="3460B10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15:restartNumberingAfterBreak="0">
    <w:nsid w:val="7F773CBF"/>
    <w:multiLevelType w:val="hybridMultilevel"/>
    <w:tmpl w:val="9A568570"/>
    <w:lvl w:ilvl="0" w:tplc="BDA04590">
      <w:start w:val="1"/>
      <w:numFmt w:val="decimal"/>
      <w:lvlText w:val="(%1)"/>
      <w:lvlJc w:val="left"/>
      <w:pPr>
        <w:ind w:left="1800" w:hanging="360"/>
      </w:pPr>
      <w:rPr>
        <w:rFonts w:ascii="Book Antiqua" w:hAnsi="Book Antiqua"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718363108">
    <w:abstractNumId w:val="0"/>
  </w:num>
  <w:num w:numId="2" w16cid:durableId="608124480">
    <w:abstractNumId w:val="21"/>
  </w:num>
  <w:num w:numId="3" w16cid:durableId="1132467">
    <w:abstractNumId w:val="12"/>
  </w:num>
  <w:num w:numId="4" w16cid:durableId="702096654">
    <w:abstractNumId w:val="13"/>
  </w:num>
  <w:num w:numId="5" w16cid:durableId="496698076">
    <w:abstractNumId w:val="19"/>
  </w:num>
  <w:num w:numId="6" w16cid:durableId="1469207924">
    <w:abstractNumId w:val="5"/>
  </w:num>
  <w:num w:numId="7" w16cid:durableId="355935514">
    <w:abstractNumId w:val="8"/>
  </w:num>
  <w:num w:numId="8" w16cid:durableId="259021808">
    <w:abstractNumId w:val="3"/>
  </w:num>
  <w:num w:numId="9" w16cid:durableId="957763560">
    <w:abstractNumId w:val="23"/>
  </w:num>
  <w:num w:numId="10" w16cid:durableId="229004811">
    <w:abstractNumId w:val="11"/>
  </w:num>
  <w:num w:numId="11" w16cid:durableId="465707011">
    <w:abstractNumId w:val="16"/>
  </w:num>
  <w:num w:numId="12" w16cid:durableId="1678343964">
    <w:abstractNumId w:val="7"/>
  </w:num>
  <w:num w:numId="13" w16cid:durableId="1564757104">
    <w:abstractNumId w:val="10"/>
  </w:num>
  <w:num w:numId="14" w16cid:durableId="1739130434">
    <w:abstractNumId w:val="24"/>
  </w:num>
  <w:num w:numId="15" w16cid:durableId="1093018117">
    <w:abstractNumId w:val="14"/>
  </w:num>
  <w:num w:numId="16" w16cid:durableId="1520201248">
    <w:abstractNumId w:val="2"/>
  </w:num>
  <w:num w:numId="17" w16cid:durableId="307365236">
    <w:abstractNumId w:val="17"/>
  </w:num>
  <w:num w:numId="18" w16cid:durableId="1634870644">
    <w:abstractNumId w:val="4"/>
  </w:num>
  <w:num w:numId="19" w16cid:durableId="208304310">
    <w:abstractNumId w:val="9"/>
  </w:num>
  <w:num w:numId="20" w16cid:durableId="892430691">
    <w:abstractNumId w:val="20"/>
  </w:num>
  <w:num w:numId="21" w16cid:durableId="901132881">
    <w:abstractNumId w:val="6"/>
  </w:num>
  <w:num w:numId="22" w16cid:durableId="110711585">
    <w:abstractNumId w:val="22"/>
  </w:num>
  <w:num w:numId="23" w16cid:durableId="1874267160">
    <w:abstractNumId w:val="15"/>
  </w:num>
  <w:num w:numId="24" w16cid:durableId="1093669397">
    <w:abstractNumId w:val="18"/>
  </w:num>
  <w:num w:numId="25" w16cid:durableId="700324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6024"/>
    <w:rsid w:val="0006369A"/>
    <w:rsid w:val="0006657F"/>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4558"/>
    <w:rsid w:val="00276BD5"/>
    <w:rsid w:val="002D1566"/>
    <w:rsid w:val="002D4AC8"/>
    <w:rsid w:val="002D55FA"/>
    <w:rsid w:val="002F0A85"/>
    <w:rsid w:val="003069A5"/>
    <w:rsid w:val="00312328"/>
    <w:rsid w:val="00320C26"/>
    <w:rsid w:val="00320D78"/>
    <w:rsid w:val="003262FE"/>
    <w:rsid w:val="0033739A"/>
    <w:rsid w:val="0034244A"/>
    <w:rsid w:val="00351F2D"/>
    <w:rsid w:val="00380FE5"/>
    <w:rsid w:val="003918AF"/>
    <w:rsid w:val="003924DD"/>
    <w:rsid w:val="00394FCB"/>
    <w:rsid w:val="003963F4"/>
    <w:rsid w:val="003B5254"/>
    <w:rsid w:val="003B75A6"/>
    <w:rsid w:val="003C1657"/>
    <w:rsid w:val="003E1DFE"/>
    <w:rsid w:val="004061CA"/>
    <w:rsid w:val="004139BD"/>
    <w:rsid w:val="00415689"/>
    <w:rsid w:val="004220E1"/>
    <w:rsid w:val="004440CB"/>
    <w:rsid w:val="00444D0D"/>
    <w:rsid w:val="0045085C"/>
    <w:rsid w:val="004548EA"/>
    <w:rsid w:val="004713D2"/>
    <w:rsid w:val="00475278"/>
    <w:rsid w:val="00476583"/>
    <w:rsid w:val="00482039"/>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70428A"/>
    <w:rsid w:val="00750FC8"/>
    <w:rsid w:val="007533D0"/>
    <w:rsid w:val="00755069"/>
    <w:rsid w:val="00772304"/>
    <w:rsid w:val="00782D50"/>
    <w:rsid w:val="007B0660"/>
    <w:rsid w:val="007B7B7D"/>
    <w:rsid w:val="007C057A"/>
    <w:rsid w:val="007D6C27"/>
    <w:rsid w:val="007E3868"/>
    <w:rsid w:val="007F1746"/>
    <w:rsid w:val="00800515"/>
    <w:rsid w:val="00820C41"/>
    <w:rsid w:val="00844617"/>
    <w:rsid w:val="00850256"/>
    <w:rsid w:val="00854B10"/>
    <w:rsid w:val="00860ADC"/>
    <w:rsid w:val="0088408D"/>
    <w:rsid w:val="00893AD7"/>
    <w:rsid w:val="008A0ACC"/>
    <w:rsid w:val="008C2489"/>
    <w:rsid w:val="008C6C64"/>
    <w:rsid w:val="008D2C7D"/>
    <w:rsid w:val="008D44C5"/>
    <w:rsid w:val="008E173A"/>
    <w:rsid w:val="008F3F61"/>
    <w:rsid w:val="009035B9"/>
    <w:rsid w:val="00923EC3"/>
    <w:rsid w:val="00924DCC"/>
    <w:rsid w:val="00931106"/>
    <w:rsid w:val="0093686F"/>
    <w:rsid w:val="00942FD4"/>
    <w:rsid w:val="00951997"/>
    <w:rsid w:val="0097693A"/>
    <w:rsid w:val="00990352"/>
    <w:rsid w:val="009B4897"/>
    <w:rsid w:val="009B68F7"/>
    <w:rsid w:val="009F35CF"/>
    <w:rsid w:val="00A03405"/>
    <w:rsid w:val="00A10B1E"/>
    <w:rsid w:val="00A12BB9"/>
    <w:rsid w:val="00A1528A"/>
    <w:rsid w:val="00A25B1B"/>
    <w:rsid w:val="00A33918"/>
    <w:rsid w:val="00A62B63"/>
    <w:rsid w:val="00A7629F"/>
    <w:rsid w:val="00A842B4"/>
    <w:rsid w:val="00A87FD3"/>
    <w:rsid w:val="00AA43B5"/>
    <w:rsid w:val="00AB248D"/>
    <w:rsid w:val="00AD2305"/>
    <w:rsid w:val="00AE36A9"/>
    <w:rsid w:val="00AF0CEE"/>
    <w:rsid w:val="00B2475B"/>
    <w:rsid w:val="00B335B4"/>
    <w:rsid w:val="00B453F4"/>
    <w:rsid w:val="00B51ED2"/>
    <w:rsid w:val="00B667AD"/>
    <w:rsid w:val="00B74AA5"/>
    <w:rsid w:val="00B833A0"/>
    <w:rsid w:val="00B834FC"/>
    <w:rsid w:val="00B84C38"/>
    <w:rsid w:val="00B86C00"/>
    <w:rsid w:val="00B947F6"/>
    <w:rsid w:val="00BC5540"/>
    <w:rsid w:val="00BC6728"/>
    <w:rsid w:val="00BF10EF"/>
    <w:rsid w:val="00BF16AA"/>
    <w:rsid w:val="00C27293"/>
    <w:rsid w:val="00C27E72"/>
    <w:rsid w:val="00C346ED"/>
    <w:rsid w:val="00C354B8"/>
    <w:rsid w:val="00C37B5E"/>
    <w:rsid w:val="00C52517"/>
    <w:rsid w:val="00C60921"/>
    <w:rsid w:val="00C6282C"/>
    <w:rsid w:val="00C62936"/>
    <w:rsid w:val="00C653F2"/>
    <w:rsid w:val="00C65E28"/>
    <w:rsid w:val="00C665A5"/>
    <w:rsid w:val="00C679E6"/>
    <w:rsid w:val="00C768A8"/>
    <w:rsid w:val="00C908F9"/>
    <w:rsid w:val="00CA0917"/>
    <w:rsid w:val="00CA1099"/>
    <w:rsid w:val="00CB5D6A"/>
    <w:rsid w:val="00CC0F45"/>
    <w:rsid w:val="00CC1C08"/>
    <w:rsid w:val="00CC49B0"/>
    <w:rsid w:val="00CD5D2B"/>
    <w:rsid w:val="00CF2B35"/>
    <w:rsid w:val="00CF3B6C"/>
    <w:rsid w:val="00CF7CF6"/>
    <w:rsid w:val="00D046E5"/>
    <w:rsid w:val="00D1295E"/>
    <w:rsid w:val="00D32619"/>
    <w:rsid w:val="00D40CD7"/>
    <w:rsid w:val="00D417C2"/>
    <w:rsid w:val="00D429C3"/>
    <w:rsid w:val="00D56804"/>
    <w:rsid w:val="00D60936"/>
    <w:rsid w:val="00D672A6"/>
    <w:rsid w:val="00D709EB"/>
    <w:rsid w:val="00D74714"/>
    <w:rsid w:val="00D82F3F"/>
    <w:rsid w:val="00D84426"/>
    <w:rsid w:val="00D921C6"/>
    <w:rsid w:val="00D958C2"/>
    <w:rsid w:val="00DA454C"/>
    <w:rsid w:val="00DA735E"/>
    <w:rsid w:val="00DD0A78"/>
    <w:rsid w:val="00DD2AA2"/>
    <w:rsid w:val="00DE2C63"/>
    <w:rsid w:val="00DE56DE"/>
    <w:rsid w:val="00DE7377"/>
    <w:rsid w:val="00E04AB5"/>
    <w:rsid w:val="00E07760"/>
    <w:rsid w:val="00E16745"/>
    <w:rsid w:val="00E50EEA"/>
    <w:rsid w:val="00E52F58"/>
    <w:rsid w:val="00E62E17"/>
    <w:rsid w:val="00E7058A"/>
    <w:rsid w:val="00EB0943"/>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7676D"/>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1547</Words>
  <Characters>8175</Characters>
  <Application>Microsoft Office Word</Application>
  <DocSecurity>0</DocSecurity>
  <Lines>68</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5</cp:revision>
  <cp:lastPrinted>2025-09-22T15:07:00Z</cp:lastPrinted>
  <dcterms:created xsi:type="dcterms:W3CDTF">2025-09-19T20:46:00Z</dcterms:created>
  <dcterms:modified xsi:type="dcterms:W3CDTF">2025-09-22T15:07:00Z</dcterms:modified>
</cp:coreProperties>
</file>