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1B4071" w:rsidRDefault="0018268B" w:rsidP="007C7C83">
      <w:pPr>
        <w:pStyle w:val="Title"/>
        <w:rPr>
          <w:rFonts w:ascii="Book Antiqua" w:hAnsi="Book Antiqua" w:cs="Arial"/>
          <w:lang w:val="es-ES"/>
        </w:rPr>
      </w:pPr>
    </w:p>
    <w:p w14:paraId="37DF9DD2" w14:textId="77777777" w:rsidR="00891CF0" w:rsidRPr="001B4071" w:rsidRDefault="00891CF0" w:rsidP="00891CF0">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18B65E21" w14:textId="77777777" w:rsidR="00891CF0" w:rsidRPr="001B4071" w:rsidRDefault="00891CF0" w:rsidP="00891CF0">
      <w:pPr>
        <w:tabs>
          <w:tab w:val="center" w:pos="4680"/>
        </w:tabs>
        <w:rPr>
          <w:rFonts w:ascii="Book Antiqua" w:eastAsia="Book Antiqua" w:hAnsi="Book Antiqua" w:cs="Book Antiqua"/>
          <w:sz w:val="28"/>
          <w:szCs w:val="28"/>
          <w:lang w:val="es-ES"/>
        </w:rPr>
      </w:pPr>
    </w:p>
    <w:p w14:paraId="2745CD7D" w14:textId="32682C3D" w:rsidR="00891CF0" w:rsidRPr="001B4071" w:rsidRDefault="00891CF0" w:rsidP="00891CF0">
      <w:pPr>
        <w:tabs>
          <w:tab w:val="left" w:pos="720"/>
          <w:tab w:val="left" w:pos="7560"/>
          <w:tab w:val="left" w:pos="8100"/>
        </w:tabs>
        <w:rPr>
          <w:rFonts w:ascii="Book Antiqua" w:eastAsia="Book Antiqua" w:hAnsi="Book Antiqua" w:cs="Book Antiqua"/>
          <w:lang w:val="es-ES"/>
        </w:rPr>
      </w:pPr>
      <w:r>
        <w:rPr>
          <w:rFonts w:ascii="Book Antiqua" w:eastAsia="Book Antiqua" w:hAnsi="Book Antiqua" w:cs="Book Antiqua"/>
          <w:lang w:val="es-ES"/>
        </w:rPr>
        <w:t>20</w:t>
      </w:r>
      <w:r>
        <w:rPr>
          <w:rFonts w:ascii="Book Antiqua" w:eastAsia="Book Antiqua" w:hAnsi="Book Antiqua" w:cs="Book Antiqua"/>
          <w:vertAlign w:val="superscript"/>
          <w:lang w:val="es-ES"/>
        </w:rPr>
        <w:t>ma</w:t>
      </w:r>
      <w:r>
        <w:rPr>
          <w:rFonts w:ascii="Book Antiqua" w:eastAsia="Book Antiqua" w:hAnsi="Book Antiqua" w:cs="Book Antiqua"/>
          <w:lang w:val="es-ES"/>
        </w:rPr>
        <w:t xml:space="preserve"> </w:t>
      </w:r>
      <w:r>
        <w:rPr>
          <w:rFonts w:ascii="Book Antiqua" w:eastAsia="Book Antiqua" w:hAnsi="Book Antiqua" w:cs="Book Antiqua"/>
          <w:lang w:val="es-ES"/>
        </w:rPr>
        <w:tab/>
        <w:t>Asamblea</w:t>
      </w:r>
      <w:r>
        <w:rPr>
          <w:rFonts w:ascii="Book Antiqua" w:eastAsia="Book Antiqua" w:hAnsi="Book Antiqua" w:cs="Book Antiqua"/>
          <w:lang w:val="es-ES"/>
        </w:rPr>
        <w:tab/>
        <w:t>3</w:t>
      </w:r>
      <w:r>
        <w:rPr>
          <w:rFonts w:ascii="Book Antiqua" w:eastAsia="Book Antiqua" w:hAnsi="Book Antiqua" w:cs="Book Antiqua"/>
          <w:vertAlign w:val="superscript"/>
          <w:lang w:val="es-ES"/>
        </w:rPr>
        <w:t>ra</w:t>
      </w:r>
      <w:r>
        <w:rPr>
          <w:rFonts w:ascii="Book Antiqua" w:eastAsia="Book Antiqua" w:hAnsi="Book Antiqua" w:cs="Book Antiqua"/>
          <w:lang w:val="es-ES"/>
        </w:rPr>
        <w:t xml:space="preserve"> </w:t>
      </w:r>
      <w:r>
        <w:rPr>
          <w:rFonts w:ascii="Book Antiqua" w:eastAsia="Book Antiqua" w:hAnsi="Book Antiqua" w:cs="Book Antiqua"/>
          <w:lang w:val="es-ES"/>
        </w:rPr>
        <w:tab/>
        <w:t>Sesión</w:t>
      </w:r>
    </w:p>
    <w:p w14:paraId="3BE90269" w14:textId="77777777" w:rsidR="00891CF0" w:rsidRPr="001B4071" w:rsidRDefault="00891CF0" w:rsidP="00891CF0">
      <w:pPr>
        <w:tabs>
          <w:tab w:val="left" w:pos="720"/>
          <w:tab w:val="left" w:pos="4215"/>
          <w:tab w:val="left" w:pos="5160"/>
          <w:tab w:val="left" w:pos="8100"/>
        </w:tabs>
        <w:rPr>
          <w:rFonts w:ascii="Book Antiqua" w:eastAsia="Book Antiqua" w:hAnsi="Book Antiqua" w:cs="Book Antiqua"/>
          <w:lang w:val="es-ES"/>
        </w:rPr>
      </w:pPr>
      <w:r>
        <w:rPr>
          <w:rFonts w:ascii="Book Antiqua" w:eastAsia="Book Antiqua" w:hAnsi="Book Antiqua" w:cs="Book Antiqua"/>
          <w:lang w:val="es-ES"/>
        </w:rPr>
        <w:tab/>
        <w:t>Legislativa</w:t>
      </w:r>
      <w:r>
        <w:rPr>
          <w:rFonts w:ascii="Book Antiqua" w:eastAsia="Book Antiqua" w:hAnsi="Book Antiqua" w:cs="Book Antiqua"/>
          <w:lang w:val="es-ES"/>
        </w:rPr>
        <w:tab/>
      </w:r>
      <w:r>
        <w:rPr>
          <w:rFonts w:ascii="Book Antiqua" w:eastAsia="Book Antiqua" w:hAnsi="Book Antiqua" w:cs="Book Antiqua"/>
          <w:lang w:val="es-ES"/>
        </w:rPr>
        <w:tab/>
      </w:r>
      <w:r>
        <w:rPr>
          <w:rFonts w:ascii="Book Antiqua" w:eastAsia="Book Antiqua" w:hAnsi="Book Antiqua" w:cs="Book Antiqua"/>
          <w:lang w:val="es-ES"/>
        </w:rPr>
        <w:tab/>
        <w:t>Ordinaria</w:t>
      </w:r>
    </w:p>
    <w:p w14:paraId="750E535A" w14:textId="77777777" w:rsidR="00891CF0" w:rsidRPr="001B4071"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1B4071" w:rsidRDefault="00891CF0" w:rsidP="00891CF0">
      <w:pPr>
        <w:spacing w:line="360" w:lineRule="auto"/>
        <w:jc w:val="center"/>
        <w:rPr>
          <w:rFonts w:ascii="Book Antiqua" w:eastAsia="Book Antiqua" w:hAnsi="Book Antiqua" w:cs="Book Antiqua"/>
          <w:b/>
          <w:sz w:val="36"/>
          <w:szCs w:val="36"/>
          <w:lang w:val="es-ES"/>
        </w:rPr>
      </w:pPr>
      <w:r>
        <w:rPr>
          <w:rFonts w:ascii="Book Antiqua" w:eastAsia="Book Antiqua" w:hAnsi="Book Antiqua" w:cs="Book Antiqua"/>
          <w:b/>
          <w:sz w:val="36"/>
          <w:szCs w:val="36"/>
          <w:lang w:val="es-ES"/>
        </w:rPr>
        <w:t>CÁMARA DE REPRESENTANTES</w:t>
      </w:r>
    </w:p>
    <w:p w14:paraId="4A8302E3" w14:textId="3790BA60" w:rsidR="00891CF0" w:rsidRPr="001B4071" w:rsidRDefault="00937266" w:rsidP="00891CF0">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 del S. 732</w:t>
      </w:r>
    </w:p>
    <w:p w14:paraId="0FB4A030" w14:textId="6CD383F0" w:rsidR="00127600" w:rsidRPr="001B4071" w:rsidRDefault="000B648B" w:rsidP="000B648B">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INFORME POSITIVO</w:t>
      </w:r>
    </w:p>
    <w:p w14:paraId="293E44EE" w14:textId="417CF95E" w:rsidR="00891CF0" w:rsidRPr="001B4071" w:rsidRDefault="00EC215B"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383D09">
        <w:rPr>
          <w:rFonts w:ascii="Book Antiqua" w:eastAsia="Book Antiqua" w:hAnsi="Book Antiqua" w:cs="Book Antiqua"/>
          <w:lang w:val="es-ES"/>
        </w:rPr>
        <w:t xml:space="preserve"> de abril de 2026</w:t>
      </w:r>
    </w:p>
    <w:p w14:paraId="54E7244B" w14:textId="77777777" w:rsidR="00891CF0" w:rsidRPr="001B4071" w:rsidRDefault="00891CF0" w:rsidP="00891CF0">
      <w:pPr>
        <w:jc w:val="both"/>
        <w:rPr>
          <w:rFonts w:ascii="Book Antiqua" w:eastAsia="Book Antiqua" w:hAnsi="Book Antiqua" w:cs="Book Antiqua"/>
          <w:b/>
          <w:lang w:val="es-ES"/>
        </w:rPr>
      </w:pPr>
    </w:p>
    <w:p w14:paraId="4268362D" w14:textId="77777777" w:rsidR="00891CF0" w:rsidRPr="001B4071" w:rsidRDefault="00891CF0" w:rsidP="00891CF0">
      <w:pPr>
        <w:jc w:val="both"/>
        <w:rPr>
          <w:rFonts w:ascii="Book Antiqua" w:eastAsia="Book Antiqua" w:hAnsi="Book Antiqua" w:cs="Book Antiqua"/>
          <w:b/>
          <w:lang w:val="es-ES"/>
        </w:rPr>
      </w:pPr>
      <w:r>
        <w:rPr>
          <w:rFonts w:ascii="Book Antiqua" w:eastAsia="Book Antiqua" w:hAnsi="Book Antiqua" w:cs="Book Antiqua"/>
          <w:b/>
          <w:lang w:val="es-ES"/>
        </w:rPr>
        <w:t>A LA CÁMARA DE REPRESENTANTES DE PUERTO RICO</w:t>
      </w:r>
    </w:p>
    <w:p w14:paraId="6864FBEB" w14:textId="77777777" w:rsidR="00255608" w:rsidRPr="001B4071" w:rsidRDefault="00255608" w:rsidP="007C7C83">
      <w:pPr>
        <w:jc w:val="both"/>
        <w:rPr>
          <w:rFonts w:ascii="Book Antiqua" w:hAnsi="Book Antiqua" w:cs="Arial"/>
          <w:sz w:val="28"/>
          <w:lang w:val="es-ES"/>
        </w:rPr>
      </w:pPr>
    </w:p>
    <w:p w14:paraId="47BAB83A" w14:textId="2AC3834D" w:rsidR="00AD66D2" w:rsidRPr="001B4071" w:rsidRDefault="00AD66D2" w:rsidP="00AD66D2">
      <w:pPr>
        <w:ind w:firstLine="720"/>
        <w:jc w:val="both"/>
        <w:rPr>
          <w:rFonts w:ascii="Book Antiqua" w:hAnsi="Book Antiqua" w:cs="Arial"/>
          <w:lang w:val="es-ES"/>
        </w:rPr>
      </w:pPr>
      <w:r>
        <w:rPr>
          <w:rFonts w:ascii="Book Antiqua" w:hAnsi="Book Antiqua" w:cs="Arial"/>
          <w:lang w:val="es-ES"/>
        </w:rPr>
        <w:t xml:space="preserve">La Comisión de Recreación y Deportes de la Cámara de Representantes de Puerto Rico, previo estudio y consideración de la misma, tiene a bien someter su Informe con relación al Proyecto del Senado 732, </w:t>
      </w:r>
      <w:r>
        <w:rPr>
          <w:rFonts w:ascii="Book Antiqua" w:hAnsi="Book Antiqua" w:cs="Arial"/>
          <w:b/>
          <w:lang w:val="es-ES"/>
        </w:rPr>
        <w:t>recomendando su aprobación</w:t>
      </w:r>
      <w:r>
        <w:rPr>
          <w:rFonts w:ascii="Book Antiqua" w:hAnsi="Book Antiqua" w:cs="Arial"/>
          <w:spacing w:val="-3"/>
          <w:lang w:val="es-ES"/>
        </w:rPr>
        <w:t xml:space="preserve"> </w:t>
      </w:r>
      <w:r>
        <w:rPr>
          <w:rFonts w:ascii="Book Antiqua" w:hAnsi="Book Antiqua" w:cs="Arial"/>
          <w:b/>
          <w:bCs/>
          <w:lang w:val="es-ES"/>
        </w:rPr>
        <w:t>sin enmiendas.</w:t>
      </w:r>
    </w:p>
    <w:p w14:paraId="60CE0AB1" w14:textId="77777777" w:rsidR="00BC7BDA" w:rsidRPr="001B4071" w:rsidRDefault="00BC7BDA" w:rsidP="007C7C83">
      <w:pPr>
        <w:jc w:val="both"/>
        <w:rPr>
          <w:rFonts w:ascii="Book Antiqua" w:hAnsi="Book Antiqua" w:cs="Arial"/>
          <w:szCs w:val="24"/>
          <w:lang w:val="es-ES"/>
        </w:rPr>
      </w:pPr>
    </w:p>
    <w:p w14:paraId="2C5E37CD" w14:textId="72775A1F" w:rsidR="00507B8B" w:rsidRDefault="00CC48FD" w:rsidP="00EC215B">
      <w:pPr>
        <w:pStyle w:val="Heading2"/>
        <w:rPr>
          <w:rFonts w:ascii="Book Antiqua" w:hAnsi="Book Antiqua"/>
          <w:lang w:val="es-ES"/>
        </w:rPr>
      </w:pPr>
      <w:r>
        <w:rPr>
          <w:rFonts w:ascii="Book Antiqua" w:hAnsi="Book Antiqua"/>
          <w:lang w:val="es-ES"/>
        </w:rPr>
        <w:t>ALCANCE DE LA MEDIDA</w:t>
      </w:r>
    </w:p>
    <w:p w14:paraId="358F830C" w14:textId="77777777" w:rsidR="00507B8B" w:rsidRDefault="00CC48FD">
      <w:pPr>
        <w:ind w:firstLine="720"/>
        <w:jc w:val="both"/>
        <w:rPr>
          <w:rFonts w:ascii="Book Antiqua" w:hAnsi="Book Antiqua" w:cs="Arial"/>
          <w:lang w:val="es-ES"/>
        </w:rPr>
      </w:pPr>
      <w:r>
        <w:rPr>
          <w:rFonts w:ascii="Book Antiqua" w:hAnsi="Book Antiqua" w:cs="Arial"/>
          <w:lang w:val="es-ES"/>
        </w:rPr>
        <w:t>E</w:t>
      </w:r>
      <w:r>
        <w:rPr>
          <w:rFonts w:ascii="Book Antiqua" w:hAnsi="Book Antiqua" w:cs="Arial"/>
          <w:lang w:val="es-ES"/>
        </w:rPr>
        <w:t xml:space="preserve">l Proyecto del Senado 732, presentado por el senador </w:t>
      </w:r>
      <w:r>
        <w:rPr>
          <w:rFonts w:ascii="Book Antiqua" w:hAnsi="Book Antiqua" w:cs="Arial"/>
          <w:i/>
          <w:iCs/>
          <w:lang w:val="es-ES"/>
        </w:rPr>
        <w:t>Rafael Santos Ortiz</w:t>
      </w:r>
      <w:r>
        <w:rPr>
          <w:rFonts w:ascii="Book Antiqua" w:hAnsi="Book Antiqua" w:cs="Arial"/>
          <w:lang w:val="es-ES"/>
        </w:rPr>
        <w:t xml:space="preserve"> y coautoría de los senadores y las senadoras </w:t>
      </w:r>
      <w:r>
        <w:rPr>
          <w:rFonts w:ascii="Book Antiqua" w:hAnsi="Book Antiqua" w:cs="Arial"/>
          <w:i/>
          <w:iCs/>
          <w:lang w:val="es-ES"/>
        </w:rPr>
        <w:t>Barlucea Rodríguez, Colón La Santa, Pérez Soto, Reyes Berríos, Román Rodríguez, Rosa Ramos y Sánchez Álvarez</w:t>
      </w:r>
      <w:r>
        <w:rPr>
          <w:rFonts w:ascii="Book Antiqua" w:hAnsi="Book Antiqua" w:cs="Arial"/>
          <w:lang w:val="es-ES"/>
        </w:rPr>
        <w:t>, propone añadir un nuevo inciso (h) al Artículo 13 de la Ley 8-2004, según enmendada, conocida como “Ley Orgánica del Departamento de Recreación y Deportes”, con el fin de establecer la obligatoriedad de que, en todos los torneos deportivos, competencias y en las escuelas especializadas en deporte, se garantice la presencia de, al menos, un (1) terapeuta atlético. La medida responde a una preocupació</w:t>
      </w:r>
      <w:r>
        <w:rPr>
          <w:rFonts w:ascii="Book Antiqua" w:hAnsi="Book Antiqua" w:cs="Arial"/>
          <w:lang w:val="es-ES"/>
        </w:rPr>
        <w:t>n legítima por la salud, la seguridad y el bienestar de los atletas puertorriqueños, particularmente de la niñez y juventud que participan en eventos deportivos organizados sin el respaldo clínico inmediato que la práctica moderna del deporte exige.</w:t>
      </w:r>
    </w:p>
    <w:p w14:paraId="5DA33973" w14:textId="77777777" w:rsidR="00507B8B" w:rsidRDefault="00507B8B">
      <w:pPr>
        <w:jc w:val="both"/>
        <w:rPr>
          <w:rFonts w:ascii="Book Antiqua" w:hAnsi="Book Antiqua" w:cs="Arial"/>
          <w:lang w:val="es-ES"/>
        </w:rPr>
      </w:pPr>
    </w:p>
    <w:p w14:paraId="59DFE5AA"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Conforme a la Exposición de Motivos, Puerto Rico ha sido testigo de innumerables casos en los cuales atletas, en especial jóvenes, sufren lesiones graves durante competencias o entrenamientos, muchas de ellas agravadas por la falta de atención médica inmediata y especializada. La figura del </w:t>
      </w:r>
      <w:r>
        <w:rPr>
          <w:rFonts w:ascii="Book Antiqua" w:hAnsi="Book Antiqua" w:cs="Arial"/>
          <w:i/>
          <w:iCs/>
          <w:lang w:val="es-ES"/>
        </w:rPr>
        <w:t>athletic trainer</w:t>
      </w:r>
      <w:r>
        <w:rPr>
          <w:rFonts w:ascii="Book Antiqua" w:hAnsi="Book Antiqua" w:cs="Arial"/>
          <w:lang w:val="es-ES"/>
        </w:rPr>
        <w:t xml:space="preserve"> o terapeuta atlético es un profesional de la salud especializado en la prevención, el reconocimiento, </w:t>
      </w:r>
      <w:r>
        <w:rPr>
          <w:rFonts w:ascii="Book Antiqua" w:hAnsi="Book Antiqua" w:cs="Arial"/>
          <w:lang w:val="es-ES"/>
        </w:rPr>
        <w:lastRenderedPageBreak/>
        <w:t xml:space="preserve">la evaluación, el manejo, el tratamiento y la rehabilitación de lesiones deportivas, y actúa bajo supervisión médica como primer respondedor ante eventos clínicos en el escenario competitivo. Estudios publicados en el </w:t>
      </w:r>
      <w:r>
        <w:rPr>
          <w:rFonts w:ascii="Book Antiqua" w:hAnsi="Book Antiqua" w:cs="Arial"/>
          <w:i/>
          <w:iCs/>
          <w:lang w:val="es-ES"/>
        </w:rPr>
        <w:t>Journal of Athletic Training</w:t>
      </w:r>
      <w:r>
        <w:rPr>
          <w:rFonts w:ascii="Book Antiqua" w:hAnsi="Book Antiqua" w:cs="Arial"/>
          <w:lang w:val="es-ES"/>
        </w:rPr>
        <w:t xml:space="preserve"> (2023) evidencian una reducción de hasta un cuarenta por ciento (40%) en la incidencia de lesiones en entornos donde hay terapeutas atléticos pres</w:t>
      </w:r>
      <w:r>
        <w:rPr>
          <w:rFonts w:ascii="Book Antiqua" w:hAnsi="Book Antiqua" w:cs="Arial"/>
          <w:lang w:val="es-ES"/>
        </w:rPr>
        <w:t>entes, mientras que en Texas la implementación de legislación análoga en el ámbito K-12 resultó en una reducción del treinta y cinco por ciento (35%) en emergencias deportivas. En Puerto Rico, un estudio del Hospital Pediátrico (2021) reveló que el noventa por ciento (90%) de las lesiones en jóvenes atletas ocurren sin supervisión médica inmediata.</w:t>
      </w:r>
    </w:p>
    <w:p w14:paraId="7D7A9261" w14:textId="77777777" w:rsidR="00507B8B" w:rsidRDefault="00507B8B">
      <w:pPr>
        <w:jc w:val="both"/>
        <w:rPr>
          <w:rFonts w:ascii="Book Antiqua" w:hAnsi="Book Antiqua" w:cs="Arial"/>
          <w:lang w:val="es-ES"/>
        </w:rPr>
      </w:pPr>
    </w:p>
    <w:p w14:paraId="624E9B75" w14:textId="77777777" w:rsidR="00507B8B" w:rsidRDefault="00CC48FD">
      <w:pPr>
        <w:ind w:firstLine="720"/>
        <w:jc w:val="both"/>
        <w:rPr>
          <w:rFonts w:ascii="Book Antiqua" w:hAnsi="Book Antiqua" w:cs="Arial"/>
          <w:lang w:val="es-ES"/>
        </w:rPr>
      </w:pPr>
      <w:r>
        <w:rPr>
          <w:rFonts w:ascii="Book Antiqua" w:hAnsi="Book Antiqua" w:cs="Arial"/>
          <w:lang w:val="es-ES"/>
        </w:rPr>
        <w:t>La pieza legislativa se apoya, de manera natural y coherente, en la Ley Núm. 132-2024, conocida como “Ley para Reglamentar la Práctica en Terapéutica Atlética y Regular la Profesión de los Terapeutas Atléticos”, la cual estableció el marco regulatorio y el licenciamiento de la profesión. Habiéndose regulado la profesión, el P. del S. 732 representa el próximo paso lógico: exigir la presencia del Terapeuta Atlético en los entornos deportivos que la propia Ley 132-2024 contempla como apropiados —instalaciones</w:t>
      </w:r>
      <w:r>
        <w:rPr>
          <w:rFonts w:ascii="Book Antiqua" w:hAnsi="Book Antiqua" w:cs="Arial"/>
          <w:lang w:val="es-ES"/>
        </w:rPr>
        <w:t xml:space="preserve"> recreativas, clínicas de terapéutica atlética, clínicas de medicina deportiva, instalaciones comunitarias, escuelas, universidades y deportes de todos los niveles competitivos—. Asimismo, la medida armoniza con los Reglamentos del Departamento de Recreación y Deportes Núm. 6360 (registro y acreditación de entidades recreativas y deportivas), 6422 (emisión de endosos y licencias) y 9179 (protección de menores en el deporte), los cuales ya requieren personal capacitado en primeros auxilios y resucitación car</w:t>
      </w:r>
      <w:r>
        <w:rPr>
          <w:rFonts w:ascii="Book Antiqua" w:hAnsi="Book Antiqua" w:cs="Arial"/>
          <w:lang w:val="es-ES"/>
        </w:rPr>
        <w:t>diopulmonar (RCP) en actividades con menores.</w:t>
      </w:r>
    </w:p>
    <w:p w14:paraId="7CAEB9E2" w14:textId="77777777" w:rsidR="00507B8B" w:rsidRDefault="00507B8B">
      <w:pPr>
        <w:jc w:val="both"/>
        <w:rPr>
          <w:rFonts w:ascii="Book Antiqua" w:hAnsi="Book Antiqua" w:cs="Arial"/>
          <w:lang w:val="es-ES"/>
        </w:rPr>
      </w:pPr>
    </w:p>
    <w:p w14:paraId="561DFFE5" w14:textId="77777777" w:rsidR="00507B8B" w:rsidRDefault="00CC48FD">
      <w:pPr>
        <w:ind w:firstLine="720"/>
        <w:jc w:val="both"/>
        <w:rPr>
          <w:rFonts w:ascii="Book Antiqua" w:hAnsi="Book Antiqua" w:cs="Arial"/>
          <w:lang w:val="es-ES"/>
        </w:rPr>
      </w:pPr>
      <w:r>
        <w:rPr>
          <w:rFonts w:ascii="Book Antiqua" w:hAnsi="Book Antiqua" w:cs="Arial"/>
          <w:lang w:val="es-ES"/>
        </w:rPr>
        <w:t>El texto del Proyecto ordena que la Comisión de Seguridad en la Recreación y el Deporte vele porque se garantice la presencia de, al menos, un terapeuta atlético en todo torneo deportivo y escuela especializada en deporte. Dicha presencia será financiada mediante acuerdos de colaboración con instituciones educativas, universidades acreditadas y programas de formación en terapéutica atlética, que permitan la participación de estudiantes en prácticas supervisadas o servicios voluntarios certificados, así como</w:t>
      </w:r>
      <w:r>
        <w:rPr>
          <w:rFonts w:ascii="Book Antiqua" w:hAnsi="Book Antiqua" w:cs="Arial"/>
          <w:lang w:val="es-ES"/>
        </w:rPr>
        <w:t xml:space="preserve"> mediante contribuciones de entidades privadas, patrocinadores deportivos o fondos no recurrentes del Departamento de Recreación y Deportes que no provengan del Fondo General. El Departamento supervisará el cumplimiento de este requisito en colaboración con las instituciones participantes, sin generar obligaciones fiscales para el Fondo General. Adicionalmente, se ordena al Secretario del Departamento de Recreación y Deportes a adoptar o enmendar toda reglamentación, carta circular o norma administrativa ne</w:t>
      </w:r>
      <w:r>
        <w:rPr>
          <w:rFonts w:ascii="Book Antiqua" w:hAnsi="Book Antiqua" w:cs="Arial"/>
          <w:lang w:val="es-ES"/>
        </w:rPr>
        <w:t>cesaria para dar cumplimiento a los fines de la ley, en un plazo de noventa (90) días contados a partir de su aprobación.</w:t>
      </w:r>
    </w:p>
    <w:p w14:paraId="57EEEA81" w14:textId="77777777" w:rsidR="00507B8B" w:rsidRDefault="00507B8B">
      <w:pPr>
        <w:jc w:val="both"/>
        <w:rPr>
          <w:rFonts w:ascii="Book Antiqua" w:hAnsi="Book Antiqua" w:cs="Arial"/>
          <w:lang w:val="es-ES"/>
        </w:rPr>
      </w:pPr>
    </w:p>
    <w:p w14:paraId="03A72970"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Finalmente, la medida incorpora una cláusula de separabilidad, de modo que la declaración de inconstitucionalidad o nulidad de una disposición no afecte a las restantes, y dispone que la Ley entrará en vigor inmediatamente después de su </w:t>
      </w:r>
      <w:r>
        <w:rPr>
          <w:rFonts w:ascii="Book Antiqua" w:hAnsi="Book Antiqua" w:cs="Arial"/>
          <w:lang w:val="es-ES"/>
        </w:rPr>
        <w:lastRenderedPageBreak/>
        <w:t>aprobación. En suma, el P. del S. 732 constituye una acción legislativa dirigida a fortalecer la política pública de seguridad deportiva del país, profesionalizar aún más los entornos competitivos y educativos, y proteger la integridad física y la carrera atlética de nuestra niñez, juventud y deportistas de alto rendimiento.</w:t>
      </w:r>
    </w:p>
    <w:p w14:paraId="3EED679C" w14:textId="77777777" w:rsidR="00507B8B" w:rsidRDefault="00507B8B">
      <w:pPr>
        <w:jc w:val="both"/>
        <w:rPr>
          <w:rFonts w:ascii="Book Antiqua" w:hAnsi="Book Antiqua" w:cs="Arial"/>
          <w:lang w:val="es-ES"/>
        </w:rPr>
      </w:pPr>
    </w:p>
    <w:p w14:paraId="34AC8ECF" w14:textId="77777777" w:rsidR="00507B8B" w:rsidRDefault="00CC48FD">
      <w:pPr>
        <w:pStyle w:val="Heading2"/>
        <w:rPr>
          <w:rFonts w:ascii="Book Antiqua" w:hAnsi="Book Antiqua"/>
          <w:lang w:val="es-ES"/>
        </w:rPr>
      </w:pPr>
      <w:r>
        <w:rPr>
          <w:rFonts w:ascii="Book Antiqua" w:hAnsi="Book Antiqua"/>
          <w:lang w:val="es-ES"/>
        </w:rPr>
        <w:t>ANÁLISIS DE LA MEDIDA</w:t>
      </w:r>
    </w:p>
    <w:p w14:paraId="5AEF6B72" w14:textId="77777777" w:rsidR="00507B8B" w:rsidRDefault="00507B8B">
      <w:pPr>
        <w:jc w:val="both"/>
        <w:rPr>
          <w:rFonts w:ascii="Book Antiqua" w:hAnsi="Book Antiqua" w:cs="Arial"/>
          <w:lang w:val="es-ES"/>
        </w:rPr>
      </w:pPr>
    </w:p>
    <w:p w14:paraId="2DF9E2DC" w14:textId="77777777" w:rsidR="00507B8B" w:rsidRDefault="00CC48FD">
      <w:pPr>
        <w:ind w:firstLine="720"/>
        <w:jc w:val="both"/>
        <w:rPr>
          <w:rFonts w:ascii="Book Antiqua" w:hAnsi="Book Antiqua" w:cs="Arial"/>
          <w:lang w:val="es-ES"/>
        </w:rPr>
      </w:pPr>
      <w:r>
        <w:rPr>
          <w:rFonts w:ascii="Book Antiqua" w:hAnsi="Book Antiqua" w:cs="Arial"/>
          <w:lang w:val="es-ES"/>
        </w:rPr>
        <w:t>Para la debida evaluación de la medida, la Comisión examinó los Memoriales Explicativos y las ponencias que fueron sometidos por las siguientes entidades y personas peritas ante el Cuerpo Hermano, y asimismo celebró vista pública el lunes, 20 de abril de 2026, en la cual se escuchó a los deponentes y se atendieron los puntos medulares del Proyecto. A continuación, se presentan los resúmenes correspondientes.</w:t>
      </w:r>
    </w:p>
    <w:p w14:paraId="6680E1B8" w14:textId="77777777" w:rsidR="00507B8B" w:rsidRDefault="00507B8B">
      <w:pPr>
        <w:jc w:val="both"/>
        <w:rPr>
          <w:rFonts w:ascii="Book Antiqua" w:hAnsi="Book Antiqua" w:cs="Arial"/>
          <w:lang w:val="es-ES"/>
        </w:rPr>
      </w:pPr>
    </w:p>
    <w:p w14:paraId="79603AD7" w14:textId="77777777" w:rsidR="00507B8B" w:rsidRDefault="00CC48FD">
      <w:pPr>
        <w:pStyle w:val="Heading2"/>
        <w:rPr>
          <w:rFonts w:ascii="Book Antiqua" w:hAnsi="Book Antiqua"/>
          <w:lang w:val="es-ES"/>
        </w:rPr>
      </w:pPr>
      <w:r>
        <w:rPr>
          <w:rFonts w:ascii="Book Antiqua" w:hAnsi="Book Antiqua"/>
          <w:lang w:val="es-ES"/>
        </w:rPr>
        <w:t>Memorial del Departamento de Recreación y Deportes (DRD)</w:t>
      </w:r>
    </w:p>
    <w:p w14:paraId="7BBE32A1" w14:textId="77777777" w:rsidR="00507B8B" w:rsidRDefault="00507B8B">
      <w:pPr>
        <w:jc w:val="both"/>
        <w:rPr>
          <w:rFonts w:ascii="Book Antiqua" w:hAnsi="Book Antiqua" w:cs="Arial"/>
          <w:lang w:val="es-ES"/>
        </w:rPr>
      </w:pPr>
    </w:p>
    <w:p w14:paraId="4AA93350"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El Departamento de Recreación y Deportes, por conducto de su Secretario, el señor Héctor R. Vázquez Muñiz, </w:t>
      </w:r>
      <w:r>
        <w:rPr>
          <w:rFonts w:ascii="Book Antiqua" w:hAnsi="Book Antiqua" w:cs="Arial"/>
          <w:b/>
          <w:bCs/>
          <w:lang w:val="es-ES"/>
        </w:rPr>
        <w:t>apoya el Proyecto del Senado 732</w:t>
      </w:r>
      <w:r>
        <w:rPr>
          <w:rFonts w:ascii="Book Antiqua" w:hAnsi="Book Antiqua" w:cs="Arial"/>
          <w:lang w:val="es-ES"/>
        </w:rPr>
        <w:t xml:space="preserve">. El Departamento reconoce que la Ley 8-2004 le impone el deber de proveer condiciones adecuadas de seguridad para toda actividad de recreación y deporte, y considera que la presencia del Terapeuta Atlético fortalece ese mandato de forma sustantiva. El memorial destaca que la Terapia Atlética es una profesión aliada a la salud, reconocida por la </w:t>
      </w:r>
      <w:r>
        <w:rPr>
          <w:rFonts w:ascii="Book Antiqua" w:hAnsi="Book Antiqua" w:cs="Arial"/>
          <w:i/>
          <w:iCs/>
          <w:lang w:val="es-ES"/>
        </w:rPr>
        <w:t>American Medical Association</w:t>
      </w:r>
      <w:r>
        <w:rPr>
          <w:rFonts w:ascii="Book Antiqua" w:hAnsi="Book Antiqua" w:cs="Arial"/>
          <w:lang w:val="es-ES"/>
        </w:rPr>
        <w:t xml:space="preserve"> desde el año 1990, y que en Puerto Rico existe la Organización de Terapeutas Atléticos de Puerto Rico (</w:t>
      </w:r>
      <w:r>
        <w:rPr>
          <w:rFonts w:ascii="Book Antiqua" w:hAnsi="Book Antiqua" w:cs="Arial"/>
          <w:lang w:val="es-ES"/>
        </w:rPr>
        <w:t>OTAPUR), así como programas universitarios acreditados desde el año 1993.</w:t>
      </w:r>
    </w:p>
    <w:p w14:paraId="58226265" w14:textId="77777777" w:rsidR="00507B8B" w:rsidRDefault="00507B8B">
      <w:pPr>
        <w:jc w:val="both"/>
        <w:rPr>
          <w:rFonts w:ascii="Book Antiqua" w:hAnsi="Book Antiqua" w:cs="Arial"/>
          <w:lang w:val="es-ES"/>
        </w:rPr>
      </w:pPr>
    </w:p>
    <w:p w14:paraId="3A25B0D5" w14:textId="77777777" w:rsidR="00507B8B" w:rsidRDefault="00CC48FD">
      <w:pPr>
        <w:ind w:firstLine="720"/>
        <w:jc w:val="both"/>
        <w:rPr>
          <w:rFonts w:ascii="Book Antiqua" w:hAnsi="Book Antiqua" w:cs="Arial"/>
          <w:lang w:val="es-ES"/>
        </w:rPr>
      </w:pPr>
      <w:r>
        <w:rPr>
          <w:rFonts w:ascii="Book Antiqua" w:hAnsi="Book Antiqua" w:cs="Arial"/>
          <w:lang w:val="es-ES"/>
        </w:rPr>
        <w:t>El DRD enumera cinco razones por las cuales endosa la medida: (i) la protección de la salud y la seguridad de los atletas; (ii) la prevención de lesiones; (iii) la atención inmediata y especializada de lesiones en el campo de juego; (iv) el cumplimiento y armonización con la Ley Núm. 132-2024; y (v) la mejora del rendimiento deportivo. Recomienda, como medidas complementarias a ser atendidas mediante reglamentación, la verificación de la licencia profesional del terapeuta, el cumplimiento riguroso con la Le</w:t>
      </w:r>
      <w:r>
        <w:rPr>
          <w:rFonts w:ascii="Book Antiqua" w:hAnsi="Book Antiqua" w:cs="Arial"/>
          <w:lang w:val="es-ES"/>
        </w:rPr>
        <w:t xml:space="preserve">y 132-2024, la adopción de un plan de seguridad y evaluación de riesgos para cada evento, la integración expresa del terapeuta en el plan de emergencias y la suscripción de contratos de servicios con términos claros. Estas recomendaciones no alteran el texto propuesto y son perfectamente viables a través del proceso reglamentario que el propio Proyecto ordena al </w:t>
      </w:r>
      <w:proofErr w:type="gramStart"/>
      <w:r>
        <w:rPr>
          <w:rFonts w:ascii="Book Antiqua" w:hAnsi="Book Antiqua" w:cs="Arial"/>
          <w:lang w:val="es-ES"/>
        </w:rPr>
        <w:t>Secretario</w:t>
      </w:r>
      <w:proofErr w:type="gramEnd"/>
      <w:r>
        <w:rPr>
          <w:rFonts w:ascii="Book Antiqua" w:hAnsi="Book Antiqua" w:cs="Arial"/>
          <w:lang w:val="es-ES"/>
        </w:rPr>
        <w:t xml:space="preserve"> en su Sección 2.</w:t>
      </w:r>
    </w:p>
    <w:p w14:paraId="2F02A673" w14:textId="77777777" w:rsidR="00EC215B" w:rsidRDefault="00EC215B">
      <w:pPr>
        <w:ind w:firstLine="720"/>
        <w:jc w:val="both"/>
        <w:rPr>
          <w:rFonts w:ascii="Book Antiqua" w:hAnsi="Book Antiqua" w:cs="Arial"/>
          <w:lang w:val="es-ES"/>
        </w:rPr>
      </w:pPr>
    </w:p>
    <w:p w14:paraId="52FDA3AF" w14:textId="77777777" w:rsidR="00507B8B" w:rsidRDefault="00507B8B">
      <w:pPr>
        <w:jc w:val="both"/>
        <w:rPr>
          <w:rFonts w:ascii="Book Antiqua" w:hAnsi="Book Antiqua" w:cs="Arial"/>
          <w:lang w:val="es-ES"/>
        </w:rPr>
      </w:pPr>
    </w:p>
    <w:p w14:paraId="677D5547" w14:textId="77777777" w:rsidR="00507B8B" w:rsidRDefault="00CC48FD">
      <w:pPr>
        <w:pStyle w:val="Heading2"/>
        <w:rPr>
          <w:rFonts w:ascii="Book Antiqua" w:hAnsi="Book Antiqua"/>
          <w:lang w:val="es-ES"/>
        </w:rPr>
      </w:pPr>
      <w:r>
        <w:rPr>
          <w:rFonts w:ascii="Book Antiqua" w:hAnsi="Book Antiqua"/>
          <w:lang w:val="es-ES"/>
        </w:rPr>
        <w:lastRenderedPageBreak/>
        <w:t>Informe de la Oficina de Presupuesto de la Asamblea Legislativa (OPAL)</w:t>
      </w:r>
    </w:p>
    <w:p w14:paraId="4E3D636D" w14:textId="77777777" w:rsidR="00507B8B" w:rsidRDefault="00507B8B">
      <w:pPr>
        <w:jc w:val="both"/>
        <w:rPr>
          <w:rFonts w:ascii="Book Antiqua" w:hAnsi="Book Antiqua" w:cs="Arial"/>
          <w:lang w:val="es-ES"/>
        </w:rPr>
      </w:pPr>
    </w:p>
    <w:p w14:paraId="241C3640"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La Oficina de Presupuesto de la Asamblea Legislativa, mediante su Informe 2026-224 preparado bajo la dirección del Lcdo. Hecrian D. Martínez Martínez, presenta una evaluación fiscal </w:t>
      </w:r>
      <w:r>
        <w:rPr>
          <w:rFonts w:ascii="Book Antiqua" w:hAnsi="Book Antiqua" w:cs="Arial"/>
          <w:i/>
          <w:iCs/>
          <w:lang w:val="es-ES"/>
        </w:rPr>
        <w:t>neutral</w:t>
      </w:r>
      <w:r>
        <w:rPr>
          <w:rFonts w:ascii="Book Antiqua" w:hAnsi="Book Antiqua" w:cs="Arial"/>
          <w:lang w:val="es-ES"/>
        </w:rPr>
        <w:t xml:space="preserve"> de la medida, aclarando que la emisión del informe no implica endoso ni rechazo. La OPAL concluye que, de aprobarse el Proyecto, el costo fiscal </w:t>
      </w:r>
      <w:r>
        <w:rPr>
          <w:rFonts w:ascii="Book Antiqua" w:hAnsi="Book Antiqua" w:cs="Arial"/>
          <w:b/>
          <w:bCs/>
          <w:lang w:val="es-ES"/>
        </w:rPr>
        <w:t>mínimo</w:t>
      </w:r>
      <w:r>
        <w:rPr>
          <w:rFonts w:ascii="Book Antiqua" w:hAnsi="Book Antiqua" w:cs="Arial"/>
          <w:lang w:val="es-ES"/>
        </w:rPr>
        <w:t xml:space="preserve"> sobre el Fondo General para el año fiscal 2026 ascendería a ciento noventa y ocho mil ochocientos noventa y cuatro dólares ($198,894), correspondiente a la contratación de un (1) terapeuta atlético para cada una de las siete (7) escuelas especializadas en Deportes del Departamento de Educación de Puerto Rico.</w:t>
      </w:r>
    </w:p>
    <w:p w14:paraId="6959ED12" w14:textId="77777777" w:rsidR="00507B8B" w:rsidRDefault="00507B8B">
      <w:pPr>
        <w:jc w:val="both"/>
        <w:rPr>
          <w:rFonts w:ascii="Book Antiqua" w:hAnsi="Book Antiqua" w:cs="Arial"/>
          <w:lang w:val="es-ES"/>
        </w:rPr>
      </w:pPr>
    </w:p>
    <w:p w14:paraId="39E8B1BE" w14:textId="77777777" w:rsidR="00507B8B" w:rsidRDefault="00CC48FD">
      <w:pPr>
        <w:ind w:firstLine="720"/>
        <w:jc w:val="both"/>
        <w:rPr>
          <w:rFonts w:ascii="Book Antiqua" w:hAnsi="Book Antiqua" w:cs="Arial"/>
          <w:lang w:val="es-ES"/>
        </w:rPr>
      </w:pPr>
      <w:r>
        <w:rPr>
          <w:rFonts w:ascii="Book Antiqua" w:hAnsi="Book Antiqua" w:cs="Arial"/>
          <w:lang w:val="es-ES"/>
        </w:rPr>
        <w:t>La metodología del estimado asume la clasificación del terapeuta como “Terapista III” del Plan de Clasificación y Retribución del Departamento de Educación, con un salario anual de veinticinco mil ochocientos dieciocho dólares ($25,818), un dieciséis por ciento (16%) de beneficios marginales, una tasa efectiva marginal contributiva de dos punto ocho por ciento (2.8%) y una tasa tributable efectiva del IVU de ocho por ciento (8.0%) sobre el gasto personal. La OPAL aclara que el estimado no incluye los costos</w:t>
      </w:r>
      <w:r>
        <w:rPr>
          <w:rFonts w:ascii="Book Antiqua" w:hAnsi="Book Antiqua" w:cs="Arial"/>
          <w:lang w:val="es-ES"/>
        </w:rPr>
        <w:t xml:space="preserve"> potenciales al sector privado —organizadores de torneos y competencias— por cuanto no existe, al presente, información precisa sobre el universo de eventos deportivos celebrados anualmente en Puerto Rico. Cabe destacar que el propio texto del Proyecto dispone que las obligaciones del nuevo inciso (h) se financien mediante acuerdos de colaboración, contribuciones privadas y fondos no recurrentes que </w:t>
      </w:r>
      <w:r>
        <w:rPr>
          <w:rFonts w:ascii="Book Antiqua" w:hAnsi="Book Antiqua" w:cs="Arial"/>
          <w:i/>
          <w:iCs/>
          <w:lang w:val="es-ES"/>
        </w:rPr>
        <w:t>no provengan del Fondo General</w:t>
      </w:r>
      <w:r>
        <w:rPr>
          <w:rFonts w:ascii="Book Antiqua" w:hAnsi="Book Antiqua" w:cs="Arial"/>
          <w:lang w:val="es-ES"/>
        </w:rPr>
        <w:t>, lo cual mitiga de manera expresa el impacto fiscal identificado por la OPAL.</w:t>
      </w:r>
    </w:p>
    <w:p w14:paraId="2EF79693" w14:textId="77777777" w:rsidR="00507B8B" w:rsidRDefault="00507B8B">
      <w:pPr>
        <w:jc w:val="both"/>
        <w:rPr>
          <w:rFonts w:ascii="Book Antiqua" w:hAnsi="Book Antiqua" w:cs="Arial"/>
          <w:lang w:val="es-ES"/>
        </w:rPr>
      </w:pPr>
    </w:p>
    <w:p w14:paraId="340EEFF4" w14:textId="13B84F04" w:rsidR="00507B8B" w:rsidRDefault="00CC48FD" w:rsidP="00EC215B">
      <w:pPr>
        <w:pStyle w:val="Heading2"/>
        <w:rPr>
          <w:rFonts w:ascii="Book Antiqua" w:hAnsi="Book Antiqua"/>
          <w:lang w:val="es-ES"/>
        </w:rPr>
      </w:pPr>
      <w:r>
        <w:rPr>
          <w:rFonts w:ascii="Book Antiqua" w:hAnsi="Book Antiqua"/>
          <w:lang w:val="es-ES"/>
        </w:rPr>
        <w:t>Memorial del Comité Olímpico de Puerto Rico (COPUR)</w:t>
      </w:r>
    </w:p>
    <w:p w14:paraId="6664A9FE" w14:textId="77777777" w:rsidR="00EC215B" w:rsidRDefault="00EC215B" w:rsidP="00EC215B">
      <w:pPr>
        <w:rPr>
          <w:lang w:val="es-ES"/>
        </w:rPr>
      </w:pPr>
    </w:p>
    <w:p w14:paraId="5DEADA37" w14:textId="77777777" w:rsidR="00EC215B" w:rsidRPr="00EC215B" w:rsidRDefault="00EC215B" w:rsidP="00EC215B">
      <w:pPr>
        <w:rPr>
          <w:lang w:val="es-ES"/>
        </w:rPr>
      </w:pPr>
    </w:p>
    <w:p w14:paraId="3C1829D9" w14:textId="77777777" w:rsidR="00507B8B" w:rsidRDefault="00CC48FD">
      <w:pPr>
        <w:ind w:firstLine="720"/>
        <w:jc w:val="both"/>
        <w:rPr>
          <w:rFonts w:ascii="Book Antiqua" w:hAnsi="Book Antiqua" w:cs="Arial"/>
          <w:lang w:val="es-ES"/>
        </w:rPr>
      </w:pPr>
      <w:r>
        <w:rPr>
          <w:rFonts w:ascii="Book Antiqua" w:hAnsi="Book Antiqua" w:cs="Arial"/>
          <w:lang w:val="es-ES"/>
        </w:rPr>
        <w:t>L</w:t>
      </w:r>
      <w:r>
        <w:rPr>
          <w:rFonts w:ascii="Book Antiqua" w:hAnsi="Book Antiqua" w:cs="Arial"/>
          <w:lang w:val="es-ES"/>
        </w:rPr>
        <w:t xml:space="preserve">a Sra. Sara Rosario, </w:t>
      </w:r>
      <w:proofErr w:type="gramStart"/>
      <w:r>
        <w:rPr>
          <w:rFonts w:ascii="Book Antiqua" w:hAnsi="Book Antiqua" w:cs="Arial"/>
          <w:lang w:val="es-ES"/>
        </w:rPr>
        <w:t>Presidenta</w:t>
      </w:r>
      <w:proofErr w:type="gramEnd"/>
      <w:r>
        <w:rPr>
          <w:rFonts w:ascii="Book Antiqua" w:hAnsi="Book Antiqua" w:cs="Arial"/>
          <w:lang w:val="es-ES"/>
        </w:rPr>
        <w:t xml:space="preserve"> del Comité Olímpico de Puerto Rico, </w:t>
      </w:r>
      <w:r>
        <w:rPr>
          <w:rFonts w:ascii="Book Antiqua" w:hAnsi="Book Antiqua" w:cs="Arial"/>
          <w:b/>
          <w:bCs/>
          <w:lang w:val="es-ES"/>
        </w:rPr>
        <w:t>apoya la medida</w:t>
      </w:r>
      <w:r>
        <w:rPr>
          <w:rFonts w:ascii="Book Antiqua" w:hAnsi="Book Antiqua" w:cs="Arial"/>
          <w:lang w:val="es-ES"/>
        </w:rPr>
        <w:t xml:space="preserve"> y reconoce la necesidad e importancia del Terapeuta Atlético como profesional de la salud en el entorno deportivo. El COPUR describe su propia práctica institucional: cuenta con terapeutas atléticos en sus eventos principales —Festival Olímpico de Playa, Festival Olímpico Femenino, Tierra de Combate y Copa Olímpica— y mantiene un Acuerdo de Colaboración con el Recinto de Ponce de la Universidad de Puerto Rico, mediante el cu</w:t>
      </w:r>
      <w:r>
        <w:rPr>
          <w:rFonts w:ascii="Book Antiqua" w:hAnsi="Book Antiqua" w:cs="Arial"/>
          <w:lang w:val="es-ES"/>
        </w:rPr>
        <w:t xml:space="preserve">al terapeutas estudiantes, bajo supervisión de médicos y terapeutas facultados, adquieren experiencia en entornos clínicos reales. Desde la inauguración del Albergue Olímpico en Salinas en 1987 opera el Centro de Ciencias del Ejercicio y Salud Deportiva (SADCE), en coordinación con el Recinto de Ciencias Médicas de la UPR, el </w:t>
      </w:r>
      <w:r>
        <w:rPr>
          <w:rFonts w:ascii="Book Antiqua" w:hAnsi="Book Antiqua" w:cs="Arial"/>
          <w:lang w:val="es-ES"/>
        </w:rPr>
        <w:lastRenderedPageBreak/>
        <w:t>cual pone a disposición del deporte olímpico el personal médico necesario para el cuidado integral de las selecciones nacionales.</w:t>
      </w:r>
    </w:p>
    <w:p w14:paraId="060A4B3E" w14:textId="77777777" w:rsidR="00507B8B" w:rsidRDefault="00507B8B">
      <w:pPr>
        <w:jc w:val="both"/>
        <w:rPr>
          <w:rFonts w:ascii="Book Antiqua" w:hAnsi="Book Antiqua" w:cs="Arial"/>
          <w:lang w:val="es-ES"/>
        </w:rPr>
      </w:pPr>
    </w:p>
    <w:p w14:paraId="53F54218" w14:textId="77777777" w:rsidR="00507B8B" w:rsidRDefault="00CC48FD">
      <w:pPr>
        <w:ind w:firstLine="720"/>
        <w:jc w:val="both"/>
        <w:rPr>
          <w:rFonts w:ascii="Book Antiqua" w:hAnsi="Book Antiqua" w:cs="Arial"/>
          <w:lang w:val="es-ES"/>
        </w:rPr>
      </w:pPr>
      <w:r>
        <w:rPr>
          <w:rFonts w:ascii="Book Antiqua" w:hAnsi="Book Antiqua" w:cs="Arial"/>
          <w:lang w:val="es-ES"/>
        </w:rPr>
        <w:t>El COPUR advierte que no todas las organizaciones deportivas y federaciones pueden cubrir por sí solas los costos del profesional, y solicita que la medida venga acompañada de herramientas de colaboración que faciliten el cumplimiento —incluyendo acuerdos con universidades e instituciones de formación—. Estas preocupaciones quedan razonablemente atendidas en el propio texto del Proyecto, que autoriza expresamente el uso de acuerdos de colaboración con instituciones educativas, universidades acreditadas y pr</w:t>
      </w:r>
      <w:r>
        <w:rPr>
          <w:rFonts w:ascii="Book Antiqua" w:hAnsi="Book Antiqua" w:cs="Arial"/>
          <w:lang w:val="es-ES"/>
        </w:rPr>
        <w:t>ogramas de formación como vía de financiamiento, así como las contribuciones privadas y de patrocinadores deportivos.</w:t>
      </w:r>
    </w:p>
    <w:p w14:paraId="02F571E2" w14:textId="77777777" w:rsidR="00507B8B" w:rsidRDefault="00507B8B">
      <w:pPr>
        <w:jc w:val="both"/>
        <w:rPr>
          <w:rFonts w:ascii="Book Antiqua" w:hAnsi="Book Antiqua" w:cs="Arial"/>
          <w:lang w:val="es-ES"/>
        </w:rPr>
      </w:pPr>
    </w:p>
    <w:p w14:paraId="1D1E9271" w14:textId="77777777" w:rsidR="00507B8B" w:rsidRDefault="00CC48FD">
      <w:pPr>
        <w:pStyle w:val="Heading2"/>
        <w:rPr>
          <w:rFonts w:ascii="Book Antiqua" w:hAnsi="Book Antiqua"/>
          <w:lang w:val="es-ES"/>
        </w:rPr>
      </w:pPr>
      <w:r>
        <w:rPr>
          <w:rFonts w:ascii="Book Antiqua" w:hAnsi="Book Antiqua"/>
          <w:lang w:val="es-ES"/>
        </w:rPr>
        <w:t>Memorial de la Oficina del Procurador del Ciudadano (Ombudsman)</w:t>
      </w:r>
    </w:p>
    <w:p w14:paraId="38E4BA64" w14:textId="77777777" w:rsidR="00507B8B" w:rsidRDefault="00507B8B">
      <w:pPr>
        <w:jc w:val="both"/>
        <w:rPr>
          <w:rFonts w:ascii="Book Antiqua" w:hAnsi="Book Antiqua" w:cs="Arial"/>
          <w:lang w:val="es-ES"/>
        </w:rPr>
      </w:pPr>
    </w:p>
    <w:p w14:paraId="39CF67CB"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La Oficina del Procurador del Ciudadano, por conducto del Procurador Interino, Lcdo. Rolando J. Meléndez Aponte, </w:t>
      </w:r>
      <w:r>
        <w:rPr>
          <w:rFonts w:ascii="Book Antiqua" w:hAnsi="Book Antiqua" w:cs="Arial"/>
          <w:b/>
          <w:bCs/>
          <w:lang w:val="es-ES"/>
        </w:rPr>
        <w:t>apoya la medida</w:t>
      </w:r>
      <w:r>
        <w:rPr>
          <w:rFonts w:ascii="Book Antiqua" w:hAnsi="Book Antiqua" w:cs="Arial"/>
          <w:lang w:val="es-ES"/>
        </w:rPr>
        <w:t xml:space="preserve"> y destaca que, con la aprobación de la Ley Núm. 132-2024, ya se reglamentó la profesión y se estableció el licenciamiento del terapeuta atlético; por tanto, corresponde ahora exigir su presencia e intervención en los entornos deportivos para beneficio, particularmente, de la niñez y adolescencia. El memorial explica el alcance profesional del terapeuta atlético —prevención, evaluación preliminar, intervención inmediata, administración de primeros auxilios, diseño y aplicación de rehabilitaci</w:t>
      </w:r>
      <w:r>
        <w:rPr>
          <w:rFonts w:ascii="Book Antiqua" w:hAnsi="Book Antiqua" w:cs="Arial"/>
          <w:lang w:val="es-ES"/>
        </w:rPr>
        <w:t>ón física, y colaboración interdisciplinaria— y señala que, conforme a los datos disponibles, existen aproximadamente cuatrocientos (400) terapeutas atléticos licenciados actualmente en Puerto Rico, organizados bajo la OTAPUR, con programas universitarios acreditados.</w:t>
      </w:r>
    </w:p>
    <w:p w14:paraId="64CDABF0" w14:textId="77777777" w:rsidR="00507B8B" w:rsidRDefault="00507B8B">
      <w:pPr>
        <w:jc w:val="both"/>
        <w:rPr>
          <w:rFonts w:ascii="Book Antiqua" w:hAnsi="Book Antiqua" w:cs="Arial"/>
          <w:lang w:val="es-ES"/>
        </w:rPr>
      </w:pPr>
    </w:p>
    <w:p w14:paraId="414A042F" w14:textId="77777777" w:rsidR="00507B8B" w:rsidRDefault="00CC48FD">
      <w:pPr>
        <w:ind w:firstLine="720"/>
        <w:jc w:val="both"/>
        <w:rPr>
          <w:rFonts w:ascii="Book Antiqua" w:hAnsi="Book Antiqua" w:cs="Arial"/>
          <w:lang w:val="es-ES"/>
        </w:rPr>
      </w:pPr>
      <w:r>
        <w:rPr>
          <w:rFonts w:ascii="Book Antiqua" w:hAnsi="Book Antiqua" w:cs="Arial"/>
          <w:lang w:val="es-ES"/>
        </w:rPr>
        <w:t>El Procurador Interino plantea dos consideraciones prudenciales: (i) que se evalúe la capacidad real de la oferta profesional para satisfacer la demanda que se generaría, y (ii) el posible impacto de costos sobre los organizadores de eventos deportivos. Estas consideraciones no menoscaban el apoyo de la Oficina a la medida y quedan atendidas mediante la flexibilidad de las modalidades de financiamiento que el propio Proyecto autoriza (acuerdos colaborativos con universidades, estudiantes supervisados, contr</w:t>
      </w:r>
      <w:r>
        <w:rPr>
          <w:rFonts w:ascii="Book Antiqua" w:hAnsi="Book Antiqua" w:cs="Arial"/>
          <w:lang w:val="es-ES"/>
        </w:rPr>
        <w:t>ibuciones privadas y patrocinios), así como mediante el plazo reglamentario de noventa (90) días dispuesto en la Sección 2.</w:t>
      </w:r>
    </w:p>
    <w:p w14:paraId="4F8F4B6D" w14:textId="77777777" w:rsidR="00507B8B" w:rsidRDefault="00507B8B">
      <w:pPr>
        <w:jc w:val="both"/>
        <w:rPr>
          <w:rFonts w:ascii="Book Antiqua" w:hAnsi="Book Antiqua" w:cs="Arial"/>
          <w:lang w:val="es-ES"/>
        </w:rPr>
      </w:pPr>
    </w:p>
    <w:p w14:paraId="474D71F5" w14:textId="77777777" w:rsidR="00507B8B" w:rsidRDefault="00CC48FD">
      <w:pPr>
        <w:pStyle w:val="Heading2"/>
        <w:rPr>
          <w:rFonts w:ascii="Book Antiqua" w:hAnsi="Book Antiqua"/>
          <w:lang w:val="es-ES"/>
        </w:rPr>
      </w:pPr>
      <w:r>
        <w:rPr>
          <w:rFonts w:ascii="Book Antiqua" w:hAnsi="Book Antiqua"/>
          <w:lang w:val="es-ES"/>
        </w:rPr>
        <w:t>Ponencia de la Liga Atlética Interuniversitaria (LAI)</w:t>
      </w:r>
    </w:p>
    <w:p w14:paraId="0119AA49" w14:textId="77777777" w:rsidR="00507B8B" w:rsidRDefault="00507B8B">
      <w:pPr>
        <w:jc w:val="both"/>
        <w:rPr>
          <w:rFonts w:ascii="Book Antiqua" w:hAnsi="Book Antiqua" w:cs="Arial"/>
          <w:lang w:val="es-ES"/>
        </w:rPr>
      </w:pPr>
    </w:p>
    <w:p w14:paraId="50A663AC"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La Liga Atlética Interuniversitaria, mediante su Comisionado, el Lcdo. Jorge O. Sosa Ramírez, </w:t>
      </w:r>
      <w:r>
        <w:rPr>
          <w:rFonts w:ascii="Book Antiqua" w:hAnsi="Book Antiqua" w:cs="Arial"/>
          <w:b/>
          <w:bCs/>
          <w:lang w:val="es-ES"/>
        </w:rPr>
        <w:t>endosa el Proyecto del Senado 732</w:t>
      </w:r>
      <w:r>
        <w:rPr>
          <w:rFonts w:ascii="Book Antiqua" w:hAnsi="Book Antiqua" w:cs="Arial"/>
          <w:lang w:val="es-ES"/>
        </w:rPr>
        <w:t xml:space="preserve">. La LAI informa que, como cuestión de práctica institucional consolidada, las universidades ya llevan uno o más terapeutas atléticos con sus equipos a las competencias, y que algunas adicionalmente contratan o </w:t>
      </w:r>
      <w:r>
        <w:rPr>
          <w:rFonts w:ascii="Book Antiqua" w:hAnsi="Book Antiqua" w:cs="Arial"/>
          <w:lang w:val="es-ES"/>
        </w:rPr>
        <w:lastRenderedPageBreak/>
        <w:t>disponen de enfermeros para atender situaciones de juego, a los cuales se les debe garantizar un espacio adecuado para prepararse y laborar. La experiencia universitaria confirma la viabilidad operacional del modelo que el Proyecto persigue instaurar con carácter gene</w:t>
      </w:r>
      <w:r>
        <w:rPr>
          <w:rFonts w:ascii="Book Antiqua" w:hAnsi="Book Antiqua" w:cs="Arial"/>
          <w:lang w:val="es-ES"/>
        </w:rPr>
        <w:t>ral, y valida los beneficios clínicos, educativos y reputacionales que la medida generaría al extender el estándar al resto del ecosistema deportivo puertorriqueño.</w:t>
      </w:r>
    </w:p>
    <w:p w14:paraId="1A4A9D52" w14:textId="77777777" w:rsidR="00507B8B" w:rsidRDefault="00507B8B">
      <w:pPr>
        <w:jc w:val="both"/>
        <w:rPr>
          <w:rFonts w:ascii="Book Antiqua" w:hAnsi="Book Antiqua" w:cs="Arial"/>
          <w:lang w:val="es-ES"/>
        </w:rPr>
      </w:pPr>
    </w:p>
    <w:p w14:paraId="3B821DF1" w14:textId="77777777" w:rsidR="00507B8B" w:rsidRDefault="00CC48FD">
      <w:pPr>
        <w:pStyle w:val="Heading2"/>
        <w:rPr>
          <w:rFonts w:ascii="Book Antiqua" w:hAnsi="Book Antiqua"/>
          <w:lang w:val="es-ES"/>
        </w:rPr>
      </w:pPr>
      <w:r>
        <w:rPr>
          <w:rFonts w:ascii="Book Antiqua" w:hAnsi="Book Antiqua"/>
          <w:lang w:val="es-ES"/>
        </w:rPr>
        <w:t>Ponencia de Buzzer Beater, LLC</w:t>
      </w:r>
    </w:p>
    <w:p w14:paraId="09C38783" w14:textId="77777777" w:rsidR="00507B8B" w:rsidRDefault="00507B8B">
      <w:pPr>
        <w:jc w:val="both"/>
        <w:rPr>
          <w:rFonts w:ascii="Book Antiqua" w:hAnsi="Book Antiqua" w:cs="Arial"/>
          <w:lang w:val="es-ES"/>
        </w:rPr>
      </w:pPr>
    </w:p>
    <w:p w14:paraId="2D3261B7"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Buzzer Beater, LLC, por conducto de su Presidente, el Sr. Bryan Eloy García, </w:t>
      </w:r>
      <w:r>
        <w:rPr>
          <w:rFonts w:ascii="Book Antiqua" w:hAnsi="Book Antiqua" w:cs="Arial"/>
          <w:b/>
          <w:bCs/>
          <w:lang w:val="es-ES"/>
        </w:rPr>
        <w:t>apoya la aprobación del Proyecto del Senado 732</w:t>
      </w:r>
      <w:r>
        <w:rPr>
          <w:rFonts w:ascii="Book Antiqua" w:hAnsi="Book Antiqua" w:cs="Arial"/>
          <w:lang w:val="es-ES"/>
        </w:rPr>
        <w:t xml:space="preserve">. La entidad informa que todos los torneos que organiza cuentan con un </w:t>
      </w:r>
      <w:r>
        <w:rPr>
          <w:rFonts w:ascii="Book Antiqua" w:hAnsi="Book Antiqua" w:cs="Arial"/>
          <w:i/>
          <w:iCs/>
          <w:lang w:val="es-ES"/>
        </w:rPr>
        <w:t>trainer</w:t>
      </w:r>
      <w:r>
        <w:rPr>
          <w:rFonts w:ascii="Book Antiqua" w:hAnsi="Book Antiqua" w:cs="Arial"/>
          <w:lang w:val="es-ES"/>
        </w:rPr>
        <w:t xml:space="preserve"> disponible en todo momento y con coordinación de ambulancias y paramédicos para emergencias mayores, reconociendo así el valor del profesional para la evaluación preliminar, el manejo de lesiones y la decisión oportuna de traslado hospitalario. Buzzer Beater señala con responsabilidad tres áreas de implementación que merecen atención durante el proceso reglamentario: (i) la disponibi</w:t>
      </w:r>
      <w:r>
        <w:rPr>
          <w:rFonts w:ascii="Book Antiqua" w:hAnsi="Book Antiqua" w:cs="Arial"/>
          <w:lang w:val="es-ES"/>
        </w:rPr>
        <w:t>lidad de profesionales ante la multiplicidad de torneos simultáneos; (ii) la razonabilidad de los costos para organizadores —en su mayoría torneos escolares que recaudan fondos para graduaciones, equipo y uniformes—; y (iii) la necesidad de un período de transición razonable para ajustar los torneos a la nueva realidad.</w:t>
      </w:r>
    </w:p>
    <w:p w14:paraId="00DB7B02" w14:textId="77777777" w:rsidR="00507B8B" w:rsidRDefault="00507B8B">
      <w:pPr>
        <w:jc w:val="both"/>
        <w:rPr>
          <w:rFonts w:ascii="Book Antiqua" w:hAnsi="Book Antiqua" w:cs="Arial"/>
          <w:lang w:val="es-ES"/>
        </w:rPr>
      </w:pPr>
    </w:p>
    <w:p w14:paraId="7F0AA0D0" w14:textId="77777777" w:rsidR="00507B8B" w:rsidRDefault="00CC48FD">
      <w:pPr>
        <w:ind w:firstLine="720"/>
        <w:jc w:val="both"/>
        <w:rPr>
          <w:rFonts w:ascii="Book Antiqua" w:hAnsi="Book Antiqua" w:cs="Arial"/>
          <w:lang w:val="es-ES"/>
        </w:rPr>
      </w:pPr>
      <w:r>
        <w:rPr>
          <w:rFonts w:ascii="Book Antiqua" w:hAnsi="Book Antiqua" w:cs="Arial"/>
          <w:lang w:val="es-ES"/>
        </w:rPr>
        <w:t>Las inquietudes planteadas no constituyen oposición a la medida, sino recomendaciones prácticas para su implementación. El propio Proyecto las atiende al permitir el uso de estudiantes supervisados y acuerdos con programas universitarios como vías de cumplimiento, y al ordenar al Secretario del DRD a reglamentar en un plazo de noventa (90) días, período durante el cual se podrán establecer cuotas guía, protocolos de cobertura compartida y mecanismos de transición en consulta con OTAPUR y con los organizador</w:t>
      </w:r>
      <w:r>
        <w:rPr>
          <w:rFonts w:ascii="Book Antiqua" w:hAnsi="Book Antiqua" w:cs="Arial"/>
          <w:lang w:val="es-ES"/>
        </w:rPr>
        <w:t>es del deporte comunitario y escolar.</w:t>
      </w:r>
    </w:p>
    <w:p w14:paraId="55C84865" w14:textId="77777777" w:rsidR="00507B8B" w:rsidRDefault="00507B8B">
      <w:pPr>
        <w:jc w:val="both"/>
        <w:rPr>
          <w:rFonts w:ascii="Book Antiqua" w:hAnsi="Book Antiqua" w:cs="Arial"/>
          <w:lang w:val="es-ES"/>
        </w:rPr>
      </w:pPr>
    </w:p>
    <w:p w14:paraId="7F8E213B" w14:textId="77777777" w:rsidR="00507B8B" w:rsidRDefault="00CC48FD">
      <w:pPr>
        <w:pStyle w:val="Heading2"/>
        <w:rPr>
          <w:rFonts w:ascii="Book Antiqua" w:hAnsi="Book Antiqua"/>
          <w:lang w:val="es-ES"/>
        </w:rPr>
      </w:pPr>
      <w:r>
        <w:rPr>
          <w:rFonts w:ascii="Book Antiqua" w:hAnsi="Book Antiqua"/>
          <w:lang w:val="es-ES"/>
        </w:rPr>
        <w:t>Memorial Explicativo de la Dra. Yamilka Padilla Vázquez</w:t>
      </w:r>
    </w:p>
    <w:p w14:paraId="0A9DCCC6" w14:textId="77777777" w:rsidR="00507B8B" w:rsidRDefault="00507B8B">
      <w:pPr>
        <w:jc w:val="both"/>
        <w:rPr>
          <w:rFonts w:ascii="Book Antiqua" w:hAnsi="Book Antiqua" w:cs="Arial"/>
          <w:lang w:val="es-ES"/>
        </w:rPr>
      </w:pPr>
    </w:p>
    <w:p w14:paraId="62C57077"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La Dra. Yamilka Padilla Vázquez, Terapeuta Atlético de la Clínica Terapéutica del Ejercicio y la Salud, </w:t>
      </w:r>
      <w:r>
        <w:rPr>
          <w:rFonts w:ascii="Book Antiqua" w:hAnsi="Book Antiqua" w:cs="Arial"/>
          <w:b/>
          <w:bCs/>
          <w:lang w:val="es-ES"/>
        </w:rPr>
        <w:t>apoya enérgicamente la medida</w:t>
      </w:r>
      <w:r>
        <w:rPr>
          <w:rFonts w:ascii="Book Antiqua" w:hAnsi="Book Antiqua" w:cs="Arial"/>
          <w:lang w:val="es-ES"/>
        </w:rPr>
        <w:t xml:space="preserve">. Expone, a partir de los cinco dominios reconocidos en </w:t>
      </w:r>
      <w:r>
        <w:rPr>
          <w:rFonts w:ascii="Book Antiqua" w:hAnsi="Book Antiqua" w:cs="Arial"/>
          <w:i/>
          <w:iCs/>
          <w:lang w:val="es-ES"/>
        </w:rPr>
        <w:t>Principles of Athletic Training: A Competency-Based Approach</w:t>
      </w:r>
      <w:r>
        <w:rPr>
          <w:rFonts w:ascii="Book Antiqua" w:hAnsi="Book Antiqua" w:cs="Arial"/>
          <w:lang w:val="es-ES"/>
        </w:rPr>
        <w:t xml:space="preserve"> (2023), el alcance comprensivo de la práctica del terapeuta atlético: prevención; evaluación clínica y diagnóstico; cuidado inmediato y de emergencia; tratamiento y rehabilitación; y salud y bienestar organizacional y profesional. Subraya que, antes del P. del S. 732, no existía disposición expresa en la Ley 8-2004 que garantizara la atención médica especializada </w:t>
      </w:r>
      <w:r>
        <w:rPr>
          <w:rFonts w:ascii="Book Antiqua" w:hAnsi="Book Antiqua" w:cs="Arial"/>
          <w:lang w:val="es-ES"/>
        </w:rPr>
        <w:t>en competencias y programas deportivos, lo cual dejaba a los atletas en un estado de vulnerabilidad.</w:t>
      </w:r>
    </w:p>
    <w:p w14:paraId="4B786956" w14:textId="77777777" w:rsidR="00507B8B" w:rsidRDefault="00507B8B">
      <w:pPr>
        <w:jc w:val="both"/>
        <w:rPr>
          <w:rFonts w:ascii="Book Antiqua" w:hAnsi="Book Antiqua" w:cs="Arial"/>
          <w:lang w:val="es-ES"/>
        </w:rPr>
      </w:pPr>
    </w:p>
    <w:p w14:paraId="656DD57E" w14:textId="77777777" w:rsidR="00507B8B" w:rsidRDefault="00CC48FD">
      <w:pPr>
        <w:ind w:firstLine="720"/>
        <w:jc w:val="both"/>
        <w:rPr>
          <w:rFonts w:ascii="Book Antiqua" w:hAnsi="Book Antiqua" w:cs="Arial"/>
          <w:lang w:val="es-ES"/>
        </w:rPr>
      </w:pPr>
      <w:r>
        <w:rPr>
          <w:rFonts w:ascii="Book Antiqua" w:hAnsi="Book Antiqua" w:cs="Arial"/>
          <w:lang w:val="es-ES"/>
        </w:rPr>
        <w:lastRenderedPageBreak/>
        <w:t>La deponente aporta evidencia de campo preocupante sobre la incidencia de lesiones en niños y jóvenes puertorriqueños: múltiples torceduras de tobillo en baloncesto y voleibol, una cantidad alarmante de niñas con lesiones al ligamento anterior cruzado (ACL) que requieren intervención quirúrgica, desgarres musculares, deshidratación y golpes de calor en atletismo, soccer y béisbol, así como conmociones cerebrales que no son identificadas por la ausencia del terapeuta atlético en el campo de juego. A partir d</w:t>
      </w:r>
      <w:r>
        <w:rPr>
          <w:rFonts w:ascii="Book Antiqua" w:hAnsi="Book Antiqua" w:cs="Arial"/>
          <w:lang w:val="es-ES"/>
        </w:rPr>
        <w:t>e veinticinco (25) años de carrera profesional —incluyendo su participación en el Equipo de Servicios Médicos del COPUR desde el año 2006, Juegos Centroamericanos y del Caribe, Juegos Panamericanos y los Juegos Olímpicos de Londres 2012 y Río 2016, así como el acompañamiento del medallista olímpico Javier Culson durante una década—, la Dra. Padilla concluye que la obligatoriedad de contar con Terapeutas Atléticos en competencias y programas deportivos constituye una medida urgente y necesaria para el desarr</w:t>
      </w:r>
      <w:r>
        <w:rPr>
          <w:rFonts w:ascii="Book Antiqua" w:hAnsi="Book Antiqua" w:cs="Arial"/>
          <w:lang w:val="es-ES"/>
        </w:rPr>
        <w:t>ollo seguro de los atletas y el fortalecimiento de las políticas públicas de recreación y deporte.</w:t>
      </w:r>
    </w:p>
    <w:p w14:paraId="41A42707" w14:textId="77777777" w:rsidR="00507B8B" w:rsidRDefault="00507B8B">
      <w:pPr>
        <w:jc w:val="both"/>
        <w:rPr>
          <w:rFonts w:ascii="Book Antiqua" w:hAnsi="Book Antiqua" w:cs="Arial"/>
          <w:lang w:val="es-ES"/>
        </w:rPr>
      </w:pPr>
    </w:p>
    <w:p w14:paraId="517A12BB" w14:textId="77777777" w:rsidR="00507B8B" w:rsidRDefault="00CC48FD">
      <w:pPr>
        <w:pStyle w:val="Heading2"/>
        <w:rPr>
          <w:rFonts w:ascii="Book Antiqua" w:hAnsi="Book Antiqua"/>
          <w:lang w:val="es-ES"/>
        </w:rPr>
      </w:pPr>
      <w:r>
        <w:rPr>
          <w:rFonts w:ascii="Book Antiqua" w:hAnsi="Book Antiqua"/>
          <w:lang w:val="es-ES"/>
        </w:rPr>
        <w:t>Memorial Explicativo del Dr. Joseph Fernández Cabrera</w:t>
      </w:r>
    </w:p>
    <w:p w14:paraId="532D6BF2" w14:textId="77777777" w:rsidR="00507B8B" w:rsidRDefault="00507B8B">
      <w:pPr>
        <w:jc w:val="both"/>
        <w:rPr>
          <w:rFonts w:ascii="Book Antiqua" w:hAnsi="Book Antiqua" w:cs="Arial"/>
          <w:lang w:val="es-ES"/>
        </w:rPr>
      </w:pPr>
    </w:p>
    <w:p w14:paraId="1092FEDB"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El Dr. Joseph Fernández Cabrera, pediatra subespecialista en medicina del deporte (Licencia 18523), </w:t>
      </w:r>
      <w:r>
        <w:rPr>
          <w:rFonts w:ascii="Book Antiqua" w:hAnsi="Book Antiqua" w:cs="Arial"/>
          <w:b/>
          <w:bCs/>
          <w:lang w:val="es-ES"/>
        </w:rPr>
        <w:t>apoya plenamente la medida</w:t>
      </w:r>
      <w:r>
        <w:rPr>
          <w:rFonts w:ascii="Book Antiqua" w:hAnsi="Book Antiqua" w:cs="Arial"/>
          <w:lang w:val="es-ES"/>
        </w:rPr>
        <w:t xml:space="preserve"> y la ubica como parte de un ecosistema legislativo integral junto al P. del S. 512, que regula días y horas de práctica, y el P. del S. 591, que limita competencias, establece días de descanso y promueve la práctica de múltiples deportes. Según el deponente, estos tres proyectos representan pilares complementarios: el P. del S. 512 y el P. del S. 591 regulan la carga física y la prevención estructural, mientras que el P. del S. 732 asegura la supervisión clínica presencial inmedia</w:t>
      </w:r>
      <w:r>
        <w:rPr>
          <w:rFonts w:ascii="Book Antiqua" w:hAnsi="Book Antiqua" w:cs="Arial"/>
          <w:lang w:val="es-ES"/>
        </w:rPr>
        <w:t>ta. De esta manera, Puerto Rico avanzaría hacia un marco legal coherente y robusto en la prevención de lesiones deportivas juveniles.</w:t>
      </w:r>
    </w:p>
    <w:p w14:paraId="7247C629" w14:textId="77777777" w:rsidR="00507B8B" w:rsidRDefault="00507B8B">
      <w:pPr>
        <w:jc w:val="both"/>
        <w:rPr>
          <w:rFonts w:ascii="Book Antiqua" w:hAnsi="Book Antiqua" w:cs="Arial"/>
          <w:lang w:val="es-ES"/>
        </w:rPr>
      </w:pPr>
    </w:p>
    <w:p w14:paraId="468A1259"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El memorial cita fundamentos científicos de peso, incluyendo estudios publicados en </w:t>
      </w:r>
      <w:r>
        <w:rPr>
          <w:rFonts w:ascii="Book Antiqua" w:hAnsi="Book Antiqua" w:cs="Arial"/>
          <w:i/>
          <w:iCs/>
          <w:lang w:val="es-ES"/>
        </w:rPr>
        <w:t>Injury Epidemiology</w:t>
      </w:r>
      <w:r>
        <w:rPr>
          <w:rFonts w:ascii="Book Antiqua" w:hAnsi="Book Antiqua" w:cs="Arial"/>
          <w:lang w:val="es-ES"/>
        </w:rPr>
        <w:t xml:space="preserve"> (2018) y </w:t>
      </w:r>
      <w:r>
        <w:rPr>
          <w:rFonts w:ascii="Book Antiqua" w:hAnsi="Book Antiqua" w:cs="Arial"/>
          <w:i/>
          <w:iCs/>
          <w:lang w:val="es-ES"/>
        </w:rPr>
        <w:t>Journal of Athletic Training</w:t>
      </w:r>
      <w:r>
        <w:rPr>
          <w:rFonts w:ascii="Book Antiqua" w:hAnsi="Book Antiqua" w:cs="Arial"/>
          <w:lang w:val="es-ES"/>
        </w:rPr>
        <w:t xml:space="preserve"> (2018 y 2023), así como el estudio del Hospital Pediátrico de Puerto Rico (2021) y las guías de la </w:t>
      </w:r>
      <w:r>
        <w:rPr>
          <w:rFonts w:ascii="Book Antiqua" w:hAnsi="Book Antiqua" w:cs="Arial"/>
          <w:i/>
          <w:iCs/>
          <w:lang w:val="es-ES"/>
        </w:rPr>
        <w:t>American Academy of Pediatrics</w:t>
      </w:r>
      <w:r>
        <w:rPr>
          <w:rFonts w:ascii="Book Antiqua" w:hAnsi="Book Antiqua" w:cs="Arial"/>
          <w:lang w:val="es-ES"/>
        </w:rPr>
        <w:t xml:space="preserve"> (AAP) y del </w:t>
      </w:r>
      <w:r>
        <w:rPr>
          <w:rFonts w:ascii="Book Antiqua" w:hAnsi="Book Antiqua" w:cs="Arial"/>
          <w:i/>
          <w:iCs/>
          <w:lang w:val="es-ES"/>
        </w:rPr>
        <w:t>American College of Sports Medicine</w:t>
      </w:r>
      <w:r>
        <w:rPr>
          <w:rFonts w:ascii="Book Antiqua" w:hAnsi="Book Antiqua" w:cs="Arial"/>
          <w:lang w:val="es-ES"/>
        </w:rPr>
        <w:t xml:space="preserve"> (ACSM). Identifica cuatro puntos positivos del Proyecto —prevención y seguridad inmediata; reducción de emergencias; profesionalización del deporte escolar; y equidad en el acceso a servicios de salud deportiva— y formula recomendaciones para el proceso reglamentario, tales c</w:t>
      </w:r>
      <w:r>
        <w:rPr>
          <w:rFonts w:ascii="Book Antiqua" w:hAnsi="Book Antiqua" w:cs="Arial"/>
          <w:lang w:val="es-ES"/>
        </w:rPr>
        <w:t>omo el examen físico preparticipación anual obligatorio, programas de fortalecimiento y técnica liderados por terapeutas atléticos, educación continua para entrenadores, atletas y padres, y la inclusión de la salud mental en los programas preventivos.</w:t>
      </w:r>
    </w:p>
    <w:p w14:paraId="5B90B833" w14:textId="77777777" w:rsidR="00EC215B" w:rsidRDefault="00EC215B">
      <w:pPr>
        <w:ind w:firstLine="720"/>
        <w:jc w:val="both"/>
        <w:rPr>
          <w:rFonts w:ascii="Book Antiqua" w:hAnsi="Book Antiqua" w:cs="Arial"/>
          <w:lang w:val="es-ES"/>
        </w:rPr>
      </w:pPr>
    </w:p>
    <w:p w14:paraId="0131E065" w14:textId="77777777" w:rsidR="00EC215B" w:rsidRDefault="00EC215B">
      <w:pPr>
        <w:ind w:firstLine="720"/>
        <w:jc w:val="both"/>
        <w:rPr>
          <w:rFonts w:ascii="Book Antiqua" w:hAnsi="Book Antiqua" w:cs="Arial"/>
          <w:lang w:val="es-ES"/>
        </w:rPr>
      </w:pPr>
    </w:p>
    <w:p w14:paraId="39EEB91F" w14:textId="77777777" w:rsidR="00507B8B" w:rsidRDefault="00507B8B">
      <w:pPr>
        <w:jc w:val="both"/>
        <w:rPr>
          <w:rFonts w:ascii="Book Antiqua" w:hAnsi="Book Antiqua" w:cs="Arial"/>
          <w:lang w:val="es-ES"/>
        </w:rPr>
      </w:pPr>
    </w:p>
    <w:p w14:paraId="1640BD78" w14:textId="77777777" w:rsidR="00507B8B" w:rsidRDefault="00CC48FD">
      <w:pPr>
        <w:pStyle w:val="Heading2"/>
        <w:rPr>
          <w:rFonts w:ascii="Book Antiqua" w:hAnsi="Book Antiqua"/>
          <w:lang w:val="es-ES"/>
        </w:rPr>
      </w:pPr>
      <w:r>
        <w:rPr>
          <w:rFonts w:ascii="Book Antiqua" w:hAnsi="Book Antiqua"/>
          <w:lang w:val="es-ES"/>
        </w:rPr>
        <w:lastRenderedPageBreak/>
        <w:t>VISTA PÚBLICA</w:t>
      </w:r>
    </w:p>
    <w:p w14:paraId="4CB16AF3" w14:textId="77777777" w:rsidR="00507B8B" w:rsidRDefault="00507B8B">
      <w:pPr>
        <w:jc w:val="both"/>
        <w:rPr>
          <w:rFonts w:ascii="Book Antiqua" w:hAnsi="Book Antiqua" w:cs="Arial"/>
          <w:lang w:val="es-ES"/>
        </w:rPr>
      </w:pPr>
    </w:p>
    <w:p w14:paraId="4D60DB9F"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En el ejercicio responsable de sus funciones constitucionales y reglamentarias, la Comisión de Recreación y Deportes de la Cámara de Representantes </w:t>
      </w:r>
      <w:r>
        <w:rPr>
          <w:rFonts w:ascii="Book Antiqua" w:hAnsi="Book Antiqua" w:cs="Arial"/>
          <w:b/>
          <w:bCs/>
          <w:lang w:val="es-ES"/>
        </w:rPr>
        <w:t>celebró vista pública el lunes, 20 de abril de 2026</w:t>
      </w:r>
      <w:r>
        <w:rPr>
          <w:rFonts w:ascii="Book Antiqua" w:hAnsi="Book Antiqua" w:cs="Arial"/>
          <w:lang w:val="es-ES"/>
        </w:rPr>
        <w:t>, en la cual se recibieron comparecencias relacionadas con el Proyecto del Senado 732. La vista tuvo el propósito de profundizar en el análisis de la medida, validar el consenso reflejado en los memoriales examinados ante el Cuerpo Hermano y escuchar, de primera mano, a las entidades y personas peritas que más directamente se afectan o aportan con la política pública propuesta.</w:t>
      </w:r>
    </w:p>
    <w:p w14:paraId="17D63975" w14:textId="77777777" w:rsidR="00507B8B" w:rsidRDefault="00507B8B">
      <w:pPr>
        <w:jc w:val="both"/>
        <w:rPr>
          <w:rFonts w:ascii="Book Antiqua" w:hAnsi="Book Antiqua" w:cs="Arial"/>
          <w:lang w:val="es-ES"/>
        </w:rPr>
      </w:pPr>
    </w:p>
    <w:p w14:paraId="1066F70D" w14:textId="77777777" w:rsidR="00507B8B" w:rsidRDefault="00CC48FD">
      <w:pPr>
        <w:ind w:firstLine="720"/>
        <w:jc w:val="both"/>
        <w:rPr>
          <w:rFonts w:ascii="Book Antiqua" w:hAnsi="Book Antiqua" w:cs="Arial"/>
          <w:lang w:val="es-ES"/>
        </w:rPr>
      </w:pPr>
      <w:r>
        <w:rPr>
          <w:rFonts w:ascii="Book Antiqua" w:hAnsi="Book Antiqua" w:cs="Arial"/>
          <w:lang w:val="es-ES"/>
        </w:rPr>
        <w:t>Durante la vista se abordaron los elementos centrales de la medida: el alcance profesional del terapeuta atlético conforme a la Ley Núm. 132-2024, la función del inciso (h) propuesto al Artículo 13 de la Ley 8-2004, y las obligaciones del Departamento de Recreación y Deportes para supervisar el cumplimiento sin comprometer el Fondo General. Los deponentes coincidieron en la urgencia y pertinencia del Proyecto, particularmente en lo que respecta a la protección de la niñez y juventud atleta, y reafirmaron qu</w:t>
      </w:r>
      <w:r>
        <w:rPr>
          <w:rFonts w:ascii="Book Antiqua" w:hAnsi="Book Antiqua" w:cs="Arial"/>
          <w:lang w:val="es-ES"/>
        </w:rPr>
        <w:t>e Puerto Rico cuenta con el marco profesional, académico y organizacional —OTAPUR, programas universitarios acreditados y aproximadamente cuatrocientos (400) terapeutas atléticos licenciados— para comenzar la implementación.</w:t>
      </w:r>
    </w:p>
    <w:p w14:paraId="59207461" w14:textId="77777777" w:rsidR="00507B8B" w:rsidRDefault="00507B8B">
      <w:pPr>
        <w:jc w:val="both"/>
        <w:rPr>
          <w:rFonts w:ascii="Book Antiqua" w:hAnsi="Book Antiqua" w:cs="Arial"/>
          <w:lang w:val="es-ES"/>
        </w:rPr>
      </w:pPr>
    </w:p>
    <w:p w14:paraId="4D1D9217"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Los deponentes presentaron datos empíricos, experiencias de campo y testimonios sobre el impacto clínico que el terapeuta atlético tiene en el escenario competitivo: reducción documentada de hasta un cuarenta por ciento (40%) en la incidencia de lesiones, mejor manejo de conmociones cerebrales, detección temprana de fatiga y deshidratación, así como la capacidad de triaje oportuno que evita complicaciones. Se discutió, asimismo, el valor del modelo de colaboración con universidades —con especial mención al </w:t>
      </w:r>
      <w:r>
        <w:rPr>
          <w:rFonts w:ascii="Book Antiqua" w:hAnsi="Book Antiqua" w:cs="Arial"/>
          <w:lang w:val="es-ES"/>
        </w:rPr>
        <w:t>Acuerdo entre el COPUR y el Recinto de Ponce de la UPR— como vía para ampliar la oferta de servicios mediante estudiantes supervisados, sin comprometer la calidad clínica ni el licenciamiento requerido por ley.</w:t>
      </w:r>
    </w:p>
    <w:p w14:paraId="027A68EE" w14:textId="77777777" w:rsidR="00507B8B" w:rsidRDefault="00507B8B">
      <w:pPr>
        <w:jc w:val="both"/>
        <w:rPr>
          <w:rFonts w:ascii="Book Antiqua" w:hAnsi="Book Antiqua" w:cs="Arial"/>
          <w:lang w:val="es-ES"/>
        </w:rPr>
      </w:pPr>
    </w:p>
    <w:p w14:paraId="2D182D82" w14:textId="77777777" w:rsidR="00507B8B" w:rsidRDefault="00CC48FD">
      <w:pPr>
        <w:ind w:firstLine="720"/>
        <w:jc w:val="both"/>
        <w:rPr>
          <w:rFonts w:ascii="Book Antiqua" w:hAnsi="Book Antiqua" w:cs="Arial"/>
          <w:lang w:val="es-ES"/>
        </w:rPr>
      </w:pPr>
      <w:r>
        <w:rPr>
          <w:rFonts w:ascii="Book Antiqua" w:hAnsi="Book Antiqua" w:cs="Arial"/>
          <w:lang w:val="es-ES"/>
        </w:rPr>
        <w:t>En cuanto a la viabilidad operacional y fiscal, los deponentes dialogaron sobre las alternativas de financiamiento que el propio texto del Proyecto autoriza: acuerdos colaborativos con instituciones educativas y universidades acreditadas, prácticas supervisadas o servicios voluntarios certificados, contribuciones de entidades privadas, patrocinadores deportivos y fondos no recurrentes del Departamento que no provengan del Fondo General. Se subrayó que este diseño de financiamiento es precisamente el que mit</w:t>
      </w:r>
      <w:r>
        <w:rPr>
          <w:rFonts w:ascii="Book Antiqua" w:hAnsi="Book Antiqua" w:cs="Arial"/>
          <w:lang w:val="es-ES"/>
        </w:rPr>
        <w:t>iga las preocupaciones planteadas por la OPAL en su Informe 2026-224, por Buzzer Beater, LLC y por el COPUR en torno a los costos para organizadores escolares, comunitarios y federativos, al evitar que el cumplimiento de la ley dependa de asignaciones nuevas al Fondo General.</w:t>
      </w:r>
    </w:p>
    <w:p w14:paraId="13968CCE" w14:textId="77777777" w:rsidR="00507B8B" w:rsidRDefault="00507B8B">
      <w:pPr>
        <w:jc w:val="both"/>
        <w:rPr>
          <w:rFonts w:ascii="Book Antiqua" w:hAnsi="Book Antiqua" w:cs="Arial"/>
          <w:lang w:val="es-ES"/>
        </w:rPr>
      </w:pPr>
    </w:p>
    <w:p w14:paraId="11A46446" w14:textId="77777777" w:rsidR="00507B8B" w:rsidRDefault="00CC48FD">
      <w:pPr>
        <w:ind w:firstLine="720"/>
        <w:jc w:val="both"/>
        <w:rPr>
          <w:rFonts w:ascii="Book Antiqua" w:hAnsi="Book Antiqua" w:cs="Arial"/>
          <w:lang w:val="es-ES"/>
        </w:rPr>
      </w:pPr>
      <w:r>
        <w:rPr>
          <w:rFonts w:ascii="Book Antiqua" w:hAnsi="Book Antiqua" w:cs="Arial"/>
          <w:lang w:val="es-ES"/>
        </w:rPr>
        <w:lastRenderedPageBreak/>
        <w:t>Se abordaron, además, las recomendaciones reglamentarias formuladas por el Departamento de Recreación y Deportes —verificación de licencia profesional, planes de seguridad y evaluación de riesgos, integración del terapeuta en el plan de emergencias y contratos de servicios con términos claros—, las cuales podrán incorporarse a la reglamentación a ser promulgada dentro del plazo de noventa (90) días ordenado en la Sección 2 del Proyecto. También se discutió la armonización con los Reglamentos del DRD Núm. 63</w:t>
      </w:r>
      <w:r>
        <w:rPr>
          <w:rFonts w:ascii="Book Antiqua" w:hAnsi="Book Antiqua" w:cs="Arial"/>
          <w:lang w:val="es-ES"/>
        </w:rPr>
        <w:t>60, 6422 y 9179, así como el carácter complementario del P. del S. 732 con otras iniciativas legislativas en curso orientadas a la carga física, los días de descanso y la promoción del multideporte en la juventud puertorriqueña.</w:t>
      </w:r>
    </w:p>
    <w:p w14:paraId="6AA79610" w14:textId="77777777" w:rsidR="00507B8B" w:rsidRDefault="00507B8B">
      <w:pPr>
        <w:jc w:val="both"/>
        <w:rPr>
          <w:rFonts w:ascii="Book Antiqua" w:hAnsi="Book Antiqua" w:cs="Arial"/>
          <w:lang w:val="es-ES"/>
        </w:rPr>
      </w:pPr>
    </w:p>
    <w:p w14:paraId="3A34CC57" w14:textId="77777777" w:rsidR="00507B8B" w:rsidRDefault="00CC48FD">
      <w:pPr>
        <w:ind w:firstLine="720"/>
        <w:jc w:val="both"/>
        <w:rPr>
          <w:rFonts w:ascii="Book Antiqua" w:hAnsi="Book Antiqua" w:cs="Arial"/>
          <w:lang w:val="es-ES"/>
        </w:rPr>
      </w:pPr>
      <w:r>
        <w:rPr>
          <w:rFonts w:ascii="Book Antiqua" w:hAnsi="Book Antiqua" w:cs="Arial"/>
          <w:lang w:val="es-ES"/>
        </w:rPr>
        <w:t>Concluida la vista, quedó claro que el respaldo a la medida es amplio, sustantivo y transversal a los sectores concernidos —gobierno, deporte olímpico, deporte universitario, deporte escolar, medicina del deporte, terapia atlética y ciudadanía—, y que ninguna de las observaciones presentadas requiere enmiendas al texto del Proyecto, pues la totalidad de las inquietudes se canaliza adecuadamente a través del proceso reglamentario expresamente ordenado por la Sección 2 y a través de las modalidades de financi</w:t>
      </w:r>
      <w:r>
        <w:rPr>
          <w:rFonts w:ascii="Book Antiqua" w:hAnsi="Book Antiqua" w:cs="Arial"/>
          <w:lang w:val="es-ES"/>
        </w:rPr>
        <w:t>amiento y colaboración que el propio Artículo 13, inciso (h), incorpora.</w:t>
      </w:r>
    </w:p>
    <w:p w14:paraId="168FE7FF" w14:textId="77777777" w:rsidR="00507B8B" w:rsidRDefault="00507B8B">
      <w:pPr>
        <w:jc w:val="both"/>
        <w:rPr>
          <w:rFonts w:ascii="Book Antiqua" w:hAnsi="Book Antiqua" w:cs="Arial"/>
          <w:lang w:val="es-ES"/>
        </w:rPr>
      </w:pPr>
    </w:p>
    <w:p w14:paraId="29C3D291" w14:textId="77777777" w:rsidR="00507B8B" w:rsidRDefault="00CC48FD">
      <w:pPr>
        <w:pStyle w:val="Heading2"/>
        <w:rPr>
          <w:rFonts w:ascii="Book Antiqua" w:hAnsi="Book Antiqua"/>
          <w:lang w:val="es-ES"/>
        </w:rPr>
      </w:pPr>
      <w:r>
        <w:rPr>
          <w:rFonts w:ascii="Book Antiqua" w:hAnsi="Book Antiqua"/>
          <w:lang w:val="es-ES"/>
        </w:rPr>
        <w:t>IMPACTO FISCAL MUNICIPAL</w:t>
      </w:r>
    </w:p>
    <w:p w14:paraId="5871CF9A" w14:textId="77777777" w:rsidR="00507B8B" w:rsidRDefault="00507B8B">
      <w:pPr>
        <w:jc w:val="both"/>
        <w:rPr>
          <w:rFonts w:ascii="Book Antiqua" w:hAnsi="Book Antiqua" w:cs="Arial"/>
          <w:lang w:val="es-ES"/>
        </w:rPr>
      </w:pPr>
    </w:p>
    <w:p w14:paraId="2136395D"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En cumplimiento con el Artículo 1.007 de la Ley 107-2020, según enmendada, conocida como “Código Municipal de Puerto Rico”, la Comisión certifica que el P. del S. 732 </w:t>
      </w:r>
      <w:r>
        <w:rPr>
          <w:rFonts w:ascii="Book Antiqua" w:hAnsi="Book Antiqua" w:cs="Arial"/>
          <w:b/>
          <w:bCs/>
          <w:lang w:val="es-ES"/>
        </w:rPr>
        <w:t>no impone</w:t>
      </w:r>
      <w:r>
        <w:rPr>
          <w:rFonts w:ascii="Book Antiqua" w:hAnsi="Book Antiqua" w:cs="Arial"/>
          <w:lang w:val="es-ES"/>
        </w:rPr>
        <w:t xml:space="preserve"> una obligación económica en el presupuesto de los gobiernos municipales.</w:t>
      </w:r>
    </w:p>
    <w:p w14:paraId="38436646" w14:textId="77777777" w:rsidR="00507B8B" w:rsidRDefault="00507B8B">
      <w:pPr>
        <w:jc w:val="both"/>
        <w:rPr>
          <w:rFonts w:ascii="Book Antiqua" w:hAnsi="Book Antiqua" w:cs="Arial"/>
          <w:lang w:val="es-ES"/>
        </w:rPr>
      </w:pPr>
    </w:p>
    <w:p w14:paraId="0CB75BD5" w14:textId="77777777" w:rsidR="00507B8B" w:rsidRDefault="00CC48FD">
      <w:pPr>
        <w:pStyle w:val="Heading2"/>
        <w:rPr>
          <w:rFonts w:ascii="Book Antiqua" w:hAnsi="Book Antiqua"/>
          <w:lang w:val="es-ES"/>
        </w:rPr>
      </w:pPr>
      <w:r>
        <w:rPr>
          <w:rFonts w:ascii="Book Antiqua" w:hAnsi="Book Antiqua"/>
          <w:lang w:val="es-ES"/>
        </w:rPr>
        <w:t>CONCLUSIÓN</w:t>
      </w:r>
    </w:p>
    <w:p w14:paraId="714AAA08" w14:textId="77777777" w:rsidR="00507B8B" w:rsidRDefault="00507B8B">
      <w:pPr>
        <w:jc w:val="both"/>
        <w:rPr>
          <w:rFonts w:ascii="Book Antiqua" w:hAnsi="Book Antiqua" w:cs="Arial"/>
          <w:lang w:val="es-ES"/>
        </w:rPr>
      </w:pPr>
    </w:p>
    <w:p w14:paraId="5869E2D3" w14:textId="77777777" w:rsidR="00507B8B" w:rsidRDefault="00CC48FD">
      <w:pPr>
        <w:ind w:firstLine="720"/>
        <w:jc w:val="both"/>
        <w:rPr>
          <w:rFonts w:ascii="Book Antiqua" w:hAnsi="Book Antiqua" w:cs="Arial"/>
          <w:lang w:val="es-ES"/>
        </w:rPr>
      </w:pPr>
      <w:r>
        <w:rPr>
          <w:rFonts w:ascii="Book Antiqua" w:hAnsi="Book Antiqua" w:cs="Arial"/>
          <w:lang w:val="es-ES"/>
        </w:rPr>
        <w:t>Del examen detenido de los memoriales explicativos sometidos, del análisis fiscal preparado por la Oficina de Presupuesto de la Asamblea Legislativa y, especialmente, de la vista pública celebrada el lunes, 20 de abril de 2026, la Comisión de Recreación y Deportes concluye que el Proyecto del Senado 732 responde a una necesidad urgente, concreta y documentada del deporte puertorriqueño: garantizar la atención clínica inmediata y especializada en los entornos donde nuestros atletas —y muy particularmente nue</w:t>
      </w:r>
      <w:r>
        <w:rPr>
          <w:rFonts w:ascii="Book Antiqua" w:hAnsi="Book Antiqua" w:cs="Arial"/>
          <w:lang w:val="es-ES"/>
        </w:rPr>
        <w:t>stra niñez y juventud— se exponen cotidianamente a lesiones prevenibles. El consenso entre el Departamento de Recreación y Deportes, el Comité Olímpico de Puerto Rico, la Liga Atlética Interuniversitaria, la Oficina del Procurador del Ciudadano, organizadores de torneos y personas peritas en terapia atlética y medicina del deporte confirma que la profesionalización que persigue la medida es tanto deseable como viable.</w:t>
      </w:r>
    </w:p>
    <w:p w14:paraId="712FA479" w14:textId="77777777" w:rsidR="00507B8B" w:rsidRDefault="00507B8B">
      <w:pPr>
        <w:jc w:val="both"/>
        <w:rPr>
          <w:rFonts w:ascii="Book Antiqua" w:hAnsi="Book Antiqua" w:cs="Arial"/>
          <w:lang w:val="es-ES"/>
        </w:rPr>
      </w:pPr>
    </w:p>
    <w:p w14:paraId="4BC59E68" w14:textId="77777777" w:rsidR="00507B8B" w:rsidRDefault="00CC48FD">
      <w:pPr>
        <w:ind w:firstLine="720"/>
        <w:jc w:val="both"/>
        <w:rPr>
          <w:rFonts w:ascii="Book Antiqua" w:hAnsi="Book Antiqua" w:cs="Arial"/>
          <w:lang w:val="es-ES"/>
        </w:rPr>
      </w:pPr>
      <w:r>
        <w:rPr>
          <w:rFonts w:ascii="Book Antiqua" w:hAnsi="Book Antiqua" w:cs="Arial"/>
          <w:lang w:val="es-ES"/>
        </w:rPr>
        <w:lastRenderedPageBreak/>
        <w:t>La evidencia científica presentada por los deponentes sustenta, con contundencia, la política pública del Proyecto. La presencia del terapeuta atlético reduce significativamente la incidencia de lesiones, mejora la identificación y manejo de conmociones cerebrales, previene complicaciones derivadas de la deshidratación y los golpes de calor, y permite el triaje oportuno hacia servicios médicos de mayor complejidad. Estos beneficios clínicos, respaldados por estudios internacionales y por datos locales —incl</w:t>
      </w:r>
      <w:r>
        <w:rPr>
          <w:rFonts w:ascii="Book Antiqua" w:hAnsi="Book Antiqua" w:cs="Arial"/>
          <w:lang w:val="es-ES"/>
        </w:rPr>
        <w:t>uyendo el estudio del Hospital Pediátrico de Puerto Rico (2021)—, justifican la acción legislativa propuesta y armonizan plenamente con la Ley Núm. 132-2024, cuyo propósito fue precisamente crear el marco profesional que el P. del S. 732 ahora activa en la práctica deportiva cotidiana.</w:t>
      </w:r>
    </w:p>
    <w:p w14:paraId="775ADD8F" w14:textId="77777777" w:rsidR="00507B8B" w:rsidRDefault="00507B8B">
      <w:pPr>
        <w:jc w:val="both"/>
        <w:rPr>
          <w:rFonts w:ascii="Book Antiqua" w:hAnsi="Book Antiqua" w:cs="Arial"/>
          <w:lang w:val="es-ES"/>
        </w:rPr>
      </w:pPr>
    </w:p>
    <w:p w14:paraId="73F2B8B9" w14:textId="77777777" w:rsidR="00507B8B" w:rsidRDefault="00CC48FD">
      <w:pPr>
        <w:ind w:firstLine="720"/>
        <w:jc w:val="both"/>
        <w:rPr>
          <w:rFonts w:ascii="Book Antiqua" w:hAnsi="Book Antiqua" w:cs="Arial"/>
          <w:lang w:val="es-ES"/>
        </w:rPr>
      </w:pPr>
      <w:r>
        <w:rPr>
          <w:rFonts w:ascii="Book Antiqua" w:hAnsi="Book Antiqua" w:cs="Arial"/>
          <w:lang w:val="es-ES"/>
        </w:rPr>
        <w:t>Desde la perspectiva fiscal, el propio texto del Proyecto resuelve las preocupaciones presupuestarias al disponer que el cumplimiento se financie mediante acuerdos colaborativos con universidades e instituciones de formación, prácticas supervisadas de estudiantes de terapéutica atlética, contribuciones privadas, patrocinios deportivos y fondos no recurrentes del Departamento que no provengan del Fondo General. Este diseño de financiamiento —pionero en la política deportiva de la Isla— permite extender los b</w:t>
      </w:r>
      <w:r>
        <w:rPr>
          <w:rFonts w:ascii="Book Antiqua" w:hAnsi="Book Antiqua" w:cs="Arial"/>
          <w:lang w:val="es-ES"/>
        </w:rPr>
        <w:t>eneficios de la atención clínica a torneos escolares, comunitarios y federativos sin depender de una nueva partida en el Fondo General, y atiende de forma estructural las inquietudes planteadas por la Oficina de Presupuesto de la Asamblea Legislativa, por Buzzer Beater, LLC y por el Comité Olímpico de Puerto Rico.</w:t>
      </w:r>
    </w:p>
    <w:p w14:paraId="41A58220" w14:textId="77777777" w:rsidR="00507B8B" w:rsidRDefault="00507B8B">
      <w:pPr>
        <w:jc w:val="both"/>
        <w:rPr>
          <w:rFonts w:ascii="Book Antiqua" w:hAnsi="Book Antiqua" w:cs="Arial"/>
          <w:lang w:val="es-ES"/>
        </w:rPr>
      </w:pPr>
    </w:p>
    <w:p w14:paraId="057DD547" w14:textId="77777777" w:rsidR="00507B8B" w:rsidRDefault="00CC48FD">
      <w:pPr>
        <w:ind w:firstLine="720"/>
        <w:jc w:val="both"/>
        <w:rPr>
          <w:rFonts w:ascii="Book Antiqua" w:hAnsi="Book Antiqua" w:cs="Arial"/>
          <w:lang w:val="es-ES"/>
        </w:rPr>
      </w:pPr>
      <w:r>
        <w:rPr>
          <w:rFonts w:ascii="Book Antiqua" w:hAnsi="Book Antiqua" w:cs="Arial"/>
          <w:lang w:val="es-ES"/>
        </w:rPr>
        <w:t>En el plano operacional, los aproximadamente cuatrocientos (400) terapeutas atléticos licenciados en Puerto Rico, organizados bajo la OTAPUR y apoyados por programas universitarios acreditados, constituyen una base profesional suficiente para iniciar la implementación. Las recomendaciones formuladas por los deponentes —verificación de licencia, planes de seguridad, integración al plan de emergencias, contratos de servicios claros, cuotas guía accesibles, protocolos de cobertura compartida y modelos de colab</w:t>
      </w:r>
      <w:r>
        <w:rPr>
          <w:rFonts w:ascii="Book Antiqua" w:hAnsi="Book Antiqua" w:cs="Arial"/>
          <w:lang w:val="es-ES"/>
        </w:rPr>
        <w:t>oración interinstitucional— serán acogidas a través de la reglamentación que el Secretario del Departamento de Recreación y Deportes deberá promulgar dentro del plazo de noventa (90) días ordenado por la Sección 2, lo cual confirma que ninguna de esas recomendaciones requiere alterar el texto del Proyecto.</w:t>
      </w:r>
    </w:p>
    <w:p w14:paraId="476BBB7E" w14:textId="77777777" w:rsidR="00507B8B" w:rsidRDefault="00507B8B">
      <w:pPr>
        <w:jc w:val="both"/>
        <w:rPr>
          <w:rFonts w:ascii="Book Antiqua" w:hAnsi="Book Antiqua" w:cs="Arial"/>
          <w:lang w:val="es-ES"/>
        </w:rPr>
      </w:pPr>
    </w:p>
    <w:p w14:paraId="0B049B2E" w14:textId="77777777" w:rsidR="00507B8B" w:rsidRDefault="00CC48FD">
      <w:pPr>
        <w:ind w:firstLine="720"/>
        <w:jc w:val="both"/>
        <w:rPr>
          <w:rFonts w:ascii="Book Antiqua" w:hAnsi="Book Antiqua" w:cs="Arial"/>
          <w:lang w:val="es-ES"/>
        </w:rPr>
      </w:pPr>
      <w:r>
        <w:rPr>
          <w:rFonts w:ascii="Book Antiqua" w:hAnsi="Book Antiqua" w:cs="Arial"/>
          <w:lang w:val="es-ES"/>
        </w:rPr>
        <w:t>En definitiva, la Comisión entiende que el P. del S. 732 es una medida madura, coherente con la legislación vigente, respaldada por evidencia científica y por un consenso institucional amplio, y autofinanciada en lo que respecta al Fondo General. Al establecer la presencia obligatoria de, al menos, un terapeuta atlético en todo torneo deportivo, competencia y escuela especializada en deporte, Puerto Rico envía un mensaje inequívoco: la vida, la salud y la integridad física de nuestros atletas son prioritari</w:t>
      </w:r>
      <w:r>
        <w:rPr>
          <w:rFonts w:ascii="Book Antiqua" w:hAnsi="Book Antiqua" w:cs="Arial"/>
          <w:lang w:val="es-ES"/>
        </w:rPr>
        <w:t>as, y la profesionalización del entorno deportivo es una responsabilidad compartida entre el Estado, las instituciones educativas, las federaciones, el sector privado y la sociedad civil.</w:t>
      </w:r>
    </w:p>
    <w:p w14:paraId="4AC1F559" w14:textId="77777777" w:rsidR="00507B8B" w:rsidRDefault="00507B8B">
      <w:pPr>
        <w:jc w:val="both"/>
        <w:rPr>
          <w:rFonts w:ascii="Book Antiqua" w:hAnsi="Book Antiqua" w:cs="Arial"/>
          <w:lang w:val="es-ES"/>
        </w:rPr>
      </w:pPr>
    </w:p>
    <w:p w14:paraId="0DEE35AC" w14:textId="77777777" w:rsidR="00507B8B" w:rsidRDefault="00CC48FD">
      <w:pPr>
        <w:ind w:firstLine="720"/>
        <w:jc w:val="both"/>
        <w:rPr>
          <w:rFonts w:ascii="Book Antiqua" w:hAnsi="Book Antiqua" w:cs="Arial"/>
          <w:lang w:val="es-ES"/>
        </w:rPr>
      </w:pPr>
      <w:r>
        <w:rPr>
          <w:rFonts w:ascii="Book Antiqua" w:hAnsi="Book Antiqua" w:cs="Arial"/>
          <w:lang w:val="es-ES"/>
        </w:rPr>
        <w:t xml:space="preserve">Por todo lo antes expuesto, la Comisión de Recreación y Deportes de la Cámara de Representantes del Gobierno de Puerto Rico, previo estudio y consideración de la misma, tiene a bien someter su Informe con relación al Proyecto del Senado 732, </w:t>
      </w:r>
      <w:r>
        <w:rPr>
          <w:rFonts w:ascii="Book Antiqua" w:hAnsi="Book Antiqua" w:cs="Arial"/>
          <w:b/>
          <w:bCs/>
          <w:lang w:val="es-ES"/>
        </w:rPr>
        <w:t>recomendando su aprobación sin enmiendas.</w:t>
      </w:r>
    </w:p>
    <w:p w14:paraId="068DAEE7" w14:textId="77777777" w:rsidR="00507B8B" w:rsidRDefault="00507B8B">
      <w:pPr>
        <w:jc w:val="both"/>
        <w:rPr>
          <w:rFonts w:ascii="Book Antiqua" w:hAnsi="Book Antiqua" w:cs="Arial"/>
          <w:lang w:val="es-ES"/>
        </w:rPr>
      </w:pPr>
    </w:p>
    <w:p w14:paraId="25588358" w14:textId="77777777" w:rsidR="00255608" w:rsidRPr="001B4071" w:rsidRDefault="00255608" w:rsidP="007C7C83">
      <w:pPr>
        <w:jc w:val="both"/>
        <w:rPr>
          <w:rFonts w:ascii="Book Antiqua" w:hAnsi="Book Antiqua" w:cs="Arial"/>
          <w:lang w:val="es-ES"/>
        </w:rPr>
      </w:pPr>
      <w:r>
        <w:rPr>
          <w:rFonts w:ascii="Book Antiqua" w:hAnsi="Book Antiqua" w:cs="Arial"/>
          <w:lang w:val="es-ES"/>
        </w:rPr>
        <w:t>Respetuosamente sometido,</w:t>
      </w:r>
    </w:p>
    <w:p w14:paraId="4FB37F64" w14:textId="77777777" w:rsidR="00237419" w:rsidRPr="001B4071" w:rsidRDefault="00237419" w:rsidP="007C7C83">
      <w:pPr>
        <w:pStyle w:val="Heading1"/>
        <w:rPr>
          <w:rFonts w:ascii="Book Antiqua" w:hAnsi="Book Antiqua" w:cs="Arial"/>
          <w:lang w:val="es-ES"/>
        </w:rPr>
      </w:pPr>
    </w:p>
    <w:p w14:paraId="342AF08D" w14:textId="77777777" w:rsidR="00237419" w:rsidRPr="001B4071" w:rsidRDefault="00237419" w:rsidP="007C7C83">
      <w:pPr>
        <w:pStyle w:val="Heading1"/>
        <w:rPr>
          <w:rFonts w:ascii="Book Antiqua" w:hAnsi="Book Antiqua" w:cs="Arial"/>
          <w:lang w:val="es-ES"/>
        </w:rPr>
      </w:pPr>
    </w:p>
    <w:p w14:paraId="4C8E1F5A" w14:textId="4F6AF1CF" w:rsidR="00BD2E21" w:rsidRPr="001B4071" w:rsidRDefault="00BD2E21" w:rsidP="007C7C83">
      <w:pPr>
        <w:rPr>
          <w:lang w:val="es-ES"/>
        </w:rPr>
      </w:pPr>
    </w:p>
    <w:p w14:paraId="54CB7AB9" w14:textId="77777777" w:rsidR="00E636AD" w:rsidRPr="001B4071" w:rsidRDefault="00E636AD" w:rsidP="007C7C83">
      <w:pPr>
        <w:rPr>
          <w:lang w:val="es-ES"/>
        </w:rPr>
      </w:pPr>
    </w:p>
    <w:p w14:paraId="6E5B272A" w14:textId="1B8E21F6" w:rsidR="00255608" w:rsidRPr="001B4071" w:rsidRDefault="00273C68" w:rsidP="007C7C83">
      <w:pPr>
        <w:pStyle w:val="Heading1"/>
        <w:rPr>
          <w:rFonts w:ascii="Book Antiqua" w:hAnsi="Book Antiqua" w:cs="Arial"/>
          <w:lang w:val="es-ES"/>
        </w:rPr>
      </w:pPr>
      <w:r>
        <w:rPr>
          <w:rFonts w:ascii="Book Antiqua" w:hAnsi="Book Antiqua" w:cs="Arial"/>
          <w:lang w:val="es-ES"/>
        </w:rPr>
        <w:t xml:space="preserve">Hon. Luis “Josean” Jiménez Torres </w:t>
      </w:r>
    </w:p>
    <w:p w14:paraId="39FA5D36" w14:textId="06EB1000" w:rsidR="00255608" w:rsidRPr="001B4071" w:rsidRDefault="00255608" w:rsidP="007C7C83">
      <w:pPr>
        <w:jc w:val="both"/>
        <w:rPr>
          <w:rFonts w:ascii="Book Antiqua" w:hAnsi="Book Antiqua" w:cs="Arial"/>
          <w:lang w:val="es-ES"/>
        </w:rPr>
      </w:pPr>
      <w:r>
        <w:rPr>
          <w:rFonts w:ascii="Book Antiqua" w:hAnsi="Book Antiqua" w:cs="Arial"/>
          <w:lang w:val="es-ES"/>
        </w:rPr>
        <w:t>Presidente</w:t>
      </w:r>
      <w:r>
        <w:rPr>
          <w:rFonts w:ascii="Book Antiqua" w:hAnsi="Book Antiqua" w:cs="Arial"/>
          <w:lang w:val="es-ES"/>
        </w:rPr>
        <w:tab/>
      </w:r>
    </w:p>
    <w:p w14:paraId="54D6AA45" w14:textId="429B79C7" w:rsidR="007D31DC" w:rsidRPr="001B4071" w:rsidRDefault="00255608" w:rsidP="007C7C83">
      <w:pPr>
        <w:jc w:val="both"/>
        <w:rPr>
          <w:rFonts w:ascii="Book Antiqua" w:hAnsi="Book Antiqua" w:cs="Arial"/>
          <w:lang w:val="es-ES"/>
        </w:rPr>
      </w:pPr>
      <w:r>
        <w:rPr>
          <w:rFonts w:ascii="Book Antiqua" w:hAnsi="Book Antiqua" w:cs="Arial"/>
          <w:lang w:val="es-ES"/>
        </w:rPr>
        <w:t xml:space="preserve">Comisión de Recreación y Deportes  </w:t>
      </w:r>
    </w:p>
    <w:sectPr w:rsidR="007D31DC" w:rsidRPr="001B4071"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947C1" w14:textId="77777777" w:rsidR="00CC48FD" w:rsidRDefault="00CC48FD" w:rsidP="003A136F">
      <w:r>
        <w:separator/>
      </w:r>
    </w:p>
  </w:endnote>
  <w:endnote w:type="continuationSeparator" w:id="0">
    <w:p w14:paraId="5FBBB453" w14:textId="77777777" w:rsidR="00CC48FD" w:rsidRDefault="00CC48FD"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3984F" w14:textId="77777777" w:rsidR="00CC48FD" w:rsidRDefault="00CC48FD" w:rsidP="003A136F">
      <w:r>
        <w:separator/>
      </w:r>
    </w:p>
  </w:footnote>
  <w:footnote w:type="continuationSeparator" w:id="0">
    <w:p w14:paraId="356E1278" w14:textId="77777777" w:rsidR="00CC48FD" w:rsidRDefault="00CC48FD"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05DB5659"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del </w:t>
    </w:r>
    <w:r w:rsidR="005805F4">
      <w:rPr>
        <w:rFonts w:ascii="Book Antiqua" w:hAnsi="Book Antiqua" w:cs="Arial"/>
        <w:bCs/>
        <w:szCs w:val="24"/>
      </w:rPr>
      <w:t xml:space="preserve">S. </w:t>
    </w:r>
    <w:r w:rsidR="00DE4B65">
      <w:rPr>
        <w:rFonts w:ascii="Book Antiqua" w:hAnsi="Book Antiqua" w:cs="Arial"/>
        <w:bCs/>
        <w:szCs w:val="24"/>
      </w:rPr>
      <w:t>732</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4123"/>
    <w:rsid w:val="00031EE5"/>
    <w:rsid w:val="0003371E"/>
    <w:rsid w:val="00035CCE"/>
    <w:rsid w:val="00037854"/>
    <w:rsid w:val="000441F7"/>
    <w:rsid w:val="0004645A"/>
    <w:rsid w:val="000538CA"/>
    <w:rsid w:val="00053DBC"/>
    <w:rsid w:val="00061325"/>
    <w:rsid w:val="0006223B"/>
    <w:rsid w:val="00064A21"/>
    <w:rsid w:val="00074830"/>
    <w:rsid w:val="00077F5D"/>
    <w:rsid w:val="00080802"/>
    <w:rsid w:val="00082E46"/>
    <w:rsid w:val="00082EFB"/>
    <w:rsid w:val="0008311E"/>
    <w:rsid w:val="000941BB"/>
    <w:rsid w:val="00096990"/>
    <w:rsid w:val="000A39CC"/>
    <w:rsid w:val="000A3FC2"/>
    <w:rsid w:val="000A78A2"/>
    <w:rsid w:val="000B1ED6"/>
    <w:rsid w:val="000B42BB"/>
    <w:rsid w:val="000B5C3F"/>
    <w:rsid w:val="000B648B"/>
    <w:rsid w:val="000B6A9B"/>
    <w:rsid w:val="000D3835"/>
    <w:rsid w:val="000D7AE6"/>
    <w:rsid w:val="000E0B5B"/>
    <w:rsid w:val="000E0B9D"/>
    <w:rsid w:val="000E50CD"/>
    <w:rsid w:val="000E56AB"/>
    <w:rsid w:val="000E5D36"/>
    <w:rsid w:val="000F02B3"/>
    <w:rsid w:val="000F7477"/>
    <w:rsid w:val="00104CE5"/>
    <w:rsid w:val="001065AA"/>
    <w:rsid w:val="00111740"/>
    <w:rsid w:val="00112410"/>
    <w:rsid w:val="00115998"/>
    <w:rsid w:val="00116B17"/>
    <w:rsid w:val="0012401E"/>
    <w:rsid w:val="00124A50"/>
    <w:rsid w:val="00124E51"/>
    <w:rsid w:val="00127600"/>
    <w:rsid w:val="001304AF"/>
    <w:rsid w:val="0013622F"/>
    <w:rsid w:val="00137AA6"/>
    <w:rsid w:val="00142FF4"/>
    <w:rsid w:val="00151D4B"/>
    <w:rsid w:val="00156EFF"/>
    <w:rsid w:val="00164300"/>
    <w:rsid w:val="00170A8C"/>
    <w:rsid w:val="00172762"/>
    <w:rsid w:val="00174A2A"/>
    <w:rsid w:val="001763CF"/>
    <w:rsid w:val="0018268B"/>
    <w:rsid w:val="00185E0A"/>
    <w:rsid w:val="00190C01"/>
    <w:rsid w:val="00191144"/>
    <w:rsid w:val="00193C3D"/>
    <w:rsid w:val="001945C0"/>
    <w:rsid w:val="001A422D"/>
    <w:rsid w:val="001A6CA5"/>
    <w:rsid w:val="001B4071"/>
    <w:rsid w:val="001B62A2"/>
    <w:rsid w:val="001C17CE"/>
    <w:rsid w:val="001C4C4B"/>
    <w:rsid w:val="001C678D"/>
    <w:rsid w:val="001D3B17"/>
    <w:rsid w:val="001D56A3"/>
    <w:rsid w:val="001E0DCB"/>
    <w:rsid w:val="001F528B"/>
    <w:rsid w:val="001F7265"/>
    <w:rsid w:val="00213251"/>
    <w:rsid w:val="00220108"/>
    <w:rsid w:val="00232577"/>
    <w:rsid w:val="002326AB"/>
    <w:rsid w:val="00234860"/>
    <w:rsid w:val="00234865"/>
    <w:rsid w:val="00235310"/>
    <w:rsid w:val="00237419"/>
    <w:rsid w:val="00244F01"/>
    <w:rsid w:val="00255608"/>
    <w:rsid w:val="00255CC7"/>
    <w:rsid w:val="00261F44"/>
    <w:rsid w:val="002664EF"/>
    <w:rsid w:val="00273C68"/>
    <w:rsid w:val="002761A2"/>
    <w:rsid w:val="002775BE"/>
    <w:rsid w:val="00281CB7"/>
    <w:rsid w:val="00291007"/>
    <w:rsid w:val="00293A34"/>
    <w:rsid w:val="002A0DF2"/>
    <w:rsid w:val="002B2795"/>
    <w:rsid w:val="002C1489"/>
    <w:rsid w:val="002C4976"/>
    <w:rsid w:val="002C4ACE"/>
    <w:rsid w:val="002C76A5"/>
    <w:rsid w:val="002C7AE9"/>
    <w:rsid w:val="002D1B7B"/>
    <w:rsid w:val="002D5B1C"/>
    <w:rsid w:val="002D6883"/>
    <w:rsid w:val="002E5159"/>
    <w:rsid w:val="002F355B"/>
    <w:rsid w:val="002F3ABC"/>
    <w:rsid w:val="003015CB"/>
    <w:rsid w:val="00302AB2"/>
    <w:rsid w:val="00306ADE"/>
    <w:rsid w:val="00306EBE"/>
    <w:rsid w:val="0031027E"/>
    <w:rsid w:val="0031108C"/>
    <w:rsid w:val="00311F02"/>
    <w:rsid w:val="0031592A"/>
    <w:rsid w:val="00315A08"/>
    <w:rsid w:val="003174E6"/>
    <w:rsid w:val="003210D9"/>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8259D"/>
    <w:rsid w:val="003833ED"/>
    <w:rsid w:val="003838D1"/>
    <w:rsid w:val="00383D09"/>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03B"/>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4FC"/>
    <w:rsid w:val="004D5AA0"/>
    <w:rsid w:val="004D61F0"/>
    <w:rsid w:val="004D7B76"/>
    <w:rsid w:val="004E1F86"/>
    <w:rsid w:val="004E3526"/>
    <w:rsid w:val="004E3A11"/>
    <w:rsid w:val="004E4B1C"/>
    <w:rsid w:val="004E6766"/>
    <w:rsid w:val="004E7CCD"/>
    <w:rsid w:val="004F1678"/>
    <w:rsid w:val="004F4CEF"/>
    <w:rsid w:val="004F7F19"/>
    <w:rsid w:val="005036BD"/>
    <w:rsid w:val="00507173"/>
    <w:rsid w:val="00507B8B"/>
    <w:rsid w:val="005131C5"/>
    <w:rsid w:val="005239BE"/>
    <w:rsid w:val="0052581E"/>
    <w:rsid w:val="00525FB8"/>
    <w:rsid w:val="00526931"/>
    <w:rsid w:val="00527433"/>
    <w:rsid w:val="00531DD6"/>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51CF"/>
    <w:rsid w:val="00576063"/>
    <w:rsid w:val="005805F4"/>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341F6"/>
    <w:rsid w:val="00634A59"/>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35"/>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16934"/>
    <w:rsid w:val="00721114"/>
    <w:rsid w:val="00721E4A"/>
    <w:rsid w:val="00723879"/>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A42D9"/>
    <w:rsid w:val="008B1A39"/>
    <w:rsid w:val="008B6FB1"/>
    <w:rsid w:val="008C5A20"/>
    <w:rsid w:val="008C73FD"/>
    <w:rsid w:val="008D0C8E"/>
    <w:rsid w:val="008D444B"/>
    <w:rsid w:val="008D658C"/>
    <w:rsid w:val="008E41F8"/>
    <w:rsid w:val="008F4063"/>
    <w:rsid w:val="008F4808"/>
    <w:rsid w:val="008F6E23"/>
    <w:rsid w:val="00902A5B"/>
    <w:rsid w:val="00912B26"/>
    <w:rsid w:val="00913CD8"/>
    <w:rsid w:val="00914C68"/>
    <w:rsid w:val="00916861"/>
    <w:rsid w:val="009260AC"/>
    <w:rsid w:val="00926866"/>
    <w:rsid w:val="00926C58"/>
    <w:rsid w:val="00930832"/>
    <w:rsid w:val="0093090F"/>
    <w:rsid w:val="009339CE"/>
    <w:rsid w:val="00933A8F"/>
    <w:rsid w:val="009360EE"/>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06E3"/>
    <w:rsid w:val="00971161"/>
    <w:rsid w:val="00973159"/>
    <w:rsid w:val="00975164"/>
    <w:rsid w:val="00987059"/>
    <w:rsid w:val="009941E9"/>
    <w:rsid w:val="00994469"/>
    <w:rsid w:val="00995A6C"/>
    <w:rsid w:val="009960E3"/>
    <w:rsid w:val="00996BDC"/>
    <w:rsid w:val="009A4672"/>
    <w:rsid w:val="009A6BAD"/>
    <w:rsid w:val="009B0229"/>
    <w:rsid w:val="009B0A43"/>
    <w:rsid w:val="009B21F7"/>
    <w:rsid w:val="009B2D15"/>
    <w:rsid w:val="009B306F"/>
    <w:rsid w:val="009B486B"/>
    <w:rsid w:val="009B5B4A"/>
    <w:rsid w:val="009C2943"/>
    <w:rsid w:val="009C4949"/>
    <w:rsid w:val="009C4CDC"/>
    <w:rsid w:val="009C7A01"/>
    <w:rsid w:val="009E0655"/>
    <w:rsid w:val="009E585A"/>
    <w:rsid w:val="009F08E9"/>
    <w:rsid w:val="00A0077B"/>
    <w:rsid w:val="00A02F2E"/>
    <w:rsid w:val="00A02F36"/>
    <w:rsid w:val="00A17A5D"/>
    <w:rsid w:val="00A21829"/>
    <w:rsid w:val="00A31376"/>
    <w:rsid w:val="00A341B9"/>
    <w:rsid w:val="00A35830"/>
    <w:rsid w:val="00A36D1F"/>
    <w:rsid w:val="00A41FCE"/>
    <w:rsid w:val="00A502F4"/>
    <w:rsid w:val="00A527CF"/>
    <w:rsid w:val="00A5416F"/>
    <w:rsid w:val="00A55745"/>
    <w:rsid w:val="00A56857"/>
    <w:rsid w:val="00A60C37"/>
    <w:rsid w:val="00A6531E"/>
    <w:rsid w:val="00A671C3"/>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1704"/>
    <w:rsid w:val="00AD312D"/>
    <w:rsid w:val="00AD66D2"/>
    <w:rsid w:val="00AD7C51"/>
    <w:rsid w:val="00AE08A0"/>
    <w:rsid w:val="00AE4346"/>
    <w:rsid w:val="00AE7669"/>
    <w:rsid w:val="00AE7F47"/>
    <w:rsid w:val="00AF2528"/>
    <w:rsid w:val="00AF4C09"/>
    <w:rsid w:val="00B00C44"/>
    <w:rsid w:val="00B0165F"/>
    <w:rsid w:val="00B06A31"/>
    <w:rsid w:val="00B148DD"/>
    <w:rsid w:val="00B174BE"/>
    <w:rsid w:val="00B25644"/>
    <w:rsid w:val="00B263CA"/>
    <w:rsid w:val="00B300A0"/>
    <w:rsid w:val="00B36400"/>
    <w:rsid w:val="00B40590"/>
    <w:rsid w:val="00B44E3B"/>
    <w:rsid w:val="00B50D3A"/>
    <w:rsid w:val="00B519DC"/>
    <w:rsid w:val="00B54290"/>
    <w:rsid w:val="00B557F7"/>
    <w:rsid w:val="00B618E6"/>
    <w:rsid w:val="00B6302E"/>
    <w:rsid w:val="00B6443E"/>
    <w:rsid w:val="00B66E38"/>
    <w:rsid w:val="00B808D6"/>
    <w:rsid w:val="00B86E1A"/>
    <w:rsid w:val="00B91FE2"/>
    <w:rsid w:val="00B97F29"/>
    <w:rsid w:val="00BA460F"/>
    <w:rsid w:val="00BB3A35"/>
    <w:rsid w:val="00BC17E4"/>
    <w:rsid w:val="00BC18AE"/>
    <w:rsid w:val="00BC7BDA"/>
    <w:rsid w:val="00BD2E21"/>
    <w:rsid w:val="00BD3D75"/>
    <w:rsid w:val="00BD7AAC"/>
    <w:rsid w:val="00BE1873"/>
    <w:rsid w:val="00BE4867"/>
    <w:rsid w:val="00BF1102"/>
    <w:rsid w:val="00BF4B46"/>
    <w:rsid w:val="00BF62A2"/>
    <w:rsid w:val="00BF6354"/>
    <w:rsid w:val="00BF63EA"/>
    <w:rsid w:val="00BF7BE5"/>
    <w:rsid w:val="00BF7D34"/>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A7B5D"/>
    <w:rsid w:val="00CB0D09"/>
    <w:rsid w:val="00CB1E3C"/>
    <w:rsid w:val="00CB3AF2"/>
    <w:rsid w:val="00CB524F"/>
    <w:rsid w:val="00CB555E"/>
    <w:rsid w:val="00CB5F02"/>
    <w:rsid w:val="00CB614A"/>
    <w:rsid w:val="00CC3F7D"/>
    <w:rsid w:val="00CC4047"/>
    <w:rsid w:val="00CC48FD"/>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103"/>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1636"/>
    <w:rsid w:val="00DA5129"/>
    <w:rsid w:val="00DA6EAF"/>
    <w:rsid w:val="00DA6F00"/>
    <w:rsid w:val="00DB4B22"/>
    <w:rsid w:val="00DC4657"/>
    <w:rsid w:val="00DD0134"/>
    <w:rsid w:val="00DD5308"/>
    <w:rsid w:val="00DD728E"/>
    <w:rsid w:val="00DD74E8"/>
    <w:rsid w:val="00DE4377"/>
    <w:rsid w:val="00DE4843"/>
    <w:rsid w:val="00DE4B65"/>
    <w:rsid w:val="00DE64CD"/>
    <w:rsid w:val="00DF2339"/>
    <w:rsid w:val="00E03CF9"/>
    <w:rsid w:val="00E06B5C"/>
    <w:rsid w:val="00E11B1A"/>
    <w:rsid w:val="00E13091"/>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215B"/>
    <w:rsid w:val="00EC43E0"/>
    <w:rsid w:val="00ED08BC"/>
    <w:rsid w:val="00ED535A"/>
    <w:rsid w:val="00ED6D92"/>
    <w:rsid w:val="00EE1E17"/>
    <w:rsid w:val="00EF7C6C"/>
    <w:rsid w:val="00F04BE2"/>
    <w:rsid w:val="00F108E8"/>
    <w:rsid w:val="00F25211"/>
    <w:rsid w:val="00F260B5"/>
    <w:rsid w:val="00F313D1"/>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D1C53"/>
    <w:rsid w:val="00FD29D2"/>
    <w:rsid w:val="00FD3380"/>
    <w:rsid w:val="00FD5AFB"/>
    <w:rsid w:val="00FE12A4"/>
    <w:rsid w:val="00FE6AD3"/>
    <w:rsid w:val="00FE6E86"/>
    <w:rsid w:val="00FE704A"/>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4061</Words>
  <Characters>23150</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27157</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2026-04-23T19:07:00Z</dcterms:created>
  <dcterms:modified xsi:type="dcterms:W3CDTF">2026-04-23T19:07:00Z</dcterms:modified>
</cp:coreProperties>
</file>