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173ACF8" w:rsidR="008000CF" w:rsidRDefault="00744760" w:rsidP="00346AD3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0205A9CE" w14:textId="77777777" w:rsidR="00346AD3" w:rsidRPr="00346AD3" w:rsidRDefault="00346AD3" w:rsidP="00346AD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32AEA6CF" w:rsidR="008000CF" w:rsidRPr="00A840C0" w:rsidRDefault="00926ACE" w:rsidP="00926ACE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840C0">
        <w:rPr>
          <w:rFonts w:ascii="Book Antiqua" w:hAnsi="Book Antiqua"/>
          <w:lang w:val="es-PR"/>
        </w:rPr>
        <w:t xml:space="preserve">20ma. </w:t>
      </w:r>
      <w:r w:rsidR="008000CF" w:rsidRPr="00A840C0">
        <w:rPr>
          <w:rFonts w:ascii="Book Antiqua" w:hAnsi="Book Antiqua"/>
          <w:lang w:val="es-PR"/>
        </w:rPr>
        <w:t xml:space="preserve">Asamblea </w:t>
      </w:r>
      <w:r w:rsidR="008000CF" w:rsidRPr="00A840C0">
        <w:rPr>
          <w:rFonts w:ascii="Book Antiqua" w:hAnsi="Book Antiqua"/>
          <w:lang w:val="es-PR"/>
        </w:rPr>
        <w:tab/>
      </w:r>
      <w:r w:rsidR="00D311E5" w:rsidRPr="00A840C0">
        <w:rPr>
          <w:rFonts w:ascii="Book Antiqua" w:hAnsi="Book Antiqua"/>
          <w:lang w:val="es-PR"/>
        </w:rPr>
        <w:t xml:space="preserve"> </w:t>
      </w:r>
      <w:r w:rsidRPr="00A840C0">
        <w:rPr>
          <w:rFonts w:ascii="Book Antiqua" w:hAnsi="Book Antiqua"/>
          <w:lang w:val="es-PR"/>
        </w:rPr>
        <w:tab/>
      </w:r>
      <w:r w:rsidRPr="00A840C0">
        <w:rPr>
          <w:rFonts w:ascii="Book Antiqua" w:hAnsi="Book Antiqua"/>
          <w:lang w:val="es-PR"/>
        </w:rPr>
        <w:tab/>
      </w:r>
      <w:r w:rsidRPr="00A840C0">
        <w:rPr>
          <w:rFonts w:ascii="Book Antiqua" w:hAnsi="Book Antiqua"/>
          <w:lang w:val="es-PR"/>
        </w:rPr>
        <w:tab/>
      </w:r>
      <w:r w:rsidRPr="00A840C0">
        <w:rPr>
          <w:rFonts w:ascii="Book Antiqua" w:hAnsi="Book Antiqua"/>
          <w:lang w:val="es-PR"/>
        </w:rPr>
        <w:tab/>
      </w:r>
      <w:r w:rsidRPr="00A840C0">
        <w:rPr>
          <w:rFonts w:ascii="Book Antiqua" w:hAnsi="Book Antiqua"/>
          <w:lang w:val="es-PR"/>
        </w:rPr>
        <w:tab/>
      </w:r>
      <w:r w:rsidRPr="00A840C0">
        <w:rPr>
          <w:rFonts w:ascii="Book Antiqua" w:hAnsi="Book Antiqua"/>
          <w:lang w:val="es-PR"/>
        </w:rPr>
        <w:tab/>
      </w:r>
      <w:r w:rsidRPr="00A840C0">
        <w:rPr>
          <w:rFonts w:ascii="Book Antiqua" w:hAnsi="Book Antiqua"/>
          <w:lang w:val="es-PR"/>
        </w:rPr>
        <w:tab/>
        <w:t xml:space="preserve">          2da.</w:t>
      </w:r>
      <w:r w:rsidR="008000CF" w:rsidRPr="00A840C0">
        <w:rPr>
          <w:rFonts w:ascii="Book Antiqua" w:hAnsi="Book Antiqua"/>
          <w:lang w:val="es-PR"/>
        </w:rPr>
        <w:t xml:space="preserve"> Sesión</w:t>
      </w:r>
    </w:p>
    <w:p w14:paraId="2B0D9D49" w14:textId="31D74E98" w:rsidR="008000CF" w:rsidRPr="00A840C0" w:rsidRDefault="008000CF" w:rsidP="00926ACE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840C0">
        <w:rPr>
          <w:rFonts w:ascii="Book Antiqua" w:hAnsi="Book Antiqua"/>
          <w:lang w:val="es-PR"/>
        </w:rPr>
        <w:tab/>
        <w:t>Legislativa</w:t>
      </w:r>
      <w:r w:rsidRPr="00A840C0">
        <w:rPr>
          <w:rFonts w:ascii="Book Antiqua" w:hAnsi="Book Antiqua"/>
          <w:lang w:val="es-PR"/>
        </w:rPr>
        <w:tab/>
        <w:t xml:space="preserve"> </w:t>
      </w:r>
      <w:r w:rsidR="00926ACE" w:rsidRPr="00A840C0">
        <w:rPr>
          <w:rFonts w:ascii="Book Antiqua" w:hAnsi="Book Antiqua"/>
          <w:lang w:val="es-PR"/>
        </w:rPr>
        <w:tab/>
      </w:r>
      <w:r w:rsidR="00926ACE" w:rsidRPr="00A840C0">
        <w:rPr>
          <w:rFonts w:ascii="Book Antiqua" w:hAnsi="Book Antiqua"/>
          <w:lang w:val="es-PR"/>
        </w:rPr>
        <w:tab/>
      </w:r>
      <w:r w:rsidR="00926ACE" w:rsidRPr="00A840C0">
        <w:rPr>
          <w:rFonts w:ascii="Book Antiqua" w:hAnsi="Book Antiqua"/>
          <w:lang w:val="es-PR"/>
        </w:rPr>
        <w:tab/>
      </w:r>
      <w:r w:rsidR="00926ACE" w:rsidRPr="00A840C0">
        <w:rPr>
          <w:rFonts w:ascii="Book Antiqua" w:hAnsi="Book Antiqua"/>
          <w:lang w:val="es-PR"/>
        </w:rPr>
        <w:tab/>
      </w:r>
      <w:r w:rsidR="00926ACE" w:rsidRPr="00A840C0">
        <w:rPr>
          <w:rFonts w:ascii="Book Antiqua" w:hAnsi="Book Antiqua"/>
          <w:lang w:val="es-PR"/>
        </w:rPr>
        <w:tab/>
      </w:r>
      <w:r w:rsidR="00926ACE" w:rsidRPr="00A840C0">
        <w:rPr>
          <w:rFonts w:ascii="Book Antiqua" w:hAnsi="Book Antiqua"/>
          <w:lang w:val="es-PR"/>
        </w:rPr>
        <w:tab/>
      </w:r>
      <w:r w:rsidR="00926ACE" w:rsidRPr="00A840C0">
        <w:rPr>
          <w:rFonts w:ascii="Book Antiqua" w:hAnsi="Book Antiqua"/>
          <w:lang w:val="es-PR"/>
        </w:rPr>
        <w:tab/>
      </w:r>
      <w:r w:rsidR="00926ACE" w:rsidRPr="00A840C0">
        <w:rPr>
          <w:rFonts w:ascii="Book Antiqua" w:hAnsi="Book Antiqua"/>
          <w:lang w:val="es-PR"/>
        </w:rPr>
        <w:tab/>
        <w:t xml:space="preserve">      </w:t>
      </w:r>
      <w:r w:rsidRPr="00A840C0">
        <w:rPr>
          <w:rFonts w:ascii="Book Antiqua" w:hAnsi="Book Antiqua"/>
          <w:lang w:val="es-PR"/>
        </w:rPr>
        <w:t>Ordinaria</w:t>
      </w:r>
    </w:p>
    <w:p w14:paraId="4457BF94" w14:textId="77777777" w:rsidR="008000CF" w:rsidRPr="00A840C0" w:rsidRDefault="008000CF" w:rsidP="00346AD3">
      <w:pPr>
        <w:suppressLineNumbers/>
        <w:spacing w:after="0" w:line="240" w:lineRule="auto"/>
        <w:rPr>
          <w:rFonts w:ascii="Book Antiqua" w:hAnsi="Book Antiqua"/>
          <w:sz w:val="24"/>
          <w:szCs w:val="24"/>
          <w:lang w:val="es-PR"/>
        </w:rPr>
      </w:pPr>
    </w:p>
    <w:p w14:paraId="755D643C" w14:textId="77777777" w:rsidR="00F952CA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02FD59B8" w:rsidR="00F952CA" w:rsidRDefault="009C0BA8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C.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 de la C.</w:t>
      </w:r>
      <w:r w:rsidR="004E11A0">
        <w:rPr>
          <w:rFonts w:ascii="Book Antiqua" w:hAnsi="Book Antiqua"/>
          <w:b/>
          <w:sz w:val="52"/>
          <w:lang w:val="es-ES_tradnl"/>
        </w:rPr>
        <w:t xml:space="preserve"> </w:t>
      </w:r>
      <w:r w:rsidR="00CE4F66">
        <w:rPr>
          <w:rFonts w:ascii="Book Antiqua" w:hAnsi="Book Antiqua"/>
          <w:b/>
          <w:sz w:val="52"/>
          <w:lang w:val="es-ES_tradnl"/>
        </w:rPr>
        <w:t>206</w:t>
      </w:r>
    </w:p>
    <w:p w14:paraId="25B6A744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3FC992ED" w:rsidR="00F952CA" w:rsidRPr="009A6D62" w:rsidRDefault="00CE4F66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22</w:t>
      </w:r>
      <w:r w:rsidR="00FB2A2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44760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BE6576">
        <w:rPr>
          <w:rFonts w:ascii="Book Antiqua" w:hAnsi="Book Antiqua"/>
          <w:sz w:val="24"/>
          <w:szCs w:val="24"/>
          <w:lang w:val="es-ES_tradnl"/>
        </w:rPr>
        <w:t>SEPTIEMBRE</w:t>
      </w:r>
      <w:r w:rsidR="00744760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8D393A7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2E4B19C3" w:rsidR="00F952CA" w:rsidRPr="009A6D62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0D53A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B01F95">
        <w:rPr>
          <w:rFonts w:ascii="Book Antiqua" w:hAnsi="Book Antiqua"/>
          <w:sz w:val="24"/>
          <w:szCs w:val="24"/>
          <w:lang w:val="es-ES_tradnl"/>
        </w:rPr>
        <w:t>el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BE6576">
        <w:rPr>
          <w:rFonts w:ascii="Book Antiqua" w:hAnsi="Book Antiqua"/>
          <w:i/>
          <w:sz w:val="24"/>
          <w:szCs w:val="24"/>
          <w:lang w:val="es-ES_tradnl"/>
        </w:rPr>
        <w:t>Hern</w:t>
      </w:r>
      <w:r w:rsidR="00EF250A">
        <w:rPr>
          <w:rFonts w:ascii="Book Antiqua" w:hAnsi="Book Antiqua"/>
          <w:i/>
          <w:sz w:val="24"/>
          <w:szCs w:val="24"/>
          <w:lang w:val="es-ES_tradnl"/>
        </w:rPr>
        <w:t>á</w:t>
      </w:r>
      <w:r w:rsidR="00BE6576">
        <w:rPr>
          <w:rFonts w:ascii="Book Antiqua" w:hAnsi="Book Antiqua"/>
          <w:i/>
          <w:sz w:val="24"/>
          <w:szCs w:val="24"/>
          <w:lang w:val="es-ES_tradnl"/>
        </w:rPr>
        <w:t xml:space="preserve">ndez Concepción </w:t>
      </w:r>
    </w:p>
    <w:p w14:paraId="4B37594E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5B5ECFC" w14:textId="7D8C5A38" w:rsidR="000A5283" w:rsidRPr="000A5283" w:rsidRDefault="000A5283" w:rsidP="000A528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0A5283">
        <w:rPr>
          <w:rFonts w:ascii="Book Antiqua" w:hAnsi="Book Antiqua"/>
          <w:sz w:val="24"/>
          <w:szCs w:val="24"/>
          <w:lang w:val="es-ES_tradnl"/>
        </w:rPr>
        <w:t>Referida a la</w:t>
      </w:r>
      <w:r w:rsidR="00A840C0">
        <w:rPr>
          <w:rFonts w:ascii="Book Antiqua" w:hAnsi="Book Antiqua"/>
          <w:sz w:val="24"/>
          <w:szCs w:val="24"/>
          <w:lang w:val="es-ES_tradnl"/>
        </w:rPr>
        <w:t xml:space="preserve"> Comisión de Transportación e Infraestructura</w:t>
      </w:r>
    </w:p>
    <w:p w14:paraId="699DD347" w14:textId="77777777" w:rsidR="00F952CA" w:rsidRPr="009A6D62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42F587C2" w:rsidR="00F952CA" w:rsidRPr="00C9407F" w:rsidRDefault="00E72EB5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C9407F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4F181F13" w14:textId="77777777" w:rsidR="00F952CA" w:rsidRPr="00E53BF8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56442247" w14:textId="056508A2" w:rsidR="00BE6576" w:rsidRPr="00BE6576" w:rsidRDefault="00BE6576" w:rsidP="00BE6576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E6576">
        <w:rPr>
          <w:rFonts w:ascii="Book Antiqua" w:hAnsi="Book Antiqua"/>
          <w:sz w:val="24"/>
          <w:szCs w:val="24"/>
          <w:lang w:val="es-ES"/>
        </w:rPr>
        <w:t>Para ordenar a la Autoridad de Carreteras y Transportación</w:t>
      </w:r>
      <w:r w:rsidR="003A78BB">
        <w:rPr>
          <w:rFonts w:ascii="Book Antiqua" w:hAnsi="Book Antiqua"/>
          <w:sz w:val="24"/>
          <w:szCs w:val="24"/>
          <w:lang w:val="es-ES"/>
        </w:rPr>
        <w:t xml:space="preserve"> de Puerto Rico</w:t>
      </w:r>
      <w:r w:rsidRPr="00BE6576">
        <w:rPr>
          <w:rFonts w:ascii="Book Antiqua" w:hAnsi="Book Antiqua"/>
          <w:sz w:val="24"/>
          <w:szCs w:val="24"/>
          <w:lang w:val="es-ES"/>
        </w:rPr>
        <w:t xml:space="preserve"> (ACT) a confeccionar un inventario de todas las vallas publicitarias (“</w:t>
      </w:r>
      <w:proofErr w:type="spellStart"/>
      <w:r w:rsidRPr="00BE6576">
        <w:rPr>
          <w:rFonts w:ascii="Book Antiqua" w:hAnsi="Book Antiqua"/>
          <w:sz w:val="24"/>
          <w:szCs w:val="24"/>
          <w:lang w:val="es-ES"/>
        </w:rPr>
        <w:t>billboards</w:t>
      </w:r>
      <w:proofErr w:type="spellEnd"/>
      <w:r w:rsidRPr="00BE6576">
        <w:rPr>
          <w:rFonts w:ascii="Book Antiqua" w:hAnsi="Book Antiqua"/>
          <w:sz w:val="24"/>
          <w:szCs w:val="24"/>
          <w:lang w:val="es-ES"/>
        </w:rPr>
        <w:t>”) en Puerto Rico, disponiéndose que el Departamento de Transportación y Obras Públicas (DTOP) y la Oficina de Gerencia de Permisos (</w:t>
      </w:r>
      <w:proofErr w:type="spellStart"/>
      <w:r w:rsidRPr="00BE6576">
        <w:rPr>
          <w:rFonts w:ascii="Book Antiqua" w:hAnsi="Book Antiqua"/>
          <w:sz w:val="24"/>
          <w:szCs w:val="24"/>
          <w:lang w:val="es-ES"/>
        </w:rPr>
        <w:t>OGPe</w:t>
      </w:r>
      <w:proofErr w:type="spellEnd"/>
      <w:r w:rsidRPr="00BE6576">
        <w:rPr>
          <w:rFonts w:ascii="Book Antiqua" w:hAnsi="Book Antiqua"/>
          <w:sz w:val="24"/>
          <w:szCs w:val="24"/>
          <w:lang w:val="es-ES"/>
        </w:rPr>
        <w:t xml:space="preserve">) tendrán el deber ministerial de brindar toda asistencia, información y colaboración que le sea requerida por la ACT; dicho inventario deberá detallar si los rótulos cuentan con permisos de construcción y de uso vigentes, si fueron erigidos sin permiso, y si se encuentran en posible violación del </w:t>
      </w:r>
      <w:proofErr w:type="spellStart"/>
      <w:r w:rsidRPr="00BE6576">
        <w:rPr>
          <w:rFonts w:ascii="Book Antiqua" w:hAnsi="Book Antiqua"/>
          <w:sz w:val="24"/>
          <w:szCs w:val="24"/>
          <w:lang w:val="es-ES"/>
        </w:rPr>
        <w:t>Highway</w:t>
      </w:r>
      <w:proofErr w:type="spellEnd"/>
      <w:r w:rsidRPr="00BE6576">
        <w:rPr>
          <w:rFonts w:ascii="Book Antiqua" w:hAnsi="Book Antiqua"/>
          <w:sz w:val="24"/>
          <w:szCs w:val="24"/>
          <w:lang w:val="es-ES"/>
        </w:rPr>
        <w:t xml:space="preserve"> </w:t>
      </w:r>
      <w:proofErr w:type="spellStart"/>
      <w:r w:rsidRPr="00BE6576">
        <w:rPr>
          <w:rFonts w:ascii="Book Antiqua" w:hAnsi="Book Antiqua"/>
          <w:sz w:val="24"/>
          <w:szCs w:val="24"/>
          <w:lang w:val="es-ES"/>
        </w:rPr>
        <w:t>Beautification</w:t>
      </w:r>
      <w:proofErr w:type="spellEnd"/>
      <w:r w:rsidRPr="00BE6576">
        <w:rPr>
          <w:rFonts w:ascii="Book Antiqua" w:hAnsi="Book Antiqua"/>
          <w:sz w:val="24"/>
          <w:szCs w:val="24"/>
          <w:lang w:val="es-ES"/>
        </w:rPr>
        <w:t xml:space="preserve"> </w:t>
      </w:r>
      <w:proofErr w:type="spellStart"/>
      <w:r w:rsidRPr="00BE6576">
        <w:rPr>
          <w:rFonts w:ascii="Book Antiqua" w:hAnsi="Book Antiqua"/>
          <w:sz w:val="24"/>
          <w:szCs w:val="24"/>
          <w:lang w:val="es-ES"/>
        </w:rPr>
        <w:t>Act</w:t>
      </w:r>
      <w:proofErr w:type="spellEnd"/>
      <w:r w:rsidRPr="00BE6576">
        <w:rPr>
          <w:rFonts w:ascii="Book Antiqua" w:hAnsi="Book Antiqua"/>
          <w:sz w:val="24"/>
          <w:szCs w:val="24"/>
          <w:lang w:val="es-ES"/>
        </w:rPr>
        <w:t xml:space="preserve"> de 1965 o de cualquier otra ley o reglamento federal aplicable; y para otros fines relacionados.</w:t>
      </w:r>
    </w:p>
    <w:p w14:paraId="5A83B929" w14:textId="77777777" w:rsidR="004F58BA" w:rsidRPr="001600D4" w:rsidRDefault="004F58BA" w:rsidP="00346AD3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0BF99D" w14:textId="77777777" w:rsidR="00EB1F69" w:rsidRDefault="00EB1F69" w:rsidP="00346AD3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</w:p>
    <w:p w14:paraId="285897EC" w14:textId="77777777" w:rsidR="00BE6576" w:rsidRDefault="00BE6576" w:rsidP="00BE6576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"/>
        </w:rPr>
      </w:pPr>
      <w:r w:rsidRPr="00BE6576">
        <w:rPr>
          <w:rFonts w:ascii="Book Antiqua" w:hAnsi="Book Antiqua"/>
          <w:lang w:val="es-ES"/>
        </w:rPr>
        <w:t xml:space="preserve">La proliferación de rótulos y vallas publicitarias, conocidos comúnmente como </w:t>
      </w:r>
      <w:proofErr w:type="spellStart"/>
      <w:r w:rsidRPr="00BE6576">
        <w:rPr>
          <w:rFonts w:ascii="Book Antiqua" w:hAnsi="Book Antiqua"/>
          <w:lang w:val="es-ES"/>
        </w:rPr>
        <w:t>billboards</w:t>
      </w:r>
      <w:proofErr w:type="spellEnd"/>
      <w:r w:rsidRPr="00BE6576">
        <w:rPr>
          <w:rFonts w:ascii="Book Antiqua" w:hAnsi="Book Antiqua"/>
          <w:lang w:val="es-ES"/>
        </w:rPr>
        <w:t>, en las carreteras y vías públicas de Puerto Rico constituye un asunto que impacta la seguridad vial, la planificación ordenada y la estética del paisaje urbano y rural. Además, el crecimiento descontrolado de estas estructuras expone al Gobierno de Puerto Rico a riesgos significativos de incumplimiento con la legislación federal aplicable, con consecuencias directas sobre el financiamiento de nuestra infraestructura vial.</w:t>
      </w:r>
    </w:p>
    <w:p w14:paraId="666E6A63" w14:textId="77777777" w:rsidR="00BE6576" w:rsidRPr="00BE6576" w:rsidRDefault="00BE6576" w:rsidP="00BE6576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"/>
        </w:rPr>
      </w:pPr>
    </w:p>
    <w:p w14:paraId="69C8F9D8" w14:textId="20681649" w:rsidR="00BE6576" w:rsidRDefault="00BE6576" w:rsidP="00BE6576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"/>
        </w:rPr>
      </w:pPr>
      <w:r w:rsidRPr="00BE6576">
        <w:rPr>
          <w:rFonts w:ascii="Book Antiqua" w:hAnsi="Book Antiqua"/>
          <w:lang w:val="es-ES"/>
        </w:rPr>
        <w:t xml:space="preserve">En 1965, el Congreso de los Estados Unidos aprobó el </w:t>
      </w:r>
      <w:proofErr w:type="spellStart"/>
      <w:r w:rsidRPr="00BE6576">
        <w:rPr>
          <w:rFonts w:ascii="Book Antiqua" w:hAnsi="Book Antiqua"/>
          <w:lang w:val="es-ES"/>
        </w:rPr>
        <w:t>Highway</w:t>
      </w:r>
      <w:proofErr w:type="spellEnd"/>
      <w:r w:rsidRPr="00BE6576">
        <w:rPr>
          <w:rFonts w:ascii="Book Antiqua" w:hAnsi="Book Antiqua"/>
          <w:lang w:val="es-ES"/>
        </w:rPr>
        <w:t xml:space="preserve"> </w:t>
      </w:r>
      <w:proofErr w:type="spellStart"/>
      <w:r w:rsidRPr="00BE6576">
        <w:rPr>
          <w:rFonts w:ascii="Book Antiqua" w:hAnsi="Book Antiqua"/>
          <w:lang w:val="es-ES"/>
        </w:rPr>
        <w:t>Beautification</w:t>
      </w:r>
      <w:proofErr w:type="spellEnd"/>
      <w:r w:rsidRPr="00BE6576">
        <w:rPr>
          <w:rFonts w:ascii="Book Antiqua" w:hAnsi="Book Antiqua"/>
          <w:lang w:val="es-ES"/>
        </w:rPr>
        <w:t xml:space="preserve"> </w:t>
      </w:r>
      <w:proofErr w:type="spellStart"/>
      <w:r w:rsidRPr="00BE6576">
        <w:rPr>
          <w:rFonts w:ascii="Book Antiqua" w:hAnsi="Book Antiqua"/>
          <w:lang w:val="es-ES"/>
        </w:rPr>
        <w:t>Act</w:t>
      </w:r>
      <w:proofErr w:type="spellEnd"/>
      <w:r w:rsidRPr="00BE6576">
        <w:rPr>
          <w:rFonts w:ascii="Book Antiqua" w:hAnsi="Book Antiqua"/>
          <w:lang w:val="es-ES"/>
        </w:rPr>
        <w:t xml:space="preserve"> (HBA), codificado en el 23 U.S.C. §131</w:t>
      </w:r>
      <w:r w:rsidR="009976D4">
        <w:rPr>
          <w:rStyle w:val="Refdenotaalpie"/>
          <w:rFonts w:ascii="Book Antiqua" w:hAnsi="Book Antiqua"/>
          <w:lang w:val="es-ES"/>
        </w:rPr>
        <w:footnoteReference w:id="1"/>
      </w:r>
      <w:r w:rsidRPr="00BE6576">
        <w:rPr>
          <w:rFonts w:ascii="Book Antiqua" w:hAnsi="Book Antiqua"/>
          <w:lang w:val="es-ES"/>
        </w:rPr>
        <w:t xml:space="preserve">, con el propósito de asegurar el “control efectivo” de la publicidad exterior adyacente a las carreteras del sistema interestatal y de las rutas </w:t>
      </w:r>
      <w:r w:rsidRPr="00BE6576">
        <w:rPr>
          <w:rFonts w:ascii="Book Antiqua" w:hAnsi="Book Antiqua"/>
          <w:lang w:val="es-ES"/>
        </w:rPr>
        <w:lastRenderedPageBreak/>
        <w:t xml:space="preserve">primarias federales. Bajo esta ley, los estados y territorios están obligados a mantener mecanismos efectivos de control sobre el tamaño, la iluminación, la localización y el espaciamiento de los </w:t>
      </w:r>
      <w:proofErr w:type="spellStart"/>
      <w:r w:rsidRPr="00BE6576">
        <w:rPr>
          <w:rFonts w:ascii="Book Antiqua" w:hAnsi="Book Antiqua"/>
          <w:lang w:val="es-ES"/>
        </w:rPr>
        <w:t>billboards</w:t>
      </w:r>
      <w:proofErr w:type="spellEnd"/>
      <w:r w:rsidRPr="00BE6576">
        <w:rPr>
          <w:rFonts w:ascii="Book Antiqua" w:hAnsi="Book Antiqua"/>
          <w:lang w:val="es-ES"/>
        </w:rPr>
        <w:t>. El incumplimiento con estos requisitos conlleva una sanción severa: la reducción del 10% de los fondos federales de carreteras asignados anualmente.</w:t>
      </w:r>
    </w:p>
    <w:p w14:paraId="19040A22" w14:textId="77777777" w:rsidR="00BE6576" w:rsidRPr="00BE6576" w:rsidRDefault="00BE6576" w:rsidP="00532994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"/>
        </w:rPr>
      </w:pPr>
    </w:p>
    <w:p w14:paraId="4B37FDED" w14:textId="77777777" w:rsidR="00532994" w:rsidRDefault="00BE6576" w:rsidP="00BE6576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"/>
        </w:rPr>
      </w:pPr>
      <w:r w:rsidRPr="00BE6576">
        <w:rPr>
          <w:rFonts w:ascii="Book Antiqua" w:hAnsi="Book Antiqua"/>
          <w:lang w:val="es-ES"/>
        </w:rPr>
        <w:t xml:space="preserve">No obstante, en la práctica, Puerto Rico carece hoy de un inventario confiable y actualizado que permita identificar con certeza cuántos </w:t>
      </w:r>
      <w:proofErr w:type="spellStart"/>
      <w:r w:rsidRPr="00BE6576">
        <w:rPr>
          <w:rFonts w:ascii="Book Antiqua" w:hAnsi="Book Antiqua"/>
          <w:lang w:val="es-ES"/>
        </w:rPr>
        <w:t>billboards</w:t>
      </w:r>
      <w:proofErr w:type="spellEnd"/>
      <w:r w:rsidRPr="00BE6576">
        <w:rPr>
          <w:rFonts w:ascii="Book Antiqua" w:hAnsi="Book Antiqua"/>
          <w:lang w:val="es-ES"/>
        </w:rPr>
        <w:t xml:space="preserve"> existen, dónde están localizados y si cumplen con los permisos de construcción y uso requeridos. Existen denuncias de estructuras erigidas sin permisos, otras con permisos vencidos, y un número indeterminado que podría estar en violación directa del HBA y otras disposiciones federales. Esta ausencia de información centralizada coloca a Puerto Rico en una posición vulnerable frente al escrutinio federal. La situación exige una acción inmediata y coordinada. </w:t>
      </w:r>
    </w:p>
    <w:p w14:paraId="51F5EF5C" w14:textId="77777777" w:rsidR="00532994" w:rsidRDefault="00532994" w:rsidP="00BE6576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"/>
        </w:rPr>
      </w:pPr>
    </w:p>
    <w:p w14:paraId="6B53295F" w14:textId="7E0C023B" w:rsidR="00BE6576" w:rsidRDefault="00BE6576" w:rsidP="00BE6576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"/>
        </w:rPr>
      </w:pPr>
      <w:r w:rsidRPr="00BE6576">
        <w:rPr>
          <w:rFonts w:ascii="Book Antiqua" w:hAnsi="Book Antiqua"/>
          <w:lang w:val="es-ES"/>
        </w:rPr>
        <w:t xml:space="preserve">La Autoridad de Carreteras y Transportación (ACT), como custodio principal de nuestra red vial, debe asumir el liderato en confeccionar un inventario integral de todos los </w:t>
      </w:r>
      <w:proofErr w:type="spellStart"/>
      <w:r w:rsidRPr="00BE6576">
        <w:rPr>
          <w:rFonts w:ascii="Book Antiqua" w:hAnsi="Book Antiqua"/>
          <w:lang w:val="es-ES"/>
        </w:rPr>
        <w:t>billboards</w:t>
      </w:r>
      <w:proofErr w:type="spellEnd"/>
      <w:r w:rsidRPr="00BE6576">
        <w:rPr>
          <w:rFonts w:ascii="Book Antiqua" w:hAnsi="Book Antiqua"/>
          <w:lang w:val="es-ES"/>
        </w:rPr>
        <w:t xml:space="preserve"> en Puerto Rico. Para cumplir cabalmente con esta encomienda, el Departamento de Transportación y Obras Públicas (DTOP) y la Oficina de Gerencia de Permisos (</w:t>
      </w:r>
      <w:proofErr w:type="spellStart"/>
      <w:r w:rsidRPr="00BE6576">
        <w:rPr>
          <w:rFonts w:ascii="Book Antiqua" w:hAnsi="Book Antiqua"/>
          <w:lang w:val="es-ES"/>
        </w:rPr>
        <w:t>OGPe</w:t>
      </w:r>
      <w:proofErr w:type="spellEnd"/>
      <w:r w:rsidRPr="00BE6576">
        <w:rPr>
          <w:rFonts w:ascii="Book Antiqua" w:hAnsi="Book Antiqua"/>
          <w:lang w:val="es-ES"/>
        </w:rPr>
        <w:t>) tendrán el deber ministerial de proveer toda la información, asistencia y colaboración necesaria, incluyendo datos de permisos, historial de trámites y cualquier otra evidencia documental pertinente.</w:t>
      </w:r>
      <w:r w:rsidR="00532994">
        <w:rPr>
          <w:rFonts w:ascii="Book Antiqua" w:hAnsi="Book Antiqua"/>
          <w:lang w:val="es-ES"/>
        </w:rPr>
        <w:t xml:space="preserve"> </w:t>
      </w:r>
      <w:r w:rsidRPr="00BE6576">
        <w:rPr>
          <w:rFonts w:ascii="Book Antiqua" w:hAnsi="Book Antiqua"/>
          <w:lang w:val="es-ES"/>
        </w:rPr>
        <w:t>Ese inventario deberá precisar, para cada estructura: si cuenta con permisos de construcción y de uso, la vigencia de los mismos, si fue erigida sin permiso o si opera en violación a las normas estatales o federales. Igualmente, deberá identificar aquellas estructuras que pudieran estar en incumplimiento del HBA u otras leyes o reglamentos federales, de modo que Puerto Rico pueda adoptar de inmediato las medidas correctivas que aseguren el cumplimiento con la normativa federal y salvaguarden los fondos que financian nuestro sistema vial.</w:t>
      </w:r>
    </w:p>
    <w:p w14:paraId="45469ECC" w14:textId="77777777" w:rsidR="00BE6576" w:rsidRPr="00BE6576" w:rsidRDefault="00BE6576" w:rsidP="00BE6576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"/>
        </w:rPr>
      </w:pPr>
    </w:p>
    <w:p w14:paraId="70670D8E" w14:textId="39C97594" w:rsidR="00BE6576" w:rsidRPr="00BE6576" w:rsidRDefault="00BE6576" w:rsidP="00BE6576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"/>
        </w:rPr>
      </w:pPr>
      <w:r w:rsidRPr="00BE6576">
        <w:rPr>
          <w:rFonts w:ascii="Book Antiqua" w:hAnsi="Book Antiqua"/>
          <w:lang w:val="es-ES"/>
        </w:rPr>
        <w:t>El cumplimiento con lo básico</w:t>
      </w:r>
      <w:r>
        <w:rPr>
          <w:rFonts w:ascii="Book Antiqua" w:hAnsi="Book Antiqua"/>
          <w:lang w:val="es-ES"/>
        </w:rPr>
        <w:t xml:space="preserve">, </w:t>
      </w:r>
      <w:r w:rsidRPr="00BE6576">
        <w:rPr>
          <w:rFonts w:ascii="Book Antiqua" w:hAnsi="Book Antiqua"/>
          <w:lang w:val="es-ES"/>
        </w:rPr>
        <w:t>la certeza de que nuestras carreteras cumplen con la ley federal y de que no perderemos fondos esenciales por inacción</w:t>
      </w:r>
      <w:r>
        <w:rPr>
          <w:rFonts w:ascii="Book Antiqua" w:hAnsi="Book Antiqua"/>
          <w:lang w:val="es-ES"/>
        </w:rPr>
        <w:t xml:space="preserve"> </w:t>
      </w:r>
      <w:r w:rsidRPr="00BE6576">
        <w:rPr>
          <w:rFonts w:ascii="Book Antiqua" w:hAnsi="Book Antiqua"/>
          <w:lang w:val="es-ES"/>
        </w:rPr>
        <w:t>es un deber ineludible de esta Asamblea Legislativa. Esta Resolución Conjunta busca proveer al país de una herramienta esencial de planificación y fiscalización: un inventario único, completo y verificable de la publicidad exterior en nuestras carreteras, que permita restablecer el orden, garantizar la seguridad vial y proteger los recursos federales que sostienen la infraestructura de Puerto Rico.</w:t>
      </w:r>
    </w:p>
    <w:p w14:paraId="3E75AF8A" w14:textId="77777777" w:rsidR="00307A25" w:rsidRPr="004B6E50" w:rsidRDefault="00307A25" w:rsidP="003A78BB">
      <w:pPr>
        <w:suppressLineNumbers/>
        <w:shd w:val="clear" w:color="auto" w:fill="FFFFFF"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7F0D6F74" w:rsidR="008000CF" w:rsidRPr="004B6E50" w:rsidRDefault="00571A4A" w:rsidP="00926ACE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B6E50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4B6E50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B6E50">
        <w:rPr>
          <w:rFonts w:ascii="Book Antiqua" w:hAnsi="Book Antiqua"/>
          <w:i/>
          <w:sz w:val="24"/>
          <w:szCs w:val="24"/>
          <w:lang w:val="es-ES_tradnl"/>
        </w:rPr>
        <w:t>SE POR LA ASAMBLEA LEGISLATIVA DE PUERTO RICO:</w:t>
      </w:r>
    </w:p>
    <w:p w14:paraId="655572CE" w14:textId="6D7FA911" w:rsidR="00571A4A" w:rsidRDefault="00712A4B" w:rsidP="00926ACE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 1.- Se ordena</w:t>
      </w:r>
      <w:r w:rsidR="00BE6576">
        <w:rPr>
          <w:rFonts w:ascii="Book Antiqua" w:hAnsi="Book Antiqua"/>
          <w:sz w:val="24"/>
          <w:szCs w:val="24"/>
          <w:lang w:val="es-ES"/>
        </w:rPr>
        <w:t xml:space="preserve"> </w:t>
      </w:r>
      <w:bookmarkStart w:id="0" w:name="_Hlk208324453"/>
      <w:r w:rsidR="00BE6576" w:rsidRPr="00BE6576">
        <w:rPr>
          <w:rFonts w:ascii="Book Antiqua" w:hAnsi="Book Antiqua"/>
          <w:sz w:val="24"/>
          <w:szCs w:val="24"/>
          <w:lang w:val="es-ES"/>
        </w:rPr>
        <w:t xml:space="preserve">a la </w:t>
      </w:r>
      <w:bookmarkStart w:id="1" w:name="_Hlk208324635"/>
      <w:r w:rsidR="00BE6576" w:rsidRPr="00BE6576">
        <w:rPr>
          <w:rFonts w:ascii="Book Antiqua" w:hAnsi="Book Antiqua"/>
          <w:sz w:val="24"/>
          <w:szCs w:val="24"/>
          <w:lang w:val="es-ES"/>
        </w:rPr>
        <w:t>Autoridad de Carreteras y Transportación (ACT)</w:t>
      </w:r>
      <w:bookmarkEnd w:id="0"/>
      <w:bookmarkEnd w:id="1"/>
      <w:r w:rsidR="00BE6576" w:rsidRPr="00BE6576">
        <w:rPr>
          <w:rFonts w:ascii="Book Antiqua" w:hAnsi="Book Antiqua"/>
          <w:sz w:val="24"/>
          <w:szCs w:val="24"/>
          <w:lang w:val="es-ES"/>
        </w:rPr>
        <w:t xml:space="preserve"> a confeccionar un inventario de todas las vallas publicitarias (“</w:t>
      </w:r>
      <w:proofErr w:type="spellStart"/>
      <w:r w:rsidR="00BE6576" w:rsidRPr="00BE6576">
        <w:rPr>
          <w:rFonts w:ascii="Book Antiqua" w:hAnsi="Book Antiqua"/>
          <w:sz w:val="24"/>
          <w:szCs w:val="24"/>
          <w:lang w:val="es-ES"/>
        </w:rPr>
        <w:t>billboards</w:t>
      </w:r>
      <w:proofErr w:type="spellEnd"/>
      <w:r w:rsidR="00BE6576" w:rsidRPr="00BE6576">
        <w:rPr>
          <w:rFonts w:ascii="Book Antiqua" w:hAnsi="Book Antiqua"/>
          <w:sz w:val="24"/>
          <w:szCs w:val="24"/>
          <w:lang w:val="es-ES"/>
        </w:rPr>
        <w:t xml:space="preserve">”) en Puerto Rico, </w:t>
      </w:r>
      <w:r w:rsidR="00BE6576" w:rsidRPr="00BE6576">
        <w:rPr>
          <w:rFonts w:ascii="Book Antiqua" w:hAnsi="Book Antiqua"/>
          <w:sz w:val="24"/>
          <w:szCs w:val="24"/>
          <w:lang w:val="es-ES"/>
        </w:rPr>
        <w:lastRenderedPageBreak/>
        <w:t>disponiéndose que el Departamento de Transportación y Obras Públicas (DTOP) y la Oficina de Gerencia de Permisos (</w:t>
      </w:r>
      <w:proofErr w:type="spellStart"/>
      <w:r w:rsidR="00BE6576" w:rsidRPr="00BE6576">
        <w:rPr>
          <w:rFonts w:ascii="Book Antiqua" w:hAnsi="Book Antiqua"/>
          <w:sz w:val="24"/>
          <w:szCs w:val="24"/>
          <w:lang w:val="es-ES"/>
        </w:rPr>
        <w:t>OGPe</w:t>
      </w:r>
      <w:proofErr w:type="spellEnd"/>
      <w:r w:rsidR="00BE6576" w:rsidRPr="00BE6576">
        <w:rPr>
          <w:rFonts w:ascii="Book Antiqua" w:hAnsi="Book Antiqua"/>
          <w:sz w:val="24"/>
          <w:szCs w:val="24"/>
          <w:lang w:val="es-ES"/>
        </w:rPr>
        <w:t xml:space="preserve">) tendrán el deber ministerial de brindar toda asistencia, información y colaboración que le sea requerida por la ACT; dicho inventario deberá detallar si los rótulos cuentan con permisos de construcción y de uso vigentes, si fueron erigidos sin permiso, y si se encuentran en posible violación del </w:t>
      </w:r>
      <w:proofErr w:type="spellStart"/>
      <w:r w:rsidR="00BE6576" w:rsidRPr="00BE6576">
        <w:rPr>
          <w:rFonts w:ascii="Book Antiqua" w:hAnsi="Book Antiqua"/>
          <w:sz w:val="24"/>
          <w:szCs w:val="24"/>
          <w:lang w:val="es-ES"/>
        </w:rPr>
        <w:t>Highway</w:t>
      </w:r>
      <w:proofErr w:type="spellEnd"/>
      <w:r w:rsidR="00BE6576" w:rsidRPr="00BE6576">
        <w:rPr>
          <w:rFonts w:ascii="Book Antiqua" w:hAnsi="Book Antiqua"/>
          <w:sz w:val="24"/>
          <w:szCs w:val="24"/>
          <w:lang w:val="es-ES"/>
        </w:rPr>
        <w:t xml:space="preserve"> </w:t>
      </w:r>
      <w:proofErr w:type="spellStart"/>
      <w:r w:rsidR="00BE6576" w:rsidRPr="00BE6576">
        <w:rPr>
          <w:rFonts w:ascii="Book Antiqua" w:hAnsi="Book Antiqua"/>
          <w:sz w:val="24"/>
          <w:szCs w:val="24"/>
          <w:lang w:val="es-ES"/>
        </w:rPr>
        <w:t>Beautification</w:t>
      </w:r>
      <w:proofErr w:type="spellEnd"/>
      <w:r w:rsidR="00BE6576" w:rsidRPr="00BE6576">
        <w:rPr>
          <w:rFonts w:ascii="Book Antiqua" w:hAnsi="Book Antiqua"/>
          <w:sz w:val="24"/>
          <w:szCs w:val="24"/>
          <w:lang w:val="es-ES"/>
        </w:rPr>
        <w:t xml:space="preserve"> </w:t>
      </w:r>
      <w:proofErr w:type="spellStart"/>
      <w:r w:rsidR="00BE6576" w:rsidRPr="00BE6576">
        <w:rPr>
          <w:rFonts w:ascii="Book Antiqua" w:hAnsi="Book Antiqua"/>
          <w:sz w:val="24"/>
          <w:szCs w:val="24"/>
          <w:lang w:val="es-ES"/>
        </w:rPr>
        <w:t>Act</w:t>
      </w:r>
      <w:proofErr w:type="spellEnd"/>
      <w:r w:rsidR="00BE6576" w:rsidRPr="00BE6576">
        <w:rPr>
          <w:rFonts w:ascii="Book Antiqua" w:hAnsi="Book Antiqua"/>
          <w:sz w:val="24"/>
          <w:szCs w:val="24"/>
          <w:lang w:val="es-ES"/>
        </w:rPr>
        <w:t xml:space="preserve"> de 1965 o de cualquier otra ley o reglamento federal aplicable</w:t>
      </w:r>
      <w:r w:rsidR="00F83354">
        <w:rPr>
          <w:rFonts w:ascii="Book Antiqua" w:hAnsi="Book Antiqua"/>
          <w:sz w:val="24"/>
          <w:szCs w:val="24"/>
          <w:lang w:val="es-ES"/>
        </w:rPr>
        <w:t>.</w:t>
      </w:r>
    </w:p>
    <w:p w14:paraId="182547D1" w14:textId="36C3B0BF" w:rsidR="00202AD8" w:rsidRPr="004B6E50" w:rsidRDefault="00202AD8" w:rsidP="00926ACE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7852EB">
        <w:rPr>
          <w:rFonts w:ascii="Book Antiqua" w:hAnsi="Book Antiqua"/>
          <w:sz w:val="24"/>
          <w:szCs w:val="24"/>
          <w:lang w:val="es-ES"/>
        </w:rPr>
        <w:t>Sección 2.- Se ordena</w:t>
      </w:r>
      <w:r w:rsidR="00BE6576">
        <w:rPr>
          <w:rFonts w:ascii="Book Antiqua" w:hAnsi="Book Antiqua"/>
          <w:sz w:val="24"/>
          <w:szCs w:val="24"/>
          <w:lang w:val="es-ES"/>
        </w:rPr>
        <w:t xml:space="preserve"> </w:t>
      </w:r>
      <w:r w:rsidR="00BE6576" w:rsidRPr="00BE6576">
        <w:rPr>
          <w:rFonts w:ascii="Book Antiqua" w:hAnsi="Book Antiqua"/>
          <w:sz w:val="24"/>
          <w:szCs w:val="24"/>
          <w:lang w:val="es-ES"/>
        </w:rPr>
        <w:t>a la Autoridad de Carreteras y Transportación (ACT)</w:t>
      </w:r>
      <w:r w:rsidRPr="007852EB">
        <w:rPr>
          <w:rFonts w:ascii="Book Antiqua" w:hAnsi="Book Antiqua"/>
          <w:sz w:val="24"/>
          <w:szCs w:val="24"/>
          <w:lang w:val="es-ES"/>
        </w:rPr>
        <w:t>,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 revisar </w:t>
      </w:r>
      <w:r w:rsidR="00843EBF">
        <w:rPr>
          <w:rFonts w:ascii="Book Antiqua" w:hAnsi="Book Antiqua"/>
          <w:sz w:val="24"/>
          <w:szCs w:val="24"/>
          <w:lang w:val="es-ES"/>
        </w:rPr>
        <w:t xml:space="preserve">sus </w:t>
      </w:r>
      <w:r w:rsidR="00BD5B1A">
        <w:rPr>
          <w:rFonts w:ascii="Book Antiqua" w:hAnsi="Book Antiqua"/>
          <w:sz w:val="24"/>
          <w:szCs w:val="24"/>
          <w:lang w:val="es-ES"/>
        </w:rPr>
        <w:t>reglamentos</w:t>
      </w:r>
      <w:r w:rsidR="00D50F1B">
        <w:rPr>
          <w:rFonts w:ascii="Book Antiqua" w:hAnsi="Book Antiqua"/>
          <w:sz w:val="24"/>
          <w:szCs w:val="24"/>
          <w:lang w:val="es-ES"/>
        </w:rPr>
        <w:t xml:space="preserve"> o políticas internas</w:t>
      </w:r>
      <w:r w:rsidRPr="007852EB">
        <w:rPr>
          <w:rFonts w:ascii="Book Antiqua" w:hAnsi="Book Antiqua"/>
          <w:sz w:val="24"/>
          <w:szCs w:val="24"/>
          <w:lang w:val="es-ES"/>
        </w:rPr>
        <w:t xml:space="preserve">, 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para que incluyan los procedimientos </w:t>
      </w:r>
      <w:r w:rsidR="003A78BB">
        <w:rPr>
          <w:rFonts w:ascii="Book Antiqua" w:hAnsi="Book Antiqua"/>
          <w:sz w:val="24"/>
          <w:szCs w:val="24"/>
          <w:lang w:val="es-ES"/>
        </w:rPr>
        <w:t>ordenados en la Sesión 1 de esta Resolución Conjunta</w:t>
      </w:r>
      <w:r w:rsidRPr="007852EB">
        <w:rPr>
          <w:rFonts w:ascii="Book Antiqua" w:hAnsi="Book Antiqua"/>
          <w:sz w:val="24"/>
          <w:szCs w:val="24"/>
          <w:lang w:val="es-ES"/>
        </w:rPr>
        <w:t>.</w:t>
      </w:r>
    </w:p>
    <w:p w14:paraId="39D9721E" w14:textId="08478B9A" w:rsidR="00712A4B" w:rsidRDefault="008B1908" w:rsidP="00926ACE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3</w:t>
      </w:r>
      <w:r w:rsidRPr="004B6E50">
        <w:rPr>
          <w:rFonts w:ascii="Book Antiqua" w:hAnsi="Book Antiqua"/>
          <w:sz w:val="24"/>
          <w:szCs w:val="24"/>
          <w:lang w:val="es-PR"/>
        </w:rPr>
        <w:t>.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</w:t>
      </w:r>
      <w:r w:rsidR="003A78BB">
        <w:rPr>
          <w:rFonts w:ascii="Book Antiqua" w:hAnsi="Book Antiqua"/>
          <w:sz w:val="24"/>
          <w:szCs w:val="24"/>
          <w:lang w:val="es-PR"/>
        </w:rPr>
        <w:t xml:space="preserve">La </w:t>
      </w:r>
      <w:r w:rsidR="003A78BB" w:rsidRPr="003A78BB">
        <w:rPr>
          <w:rFonts w:ascii="Book Antiqua" w:hAnsi="Book Antiqua"/>
          <w:sz w:val="24"/>
          <w:szCs w:val="24"/>
          <w:lang w:val="es-ES"/>
        </w:rPr>
        <w:t>Autoridad de Carreteras y Transportación</w:t>
      </w:r>
      <w:r w:rsidR="003A78BB">
        <w:rPr>
          <w:rFonts w:ascii="Book Antiqua" w:hAnsi="Book Antiqua"/>
          <w:sz w:val="24"/>
          <w:szCs w:val="24"/>
          <w:lang w:val="es-ES"/>
        </w:rPr>
        <w:t xml:space="preserve"> de Puerto Rico</w:t>
      </w:r>
      <w:r w:rsidR="003A78BB" w:rsidRPr="003A78BB">
        <w:rPr>
          <w:rFonts w:ascii="Book Antiqua" w:hAnsi="Book Antiqua"/>
          <w:sz w:val="24"/>
          <w:szCs w:val="24"/>
          <w:lang w:val="es-ES"/>
        </w:rPr>
        <w:t xml:space="preserve"> (ACT)</w:t>
      </w:r>
      <w:r w:rsidR="003A78BB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cuenta con </w:t>
      </w:r>
      <w:r w:rsidR="003A78BB">
        <w:rPr>
          <w:rFonts w:ascii="Book Antiqua" w:hAnsi="Book Antiqua"/>
          <w:sz w:val="24"/>
          <w:szCs w:val="24"/>
          <w:lang w:val="es-ES_tradnl"/>
        </w:rPr>
        <w:t>ciento ochenta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(</w:t>
      </w:r>
      <w:r w:rsidR="003A78BB">
        <w:rPr>
          <w:rFonts w:ascii="Book Antiqua" w:hAnsi="Book Antiqua"/>
          <w:sz w:val="24"/>
          <w:szCs w:val="24"/>
          <w:lang w:val="es-ES_tradnl"/>
        </w:rPr>
        <w:t>18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0) días, después de la aprobación de esta medida, para 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establecer los procedimientos y cumplir con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>las disposiciones que se ordenan en la Sección 1 y 2 de esta Resolución Conjunta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04BF1CCA" w:rsidR="008B1908" w:rsidRPr="004B6E50" w:rsidRDefault="008B1908" w:rsidP="00926ACE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4</w:t>
      </w:r>
      <w:r w:rsidRPr="004B6E50">
        <w:rPr>
          <w:rFonts w:ascii="Book Antiqua" w:hAnsi="Book Antiqua"/>
          <w:sz w:val="24"/>
          <w:szCs w:val="24"/>
          <w:lang w:val="es-PR"/>
        </w:rPr>
        <w:t>.-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Se ordena </w:t>
      </w:r>
      <w:r w:rsidR="003A78BB">
        <w:rPr>
          <w:rFonts w:ascii="Book Antiqua" w:hAnsi="Book Antiqua"/>
          <w:sz w:val="24"/>
          <w:szCs w:val="24"/>
          <w:lang w:val="es-PR"/>
        </w:rPr>
        <w:t xml:space="preserve">a la </w:t>
      </w:r>
      <w:r w:rsidR="003A78BB" w:rsidRPr="003A78BB">
        <w:rPr>
          <w:rFonts w:ascii="Book Antiqua" w:hAnsi="Book Antiqua"/>
          <w:sz w:val="24"/>
          <w:szCs w:val="24"/>
          <w:lang w:val="es-ES"/>
        </w:rPr>
        <w:t xml:space="preserve">Autoridad de Carreteras y Transportación </w:t>
      </w:r>
      <w:r w:rsidR="003A78BB">
        <w:rPr>
          <w:rFonts w:ascii="Book Antiqua" w:hAnsi="Book Antiqua"/>
          <w:sz w:val="24"/>
          <w:szCs w:val="24"/>
          <w:lang w:val="es-ES"/>
        </w:rPr>
        <w:t xml:space="preserve">de Puerto Rico </w:t>
      </w:r>
      <w:r w:rsidR="003A78BB" w:rsidRPr="003A78BB">
        <w:rPr>
          <w:rFonts w:ascii="Book Antiqua" w:hAnsi="Book Antiqua"/>
          <w:sz w:val="24"/>
          <w:szCs w:val="24"/>
          <w:lang w:val="es-ES"/>
        </w:rPr>
        <w:t>(ACT)</w:t>
      </w:r>
      <w:r w:rsidR="003A78BB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>
        <w:rPr>
          <w:rFonts w:ascii="Book Antiqua" w:hAnsi="Book Antiqua"/>
          <w:sz w:val="24"/>
          <w:szCs w:val="24"/>
          <w:lang w:val="es-PR"/>
        </w:rPr>
        <w:t>a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informar a la Asamblea Legislativa, a través de </w:t>
      </w:r>
      <w:r w:rsidR="00171F07">
        <w:rPr>
          <w:rFonts w:ascii="Book Antiqua" w:hAnsi="Book Antiqua"/>
          <w:sz w:val="24"/>
          <w:szCs w:val="24"/>
          <w:lang w:val="es-ES_tradnl"/>
        </w:rPr>
        <w:t>la Secretaría de cada Cuerpo, sobre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las gestiones llevadas a cabo para cumplir con los propósitos de esta Resolución Conjunta, en un término no mayor de diez (10) días laborables, a partir del transcurso del per</w:t>
      </w:r>
      <w:r w:rsidR="00171F07">
        <w:rPr>
          <w:rFonts w:ascii="Book Antiqua" w:hAnsi="Book Antiqua"/>
          <w:sz w:val="24"/>
          <w:szCs w:val="24"/>
          <w:lang w:val="es-ES_tradnl"/>
        </w:rPr>
        <w:t>iodo establecido en la Sección 3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que antecede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160BF9A6" w14:textId="2A4198DF" w:rsidR="00712A4B" w:rsidRPr="004B6E50" w:rsidRDefault="00571A4A" w:rsidP="00926ACE">
      <w:pPr>
        <w:spacing w:after="0"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ES"/>
        </w:rPr>
        <w:t>5</w:t>
      </w:r>
      <w:r w:rsidR="00712A4B">
        <w:rPr>
          <w:rFonts w:ascii="Book Antiqua" w:hAnsi="Book Antiqua"/>
          <w:sz w:val="24"/>
          <w:szCs w:val="24"/>
          <w:lang w:val="es-ES"/>
        </w:rPr>
        <w:t>.-</w:t>
      </w:r>
      <w:r w:rsidR="00171F07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 xml:space="preserve">Esta Resolución </w:t>
      </w:r>
      <w:r w:rsidR="003813B4">
        <w:rPr>
          <w:rFonts w:ascii="Book Antiqua" w:hAnsi="Book Antiqua"/>
          <w:sz w:val="24"/>
          <w:szCs w:val="24"/>
          <w:lang w:val="es-PR"/>
        </w:rPr>
        <w:t xml:space="preserve">Conjunta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entrará en vigor inmediatamente después de su aprobación</w:t>
      </w:r>
      <w:r w:rsidR="00171F07">
        <w:rPr>
          <w:rFonts w:ascii="Book Antiqua" w:hAnsi="Book Antiqua"/>
          <w:sz w:val="24"/>
          <w:szCs w:val="24"/>
          <w:lang w:val="es-PR"/>
        </w:rPr>
        <w:t>.</w:t>
      </w:r>
    </w:p>
    <w:sectPr w:rsidR="00712A4B" w:rsidRPr="004B6E50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840ED" w14:textId="77777777" w:rsidR="00F352A0" w:rsidRDefault="00F352A0" w:rsidP="00316E72">
      <w:pPr>
        <w:spacing w:after="0" w:line="240" w:lineRule="auto"/>
      </w:pPr>
      <w:r>
        <w:separator/>
      </w:r>
    </w:p>
  </w:endnote>
  <w:endnote w:type="continuationSeparator" w:id="0">
    <w:p w14:paraId="2CD4A20B" w14:textId="77777777" w:rsidR="00F352A0" w:rsidRDefault="00F352A0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7659F" w14:textId="77777777" w:rsidR="00F352A0" w:rsidRDefault="00F352A0" w:rsidP="00316E72">
      <w:pPr>
        <w:spacing w:after="0" w:line="240" w:lineRule="auto"/>
      </w:pPr>
      <w:r>
        <w:separator/>
      </w:r>
    </w:p>
  </w:footnote>
  <w:footnote w:type="continuationSeparator" w:id="0">
    <w:p w14:paraId="386A2261" w14:textId="77777777" w:rsidR="00F352A0" w:rsidRDefault="00F352A0" w:rsidP="00316E72">
      <w:pPr>
        <w:spacing w:after="0" w:line="240" w:lineRule="auto"/>
      </w:pPr>
      <w:r>
        <w:continuationSeparator/>
      </w:r>
    </w:p>
  </w:footnote>
  <w:footnote w:id="1">
    <w:p w14:paraId="542B9EFF" w14:textId="3EB71696" w:rsidR="009976D4" w:rsidRPr="009976D4" w:rsidRDefault="009976D4">
      <w:pPr>
        <w:pStyle w:val="Textonotapie"/>
        <w:rPr>
          <w:lang w:val="es-PR"/>
        </w:rPr>
      </w:pPr>
      <w:r>
        <w:rPr>
          <w:rStyle w:val="Refdenotaalpie"/>
        </w:rPr>
        <w:footnoteRef/>
      </w:r>
      <w:r w:rsidRPr="009976D4">
        <w:rPr>
          <w:lang w:val="es-PR"/>
        </w:rPr>
        <w:t xml:space="preserve"> 23 U.S.C. § 131. Disponible en: </w:t>
      </w:r>
      <w:hyperlink r:id="rId1" w:tgtFrame="_new" w:history="1">
        <w:r w:rsidRPr="009976D4">
          <w:rPr>
            <w:rStyle w:val="Hipervnculo"/>
            <w:lang w:val="es-PR"/>
          </w:rPr>
          <w:t>https://www.law.cornell.edu/uscode/text/23/131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F43C1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0"/>
  </w:num>
  <w:num w:numId="2" w16cid:durableId="68699391">
    <w:abstractNumId w:val="33"/>
  </w:num>
  <w:num w:numId="3" w16cid:durableId="1791238797">
    <w:abstractNumId w:val="23"/>
  </w:num>
  <w:num w:numId="4" w16cid:durableId="1797064993">
    <w:abstractNumId w:val="17"/>
  </w:num>
  <w:num w:numId="5" w16cid:durableId="738212010">
    <w:abstractNumId w:val="32"/>
  </w:num>
  <w:num w:numId="6" w16cid:durableId="90706332">
    <w:abstractNumId w:val="22"/>
  </w:num>
  <w:num w:numId="7" w16cid:durableId="790326396">
    <w:abstractNumId w:val="12"/>
  </w:num>
  <w:num w:numId="8" w16cid:durableId="2078476431">
    <w:abstractNumId w:val="8"/>
  </w:num>
  <w:num w:numId="9" w16cid:durableId="1205672429">
    <w:abstractNumId w:val="27"/>
  </w:num>
  <w:num w:numId="10" w16cid:durableId="849876190">
    <w:abstractNumId w:val="21"/>
  </w:num>
  <w:num w:numId="11" w16cid:durableId="701593915">
    <w:abstractNumId w:val="4"/>
  </w:num>
  <w:num w:numId="12" w16cid:durableId="194197606">
    <w:abstractNumId w:val="15"/>
  </w:num>
  <w:num w:numId="13" w16cid:durableId="984090710">
    <w:abstractNumId w:val="28"/>
  </w:num>
  <w:num w:numId="14" w16cid:durableId="573510704">
    <w:abstractNumId w:val="16"/>
  </w:num>
  <w:num w:numId="15" w16cid:durableId="1515607920">
    <w:abstractNumId w:val="29"/>
  </w:num>
  <w:num w:numId="16" w16cid:durableId="442965735">
    <w:abstractNumId w:val="13"/>
  </w:num>
  <w:num w:numId="17" w16cid:durableId="740255270">
    <w:abstractNumId w:val="6"/>
  </w:num>
  <w:num w:numId="18" w16cid:durableId="775949067">
    <w:abstractNumId w:val="14"/>
  </w:num>
  <w:num w:numId="19" w16cid:durableId="643631561">
    <w:abstractNumId w:val="24"/>
  </w:num>
  <w:num w:numId="20" w16cid:durableId="782305866">
    <w:abstractNumId w:val="30"/>
  </w:num>
  <w:num w:numId="21" w16cid:durableId="2060547983">
    <w:abstractNumId w:val="19"/>
  </w:num>
  <w:num w:numId="22" w16cid:durableId="249509281">
    <w:abstractNumId w:val="1"/>
  </w:num>
  <w:num w:numId="23" w16cid:durableId="1804931200">
    <w:abstractNumId w:val="20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1"/>
  </w:num>
  <w:num w:numId="28" w16cid:durableId="549272215">
    <w:abstractNumId w:val="31"/>
  </w:num>
  <w:num w:numId="29" w16cid:durableId="733241187">
    <w:abstractNumId w:val="7"/>
  </w:num>
  <w:num w:numId="30" w16cid:durableId="2140226741">
    <w:abstractNumId w:val="5"/>
  </w:num>
  <w:num w:numId="31" w16cid:durableId="1034624088">
    <w:abstractNumId w:val="18"/>
  </w:num>
  <w:num w:numId="32" w16cid:durableId="1075519210">
    <w:abstractNumId w:val="9"/>
  </w:num>
  <w:num w:numId="33" w16cid:durableId="398290463">
    <w:abstractNumId w:val="25"/>
  </w:num>
  <w:num w:numId="34" w16cid:durableId="15209225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53C0"/>
    <w:rsid w:val="00056A91"/>
    <w:rsid w:val="00057F70"/>
    <w:rsid w:val="00061CA2"/>
    <w:rsid w:val="00062BE6"/>
    <w:rsid w:val="00067EFB"/>
    <w:rsid w:val="00074E98"/>
    <w:rsid w:val="000776AD"/>
    <w:rsid w:val="00082579"/>
    <w:rsid w:val="00095B38"/>
    <w:rsid w:val="00096B77"/>
    <w:rsid w:val="00096E0F"/>
    <w:rsid w:val="000A276C"/>
    <w:rsid w:val="000A3D82"/>
    <w:rsid w:val="000A5283"/>
    <w:rsid w:val="000A787C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2DEB"/>
    <w:rsid w:val="000D53A6"/>
    <w:rsid w:val="000E036B"/>
    <w:rsid w:val="000E7507"/>
    <w:rsid w:val="000F181D"/>
    <w:rsid w:val="000F4BA2"/>
    <w:rsid w:val="000F4C93"/>
    <w:rsid w:val="0010205F"/>
    <w:rsid w:val="00107710"/>
    <w:rsid w:val="00116216"/>
    <w:rsid w:val="001218F8"/>
    <w:rsid w:val="00121BC9"/>
    <w:rsid w:val="00121D33"/>
    <w:rsid w:val="00121DC1"/>
    <w:rsid w:val="00136C66"/>
    <w:rsid w:val="00136FE5"/>
    <w:rsid w:val="00137360"/>
    <w:rsid w:val="0013751D"/>
    <w:rsid w:val="001452B0"/>
    <w:rsid w:val="00147BA2"/>
    <w:rsid w:val="001506FC"/>
    <w:rsid w:val="00156995"/>
    <w:rsid w:val="001600D4"/>
    <w:rsid w:val="00166443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86DF3"/>
    <w:rsid w:val="00193F06"/>
    <w:rsid w:val="001A54D0"/>
    <w:rsid w:val="001B06EA"/>
    <w:rsid w:val="001B1F13"/>
    <w:rsid w:val="001B41FD"/>
    <w:rsid w:val="001B4BCB"/>
    <w:rsid w:val="001B661C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2E9F"/>
    <w:rsid w:val="001F6239"/>
    <w:rsid w:val="001F6BC5"/>
    <w:rsid w:val="00201417"/>
    <w:rsid w:val="002025D3"/>
    <w:rsid w:val="00202AD8"/>
    <w:rsid w:val="002051E4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59D1"/>
    <w:rsid w:val="002560AC"/>
    <w:rsid w:val="00256D58"/>
    <w:rsid w:val="00271803"/>
    <w:rsid w:val="002833D8"/>
    <w:rsid w:val="00283C7B"/>
    <w:rsid w:val="00284945"/>
    <w:rsid w:val="00284F3F"/>
    <w:rsid w:val="00290F15"/>
    <w:rsid w:val="00293C83"/>
    <w:rsid w:val="0029665E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47DC"/>
    <w:rsid w:val="002D566D"/>
    <w:rsid w:val="002D7B1A"/>
    <w:rsid w:val="002E2FB8"/>
    <w:rsid w:val="002E4F00"/>
    <w:rsid w:val="002E7DB9"/>
    <w:rsid w:val="003020A6"/>
    <w:rsid w:val="003025C1"/>
    <w:rsid w:val="00306E95"/>
    <w:rsid w:val="00307A25"/>
    <w:rsid w:val="003133A4"/>
    <w:rsid w:val="00316E72"/>
    <w:rsid w:val="00320F69"/>
    <w:rsid w:val="00321716"/>
    <w:rsid w:val="00323DA0"/>
    <w:rsid w:val="00336C51"/>
    <w:rsid w:val="00336E3C"/>
    <w:rsid w:val="003400C2"/>
    <w:rsid w:val="00343F75"/>
    <w:rsid w:val="00344340"/>
    <w:rsid w:val="00345DD3"/>
    <w:rsid w:val="00346AD3"/>
    <w:rsid w:val="00351B54"/>
    <w:rsid w:val="003555DB"/>
    <w:rsid w:val="00360BAC"/>
    <w:rsid w:val="00366E57"/>
    <w:rsid w:val="00366FE6"/>
    <w:rsid w:val="003741A4"/>
    <w:rsid w:val="003752B1"/>
    <w:rsid w:val="00377378"/>
    <w:rsid w:val="003813B4"/>
    <w:rsid w:val="003823F1"/>
    <w:rsid w:val="0038256A"/>
    <w:rsid w:val="0038325B"/>
    <w:rsid w:val="00383B22"/>
    <w:rsid w:val="00387671"/>
    <w:rsid w:val="003910A3"/>
    <w:rsid w:val="00396199"/>
    <w:rsid w:val="003A7121"/>
    <w:rsid w:val="003A78BB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5A79"/>
    <w:rsid w:val="00406294"/>
    <w:rsid w:val="0042368D"/>
    <w:rsid w:val="0042397E"/>
    <w:rsid w:val="004325A7"/>
    <w:rsid w:val="00432FA1"/>
    <w:rsid w:val="004415EC"/>
    <w:rsid w:val="004441AB"/>
    <w:rsid w:val="00456153"/>
    <w:rsid w:val="004606EB"/>
    <w:rsid w:val="004611E5"/>
    <w:rsid w:val="0046151C"/>
    <w:rsid w:val="00463D02"/>
    <w:rsid w:val="00464686"/>
    <w:rsid w:val="004658DB"/>
    <w:rsid w:val="00466C8B"/>
    <w:rsid w:val="00471C81"/>
    <w:rsid w:val="004736DA"/>
    <w:rsid w:val="004761C7"/>
    <w:rsid w:val="00477CC9"/>
    <w:rsid w:val="00477E61"/>
    <w:rsid w:val="00482451"/>
    <w:rsid w:val="00483F52"/>
    <w:rsid w:val="00490ABE"/>
    <w:rsid w:val="00490E76"/>
    <w:rsid w:val="00491371"/>
    <w:rsid w:val="00492AFE"/>
    <w:rsid w:val="004930A3"/>
    <w:rsid w:val="004977FE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B751D"/>
    <w:rsid w:val="004C1417"/>
    <w:rsid w:val="004D463B"/>
    <w:rsid w:val="004E05C6"/>
    <w:rsid w:val="004E11A0"/>
    <w:rsid w:val="004E5715"/>
    <w:rsid w:val="004F0876"/>
    <w:rsid w:val="004F58BA"/>
    <w:rsid w:val="004F66B4"/>
    <w:rsid w:val="004F7E4B"/>
    <w:rsid w:val="00502B6A"/>
    <w:rsid w:val="00507782"/>
    <w:rsid w:val="00515F96"/>
    <w:rsid w:val="00516D04"/>
    <w:rsid w:val="00517C1B"/>
    <w:rsid w:val="00520238"/>
    <w:rsid w:val="00520669"/>
    <w:rsid w:val="00527462"/>
    <w:rsid w:val="00532994"/>
    <w:rsid w:val="005336C1"/>
    <w:rsid w:val="00542626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6EA9"/>
    <w:rsid w:val="005A4D17"/>
    <w:rsid w:val="005A5AE4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5F7C86"/>
    <w:rsid w:val="0060109F"/>
    <w:rsid w:val="0060122F"/>
    <w:rsid w:val="00601DB3"/>
    <w:rsid w:val="00606891"/>
    <w:rsid w:val="00615B08"/>
    <w:rsid w:val="00620DAB"/>
    <w:rsid w:val="00630D48"/>
    <w:rsid w:val="006352C6"/>
    <w:rsid w:val="006353C4"/>
    <w:rsid w:val="006370C8"/>
    <w:rsid w:val="0065120E"/>
    <w:rsid w:val="00651F24"/>
    <w:rsid w:val="00651F81"/>
    <w:rsid w:val="006562C7"/>
    <w:rsid w:val="0065729B"/>
    <w:rsid w:val="00657F83"/>
    <w:rsid w:val="0066135B"/>
    <w:rsid w:val="00665D12"/>
    <w:rsid w:val="00672325"/>
    <w:rsid w:val="0067311D"/>
    <w:rsid w:val="006853CB"/>
    <w:rsid w:val="006869B3"/>
    <w:rsid w:val="00696067"/>
    <w:rsid w:val="00697955"/>
    <w:rsid w:val="006A0FC1"/>
    <w:rsid w:val="006A2862"/>
    <w:rsid w:val="006A44A6"/>
    <w:rsid w:val="006B3E46"/>
    <w:rsid w:val="006B4482"/>
    <w:rsid w:val="006B53B9"/>
    <w:rsid w:val="006C6CBD"/>
    <w:rsid w:val="006D2C5D"/>
    <w:rsid w:val="006E3B2B"/>
    <w:rsid w:val="006E47C9"/>
    <w:rsid w:val="006E611A"/>
    <w:rsid w:val="006F3DF2"/>
    <w:rsid w:val="00703440"/>
    <w:rsid w:val="007036D0"/>
    <w:rsid w:val="00707FCE"/>
    <w:rsid w:val="00710329"/>
    <w:rsid w:val="0071153F"/>
    <w:rsid w:val="00711D37"/>
    <w:rsid w:val="00712A4B"/>
    <w:rsid w:val="0071409E"/>
    <w:rsid w:val="0071749B"/>
    <w:rsid w:val="00722858"/>
    <w:rsid w:val="007239C3"/>
    <w:rsid w:val="0073057D"/>
    <w:rsid w:val="00731EFC"/>
    <w:rsid w:val="00740D99"/>
    <w:rsid w:val="00742B87"/>
    <w:rsid w:val="00744760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31CC"/>
    <w:rsid w:val="00795CAE"/>
    <w:rsid w:val="007B3861"/>
    <w:rsid w:val="007B523E"/>
    <w:rsid w:val="007B7971"/>
    <w:rsid w:val="007C0EC2"/>
    <w:rsid w:val="007C10B0"/>
    <w:rsid w:val="007C3E8E"/>
    <w:rsid w:val="007D3D34"/>
    <w:rsid w:val="007D7045"/>
    <w:rsid w:val="007D764E"/>
    <w:rsid w:val="007E28D7"/>
    <w:rsid w:val="007E2C56"/>
    <w:rsid w:val="007E3CB7"/>
    <w:rsid w:val="007E3F4B"/>
    <w:rsid w:val="007E4271"/>
    <w:rsid w:val="007E6245"/>
    <w:rsid w:val="007F0F20"/>
    <w:rsid w:val="008000CF"/>
    <w:rsid w:val="00803B84"/>
    <w:rsid w:val="00811089"/>
    <w:rsid w:val="008164AA"/>
    <w:rsid w:val="00820375"/>
    <w:rsid w:val="008245F1"/>
    <w:rsid w:val="0083097F"/>
    <w:rsid w:val="00830A5E"/>
    <w:rsid w:val="008334DD"/>
    <w:rsid w:val="00843EBF"/>
    <w:rsid w:val="00847499"/>
    <w:rsid w:val="00847E52"/>
    <w:rsid w:val="008503B7"/>
    <w:rsid w:val="0085490D"/>
    <w:rsid w:val="00865CA9"/>
    <w:rsid w:val="00866504"/>
    <w:rsid w:val="00866639"/>
    <w:rsid w:val="0086781C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A14C7"/>
    <w:rsid w:val="008A151F"/>
    <w:rsid w:val="008A1658"/>
    <w:rsid w:val="008A3F9D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D4196"/>
    <w:rsid w:val="008E1208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7C6B"/>
    <w:rsid w:val="00912832"/>
    <w:rsid w:val="00914F5A"/>
    <w:rsid w:val="00915506"/>
    <w:rsid w:val="009253A5"/>
    <w:rsid w:val="00926ACE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7036A"/>
    <w:rsid w:val="00975001"/>
    <w:rsid w:val="00975EC8"/>
    <w:rsid w:val="00980BCA"/>
    <w:rsid w:val="009907C0"/>
    <w:rsid w:val="00993209"/>
    <w:rsid w:val="00994DD1"/>
    <w:rsid w:val="009976D4"/>
    <w:rsid w:val="009A3EE0"/>
    <w:rsid w:val="009A6D62"/>
    <w:rsid w:val="009A7724"/>
    <w:rsid w:val="009A775F"/>
    <w:rsid w:val="009B64C7"/>
    <w:rsid w:val="009C018C"/>
    <w:rsid w:val="009C0937"/>
    <w:rsid w:val="009C0BA8"/>
    <w:rsid w:val="009C36F7"/>
    <w:rsid w:val="009C796E"/>
    <w:rsid w:val="009D4197"/>
    <w:rsid w:val="009D671E"/>
    <w:rsid w:val="009F3DF9"/>
    <w:rsid w:val="009F6C08"/>
    <w:rsid w:val="00A1098F"/>
    <w:rsid w:val="00A111DF"/>
    <w:rsid w:val="00A22CE8"/>
    <w:rsid w:val="00A23225"/>
    <w:rsid w:val="00A26501"/>
    <w:rsid w:val="00A3096F"/>
    <w:rsid w:val="00A37109"/>
    <w:rsid w:val="00A45D73"/>
    <w:rsid w:val="00A5313E"/>
    <w:rsid w:val="00A56973"/>
    <w:rsid w:val="00A579D0"/>
    <w:rsid w:val="00A64044"/>
    <w:rsid w:val="00A661FF"/>
    <w:rsid w:val="00A66715"/>
    <w:rsid w:val="00A66E79"/>
    <w:rsid w:val="00A70F29"/>
    <w:rsid w:val="00A74166"/>
    <w:rsid w:val="00A82626"/>
    <w:rsid w:val="00A82EA5"/>
    <w:rsid w:val="00A840C0"/>
    <w:rsid w:val="00A857AC"/>
    <w:rsid w:val="00A870D7"/>
    <w:rsid w:val="00A9012D"/>
    <w:rsid w:val="00A90400"/>
    <w:rsid w:val="00A91EF6"/>
    <w:rsid w:val="00AA4921"/>
    <w:rsid w:val="00AB1B33"/>
    <w:rsid w:val="00AC3B6A"/>
    <w:rsid w:val="00AC57BF"/>
    <w:rsid w:val="00AC77F8"/>
    <w:rsid w:val="00AC7DAA"/>
    <w:rsid w:val="00AD0AF3"/>
    <w:rsid w:val="00AD0C0F"/>
    <w:rsid w:val="00AD2D83"/>
    <w:rsid w:val="00AE2CD2"/>
    <w:rsid w:val="00AF0845"/>
    <w:rsid w:val="00AF2AB8"/>
    <w:rsid w:val="00AF4B1E"/>
    <w:rsid w:val="00AF6EED"/>
    <w:rsid w:val="00AF784D"/>
    <w:rsid w:val="00B01F95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E9D"/>
    <w:rsid w:val="00B33FA0"/>
    <w:rsid w:val="00B359CA"/>
    <w:rsid w:val="00B40357"/>
    <w:rsid w:val="00B404E6"/>
    <w:rsid w:val="00B46291"/>
    <w:rsid w:val="00B46BC7"/>
    <w:rsid w:val="00B4775C"/>
    <w:rsid w:val="00B516FD"/>
    <w:rsid w:val="00B51E7E"/>
    <w:rsid w:val="00B5332C"/>
    <w:rsid w:val="00B62BFF"/>
    <w:rsid w:val="00B64C1D"/>
    <w:rsid w:val="00B70BBB"/>
    <w:rsid w:val="00B72B14"/>
    <w:rsid w:val="00B85DAF"/>
    <w:rsid w:val="00B905A9"/>
    <w:rsid w:val="00B90E29"/>
    <w:rsid w:val="00B93A69"/>
    <w:rsid w:val="00BA35B9"/>
    <w:rsid w:val="00BD5B1A"/>
    <w:rsid w:val="00BD700D"/>
    <w:rsid w:val="00BE0431"/>
    <w:rsid w:val="00BE0D28"/>
    <w:rsid w:val="00BE3DF0"/>
    <w:rsid w:val="00BE6576"/>
    <w:rsid w:val="00BE7D05"/>
    <w:rsid w:val="00BF0E40"/>
    <w:rsid w:val="00BF456F"/>
    <w:rsid w:val="00BF7539"/>
    <w:rsid w:val="00C02A46"/>
    <w:rsid w:val="00C04AD8"/>
    <w:rsid w:val="00C05400"/>
    <w:rsid w:val="00C106A4"/>
    <w:rsid w:val="00C14599"/>
    <w:rsid w:val="00C15680"/>
    <w:rsid w:val="00C20607"/>
    <w:rsid w:val="00C21A86"/>
    <w:rsid w:val="00C246D5"/>
    <w:rsid w:val="00C25057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74B3"/>
    <w:rsid w:val="00C47808"/>
    <w:rsid w:val="00C60B32"/>
    <w:rsid w:val="00C6155F"/>
    <w:rsid w:val="00C75856"/>
    <w:rsid w:val="00C76C94"/>
    <w:rsid w:val="00C80A5B"/>
    <w:rsid w:val="00C85017"/>
    <w:rsid w:val="00C8680D"/>
    <w:rsid w:val="00C9407F"/>
    <w:rsid w:val="00CA546A"/>
    <w:rsid w:val="00CB2559"/>
    <w:rsid w:val="00CB3884"/>
    <w:rsid w:val="00CB3FE9"/>
    <w:rsid w:val="00CB684F"/>
    <w:rsid w:val="00CC26B8"/>
    <w:rsid w:val="00CC4070"/>
    <w:rsid w:val="00CC5D84"/>
    <w:rsid w:val="00CE02DD"/>
    <w:rsid w:val="00CE0947"/>
    <w:rsid w:val="00CE14B4"/>
    <w:rsid w:val="00CE4F66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44929"/>
    <w:rsid w:val="00D50F1B"/>
    <w:rsid w:val="00D51E07"/>
    <w:rsid w:val="00D54313"/>
    <w:rsid w:val="00D54F1B"/>
    <w:rsid w:val="00D648D0"/>
    <w:rsid w:val="00D71781"/>
    <w:rsid w:val="00D778D7"/>
    <w:rsid w:val="00D87333"/>
    <w:rsid w:val="00D953F1"/>
    <w:rsid w:val="00D96C2B"/>
    <w:rsid w:val="00DA03E4"/>
    <w:rsid w:val="00DA298A"/>
    <w:rsid w:val="00DA4283"/>
    <w:rsid w:val="00DB3C04"/>
    <w:rsid w:val="00DB4C5F"/>
    <w:rsid w:val="00DB5553"/>
    <w:rsid w:val="00DB5919"/>
    <w:rsid w:val="00DC1AD3"/>
    <w:rsid w:val="00DC7E02"/>
    <w:rsid w:val="00DD2296"/>
    <w:rsid w:val="00DD4BD4"/>
    <w:rsid w:val="00DD644B"/>
    <w:rsid w:val="00DE3AC1"/>
    <w:rsid w:val="00DE60B3"/>
    <w:rsid w:val="00DF1E05"/>
    <w:rsid w:val="00E00A6E"/>
    <w:rsid w:val="00E00CE5"/>
    <w:rsid w:val="00E01E1C"/>
    <w:rsid w:val="00E05AFB"/>
    <w:rsid w:val="00E06A91"/>
    <w:rsid w:val="00E06BB9"/>
    <w:rsid w:val="00E17831"/>
    <w:rsid w:val="00E212C6"/>
    <w:rsid w:val="00E2308A"/>
    <w:rsid w:val="00E24CBC"/>
    <w:rsid w:val="00E26D0B"/>
    <w:rsid w:val="00E363B5"/>
    <w:rsid w:val="00E410A0"/>
    <w:rsid w:val="00E423C0"/>
    <w:rsid w:val="00E44DF3"/>
    <w:rsid w:val="00E4507A"/>
    <w:rsid w:val="00E50910"/>
    <w:rsid w:val="00E53BF8"/>
    <w:rsid w:val="00E60E5A"/>
    <w:rsid w:val="00E62BFD"/>
    <w:rsid w:val="00E6341C"/>
    <w:rsid w:val="00E67F1D"/>
    <w:rsid w:val="00E713DD"/>
    <w:rsid w:val="00E72D53"/>
    <w:rsid w:val="00E72EB5"/>
    <w:rsid w:val="00E92A0C"/>
    <w:rsid w:val="00EA02B0"/>
    <w:rsid w:val="00EA0C73"/>
    <w:rsid w:val="00EA4CCC"/>
    <w:rsid w:val="00EA51D0"/>
    <w:rsid w:val="00EA5D31"/>
    <w:rsid w:val="00EA657C"/>
    <w:rsid w:val="00EA6BFB"/>
    <w:rsid w:val="00EB1F69"/>
    <w:rsid w:val="00EB2D15"/>
    <w:rsid w:val="00EB5120"/>
    <w:rsid w:val="00EB6A8F"/>
    <w:rsid w:val="00EB7C34"/>
    <w:rsid w:val="00EC0926"/>
    <w:rsid w:val="00EC1612"/>
    <w:rsid w:val="00EC1C93"/>
    <w:rsid w:val="00EC6016"/>
    <w:rsid w:val="00ED0C6E"/>
    <w:rsid w:val="00ED24FA"/>
    <w:rsid w:val="00EE27FB"/>
    <w:rsid w:val="00EE2B04"/>
    <w:rsid w:val="00EE2DE9"/>
    <w:rsid w:val="00EF0CE0"/>
    <w:rsid w:val="00EF250A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2DE9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52A0"/>
    <w:rsid w:val="00F37015"/>
    <w:rsid w:val="00F44038"/>
    <w:rsid w:val="00F46F76"/>
    <w:rsid w:val="00F607D7"/>
    <w:rsid w:val="00F65AB9"/>
    <w:rsid w:val="00F70ECB"/>
    <w:rsid w:val="00F725F4"/>
    <w:rsid w:val="00F778E1"/>
    <w:rsid w:val="00F83354"/>
    <w:rsid w:val="00F91D8F"/>
    <w:rsid w:val="00F952CA"/>
    <w:rsid w:val="00F9624A"/>
    <w:rsid w:val="00FB2A26"/>
    <w:rsid w:val="00FB6AAA"/>
    <w:rsid w:val="00FB6DC8"/>
    <w:rsid w:val="00FC682C"/>
    <w:rsid w:val="00FD67A0"/>
    <w:rsid w:val="00FD7822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5">
    <w:name w:val="heading 5"/>
    <w:basedOn w:val="Normal"/>
    <w:link w:val="Ttulo5C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Encabezado">
    <w:name w:val="header"/>
    <w:basedOn w:val="Normal"/>
    <w:link w:val="EncabezadoC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8000CF"/>
  </w:style>
  <w:style w:type="character" w:styleId="Nmerodelnea">
    <w:name w:val="line number"/>
    <w:basedOn w:val="Fuentedeprrafopredeter"/>
    <w:uiPriority w:val="99"/>
    <w:semiHidden/>
    <w:unhideWhenUsed/>
    <w:rsid w:val="008000CF"/>
  </w:style>
  <w:style w:type="paragraph" w:styleId="Textonotapie">
    <w:name w:val="footnote text"/>
    <w:aliases w:val="5_G"/>
    <w:basedOn w:val="Normal"/>
    <w:link w:val="TextonotapieC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316E72"/>
    <w:rPr>
      <w:sz w:val="20"/>
      <w:szCs w:val="20"/>
    </w:rPr>
  </w:style>
  <w:style w:type="character" w:styleId="Refdenotaalpie">
    <w:name w:val="footnote reference"/>
    <w:aliases w:val="4_G"/>
    <w:basedOn w:val="Fuentedeprrafopredeter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6353C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5Car">
    <w:name w:val="Título 5 Car"/>
    <w:basedOn w:val="Fuentedeprrafopredeter"/>
    <w:link w:val="Ttulo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Fuentedeprrafopredeter"/>
    <w:rsid w:val="006353C4"/>
  </w:style>
  <w:style w:type="character" w:customStyle="1" w:styleId="by">
    <w:name w:val="by"/>
    <w:basedOn w:val="Fuentedeprrafopredeter"/>
    <w:rsid w:val="006353C4"/>
  </w:style>
  <w:style w:type="character" w:customStyle="1" w:styleId="author">
    <w:name w:val="author"/>
    <w:basedOn w:val="Fuentedeprrafopredeter"/>
    <w:rsid w:val="006353C4"/>
  </w:style>
  <w:style w:type="character" w:styleId="Hipervnculo">
    <w:name w:val="Hyperlink"/>
    <w:basedOn w:val="Fuentedeprrafopredeter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Fuentedeprrafopredeter"/>
    <w:rsid w:val="006353C4"/>
  </w:style>
  <w:style w:type="character" w:customStyle="1" w:styleId="sep">
    <w:name w:val="sep"/>
    <w:basedOn w:val="Fuentedeprrafopredeter"/>
    <w:rsid w:val="006353C4"/>
  </w:style>
  <w:style w:type="paragraph" w:styleId="Textodeglobo">
    <w:name w:val="Balloon Text"/>
    <w:basedOn w:val="Normal"/>
    <w:link w:val="TextodegloboC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6AAA"/>
  </w:style>
  <w:style w:type="character" w:customStyle="1" w:styleId="apple-converted-space">
    <w:name w:val="apple-converted-space"/>
    <w:basedOn w:val="Fuentedeprrafopredeter"/>
    <w:rsid w:val="00F21518"/>
  </w:style>
  <w:style w:type="paragraph" w:styleId="Sinespaciado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angradetextonormal">
    <w:name w:val="Body Text Indent"/>
    <w:basedOn w:val="Normal"/>
    <w:link w:val="SangradetextonormalC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9976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law.cornell.edu/uscode/text/23/1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Rocío Alayón Morell</cp:lastModifiedBy>
  <cp:revision>5</cp:revision>
  <cp:lastPrinted>2025-09-22T18:37:00Z</cp:lastPrinted>
  <dcterms:created xsi:type="dcterms:W3CDTF">2025-09-22T14:43:00Z</dcterms:created>
  <dcterms:modified xsi:type="dcterms:W3CDTF">2025-09-22T18:39:00Z</dcterms:modified>
</cp:coreProperties>
</file>