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51D80" w14:textId="77777777" w:rsidR="00A07D63" w:rsidRPr="00A07D63" w:rsidRDefault="00A07D63" w:rsidP="00A07D63">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bookmarkStart w:id="0" w:name="_Hlk138253982"/>
      <w:r w:rsidRPr="00A07D63">
        <w:rPr>
          <w:rFonts w:ascii="Book Antiqua" w:eastAsia="Times New Roman" w:hAnsi="Book Antiqua" w:cs="Times New Roman"/>
          <w:b/>
          <w:bCs/>
          <w:kern w:val="0"/>
          <w:lang w:val="es-PR"/>
          <w14:ligatures w14:val="none"/>
        </w:rPr>
        <w:t>(TEXTO DE APROBACIÓN FINAL POR LA CÁMARA)</w:t>
      </w:r>
      <w:r w:rsidRPr="00A07D63">
        <w:rPr>
          <w:rFonts w:ascii="Book Antiqua" w:eastAsia="Times New Roman" w:hAnsi="Book Antiqua" w:cs="Times New Roman"/>
          <w:b/>
          <w:bCs/>
          <w:kern w:val="0"/>
          <w:lang w:val="es-ES_tradnl"/>
          <w14:ligatures w14:val="none"/>
        </w:rPr>
        <w:fldChar w:fldCharType="begin"/>
      </w:r>
      <w:r w:rsidRPr="00A07D63">
        <w:rPr>
          <w:rFonts w:ascii="Book Antiqua" w:eastAsia="Times New Roman" w:hAnsi="Book Antiqua" w:cs="Times New Roman"/>
          <w:b/>
          <w:bCs/>
          <w:kern w:val="0"/>
          <w:lang w:val="es-PR"/>
          <w14:ligatures w14:val="none"/>
        </w:rPr>
        <w:instrText xml:space="preserve">PRIVATE </w:instrText>
      </w:r>
      <w:r w:rsidRPr="00A07D63">
        <w:rPr>
          <w:rFonts w:ascii="Book Antiqua" w:eastAsia="Times New Roman" w:hAnsi="Book Antiqua" w:cs="Times New Roman"/>
          <w:b/>
          <w:bCs/>
          <w:kern w:val="0"/>
          <w:lang w:val="es-ES_tradnl"/>
          <w14:ligatures w14:val="none"/>
        </w:rPr>
        <w:fldChar w:fldCharType="end"/>
      </w:r>
    </w:p>
    <w:p w14:paraId="55C9B29B" w14:textId="2A315CB3" w:rsidR="00A07D63" w:rsidRPr="00A07D63" w:rsidRDefault="00A07D63" w:rsidP="00A07D63">
      <w:pPr>
        <w:suppressLineNumbers/>
        <w:tabs>
          <w:tab w:val="center" w:pos="4680"/>
        </w:tabs>
        <w:spacing w:after="0" w:line="240" w:lineRule="auto"/>
        <w:jc w:val="center"/>
        <w:rPr>
          <w:rFonts w:ascii="Book Antiqua" w:eastAsia="Times New Roman" w:hAnsi="Book Antiqua" w:cs="Times New Roman"/>
          <w:b/>
          <w:bCs/>
          <w:kern w:val="0"/>
          <w:lang w:val="es-PR"/>
          <w14:ligatures w14:val="none"/>
        </w:rPr>
      </w:pPr>
      <w:r w:rsidRPr="00A07D63">
        <w:rPr>
          <w:rFonts w:ascii="Book Antiqua" w:eastAsia="Times New Roman" w:hAnsi="Book Antiqua" w:cs="Times New Roman"/>
          <w:b/>
          <w:bCs/>
          <w:kern w:val="0"/>
          <w:lang w:val="es-PR"/>
          <w14:ligatures w14:val="none"/>
        </w:rPr>
        <w:t>(</w:t>
      </w:r>
      <w:r>
        <w:rPr>
          <w:rFonts w:ascii="Book Antiqua" w:eastAsia="Times New Roman" w:hAnsi="Book Antiqua" w:cs="Times New Roman"/>
          <w:b/>
          <w:bCs/>
          <w:kern w:val="0"/>
          <w:lang w:val="es-PR"/>
          <w14:ligatures w14:val="none"/>
        </w:rPr>
        <w:t>13</w:t>
      </w:r>
      <w:r w:rsidRPr="00A07D63">
        <w:rPr>
          <w:rFonts w:ascii="Book Antiqua" w:eastAsia="Times New Roman" w:hAnsi="Book Antiqua" w:cs="Times New Roman"/>
          <w:b/>
          <w:bCs/>
          <w:kern w:val="0"/>
          <w:lang w:val="es-PR"/>
          <w14:ligatures w14:val="none"/>
        </w:rPr>
        <w:t xml:space="preserve"> DE </w:t>
      </w:r>
      <w:r>
        <w:rPr>
          <w:rFonts w:ascii="Book Antiqua" w:eastAsia="Times New Roman" w:hAnsi="Book Antiqua" w:cs="Times New Roman"/>
          <w:b/>
          <w:bCs/>
          <w:kern w:val="0"/>
          <w:lang w:val="es-PR"/>
          <w14:ligatures w14:val="none"/>
        </w:rPr>
        <w:t>NOVIEMBRE</w:t>
      </w:r>
      <w:r w:rsidRPr="00A07D63">
        <w:rPr>
          <w:rFonts w:ascii="Book Antiqua" w:eastAsia="Times New Roman" w:hAnsi="Book Antiqua" w:cs="Times New Roman"/>
          <w:b/>
          <w:bCs/>
          <w:kern w:val="0"/>
          <w:lang w:val="es-PR"/>
          <w14:ligatures w14:val="none"/>
        </w:rPr>
        <w:t xml:space="preserve"> DE 2025)</w:t>
      </w:r>
    </w:p>
    <w:p w14:paraId="35D5CEDC" w14:textId="77777777" w:rsidR="00A07D63" w:rsidRPr="00A07D63" w:rsidRDefault="00A07D63" w:rsidP="00A07D63">
      <w:pPr>
        <w:suppressLineNumbers/>
        <w:tabs>
          <w:tab w:val="center" w:pos="4680"/>
        </w:tabs>
        <w:spacing w:after="0" w:line="240" w:lineRule="auto"/>
        <w:jc w:val="center"/>
        <w:rPr>
          <w:rFonts w:ascii="Book Antiqua" w:eastAsia="Times New Roman" w:hAnsi="Book Antiqua" w:cs="Times New Roman"/>
          <w:b/>
          <w:bCs/>
          <w:kern w:val="0"/>
          <w:lang w:val="es-ES_tradnl"/>
          <w14:ligatures w14:val="none"/>
        </w:rPr>
      </w:pPr>
      <w:r w:rsidRPr="00A07D63">
        <w:rPr>
          <w:rFonts w:ascii="Times New Roman" w:eastAsia="Times New Roman" w:hAnsi="Times New Roman" w:cs="Times New Roman"/>
          <w:noProof/>
          <w:kern w:val="0"/>
          <w14:ligatures w14:val="none"/>
        </w:rPr>
        <mc:AlternateContent>
          <mc:Choice Requires="wps">
            <w:drawing>
              <wp:anchor distT="0" distB="0" distL="114300" distR="114300" simplePos="0" relativeHeight="251659264" behindDoc="1" locked="0" layoutInCell="0" allowOverlap="1" wp14:anchorId="666D8CA3" wp14:editId="13B92455">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779BD2"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362C97EF" w14:textId="11D4BC24" w:rsidR="00AF6522" w:rsidRPr="00AF6522" w:rsidRDefault="00AF6522" w:rsidP="00AF6522">
      <w:pPr>
        <w:spacing w:after="0" w:line="240" w:lineRule="auto"/>
        <w:jc w:val="center"/>
        <w:rPr>
          <w:rFonts w:ascii="Book Antiqua" w:eastAsia="Times New Roman" w:hAnsi="Book Antiqua" w:cs="Times New Roman"/>
          <w:bCs/>
          <w:color w:val="000000"/>
          <w:kern w:val="0"/>
          <w:sz w:val="28"/>
          <w:szCs w:val="28"/>
          <w:lang w:val="es-PR"/>
          <w14:ligatures w14:val="none"/>
        </w:rPr>
      </w:pPr>
      <w:r w:rsidRPr="00AF6522">
        <w:rPr>
          <w:rFonts w:ascii="Book Antiqua" w:eastAsia="Times New Roman" w:hAnsi="Book Antiqua" w:cs="Times New Roman"/>
          <w:bCs/>
          <w:color w:val="000000"/>
          <w:kern w:val="0"/>
          <w:sz w:val="28"/>
          <w:szCs w:val="28"/>
          <w:lang w:val="es-PR"/>
          <w14:ligatures w14:val="none"/>
        </w:rPr>
        <w:t>GOBIERNO DE PUERTO RICO</w:t>
      </w:r>
    </w:p>
    <w:p w14:paraId="67CD868F"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p>
    <w:p w14:paraId="52B01AE0" w14:textId="77777777" w:rsidR="00AF6522" w:rsidRPr="00AF6522" w:rsidRDefault="00AF6522" w:rsidP="00AF6522">
      <w:pPr>
        <w:tabs>
          <w:tab w:val="left" w:pos="648"/>
          <w:tab w:val="right" w:pos="7776"/>
          <w:tab w:val="left" w:pos="7848"/>
        </w:tabs>
        <w:spacing w:after="0" w:line="240" w:lineRule="auto"/>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20 </w:t>
      </w:r>
      <w:r w:rsidRPr="00AF6522">
        <w:rPr>
          <w:rFonts w:ascii="Book Antiqua" w:eastAsia="Times New Roman" w:hAnsi="Book Antiqua" w:cs="Times New Roman"/>
          <w:color w:val="000000"/>
          <w:kern w:val="0"/>
          <w:szCs w:val="20"/>
          <w:vertAlign w:val="superscript"/>
          <w:lang w:val="es-PR"/>
          <w14:ligatures w14:val="none"/>
        </w:rPr>
        <w:t>ma.</w:t>
      </w:r>
      <w:r w:rsidRPr="00AF6522">
        <w:rPr>
          <w:rFonts w:ascii="Book Antiqua" w:eastAsia="Times New Roman" w:hAnsi="Book Antiqua" w:cs="Times New Roman"/>
          <w:color w:val="000000"/>
          <w:kern w:val="0"/>
          <w:szCs w:val="20"/>
          <w:lang w:val="es-PR"/>
          <w14:ligatures w14:val="none"/>
        </w:rPr>
        <w:tab/>
        <w:t>Asamblea</w:t>
      </w:r>
      <w:r w:rsidRPr="00AF6522">
        <w:rPr>
          <w:rFonts w:ascii="Book Antiqua" w:eastAsia="Times New Roman" w:hAnsi="Book Antiqua" w:cs="Times New Roman"/>
          <w:color w:val="000000"/>
          <w:kern w:val="0"/>
          <w:szCs w:val="20"/>
          <w:lang w:val="es-PR"/>
          <w14:ligatures w14:val="none"/>
        </w:rPr>
        <w:tab/>
        <w:t>2</w:t>
      </w:r>
      <w:r w:rsidRPr="00AF6522">
        <w:rPr>
          <w:rFonts w:ascii="Book Antiqua" w:eastAsia="Times New Roman" w:hAnsi="Book Antiqua" w:cs="Times New Roman"/>
          <w:color w:val="000000"/>
          <w:kern w:val="0"/>
          <w:szCs w:val="20"/>
          <w:vertAlign w:val="superscript"/>
          <w:lang w:val="es-PR"/>
          <w14:ligatures w14:val="none"/>
        </w:rPr>
        <w:t>da.</w:t>
      </w:r>
      <w:r w:rsidRPr="00AF6522">
        <w:rPr>
          <w:rFonts w:ascii="Book Antiqua" w:eastAsia="Times New Roman" w:hAnsi="Book Antiqua" w:cs="Times New Roman"/>
          <w:color w:val="000000"/>
          <w:kern w:val="0"/>
          <w:szCs w:val="20"/>
          <w:vertAlign w:val="superscript"/>
          <w:lang w:val="es-PR"/>
          <w14:ligatures w14:val="none"/>
        </w:rPr>
        <w:tab/>
      </w:r>
      <w:r w:rsidRPr="00AF6522">
        <w:rPr>
          <w:rFonts w:ascii="Book Antiqua" w:eastAsia="Times New Roman" w:hAnsi="Book Antiqua" w:cs="Times New Roman"/>
          <w:color w:val="000000"/>
          <w:kern w:val="0"/>
          <w:szCs w:val="20"/>
          <w:lang w:val="es-PR"/>
          <w14:ligatures w14:val="none"/>
        </w:rPr>
        <w:t>Sesión</w:t>
      </w:r>
    </w:p>
    <w:p w14:paraId="4903F80A" w14:textId="77777777" w:rsidR="00AF6522" w:rsidRPr="00AF6522" w:rsidRDefault="00AF6522" w:rsidP="00AF6522">
      <w:pPr>
        <w:tabs>
          <w:tab w:val="left" w:pos="648"/>
          <w:tab w:val="right" w:pos="7776"/>
          <w:tab w:val="left" w:pos="7848"/>
        </w:tabs>
        <w:spacing w:after="0" w:line="240" w:lineRule="auto"/>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ab/>
        <w:t>Legislativa</w:t>
      </w:r>
      <w:r w:rsidRPr="00AF6522">
        <w:rPr>
          <w:rFonts w:ascii="Book Antiqua" w:eastAsia="Times New Roman" w:hAnsi="Book Antiqua" w:cs="Times New Roman"/>
          <w:color w:val="000000"/>
          <w:kern w:val="0"/>
          <w:szCs w:val="20"/>
          <w:lang w:val="es-PR"/>
          <w14:ligatures w14:val="none"/>
        </w:rPr>
        <w:tab/>
      </w:r>
      <w:r w:rsidRPr="00AF6522">
        <w:rPr>
          <w:rFonts w:ascii="Book Antiqua" w:eastAsia="Times New Roman" w:hAnsi="Book Antiqua" w:cs="Times New Roman"/>
          <w:color w:val="000000"/>
          <w:kern w:val="0"/>
          <w:szCs w:val="20"/>
          <w:lang w:val="es-PR"/>
          <w14:ligatures w14:val="none"/>
        </w:rPr>
        <w:tab/>
        <w:t>Ordinaria</w:t>
      </w:r>
    </w:p>
    <w:p w14:paraId="08DAB052" w14:textId="77777777" w:rsidR="00AF6522" w:rsidRPr="00157AB0" w:rsidRDefault="00AF6522" w:rsidP="00AF6522">
      <w:pPr>
        <w:spacing w:after="0" w:line="240" w:lineRule="auto"/>
        <w:jc w:val="center"/>
        <w:rPr>
          <w:rFonts w:ascii="Book Antiqua" w:eastAsia="Times New Roman" w:hAnsi="Book Antiqua" w:cs="Times New Roman"/>
          <w:b/>
          <w:color w:val="000000"/>
          <w:kern w:val="0"/>
          <w:lang w:val="es-ES"/>
          <w14:ligatures w14:val="none"/>
        </w:rPr>
      </w:pPr>
    </w:p>
    <w:p w14:paraId="59AFECEA" w14:textId="385DFDB4" w:rsidR="00AF6522" w:rsidRPr="00AF6522" w:rsidRDefault="00AF6522" w:rsidP="00AF6522">
      <w:pPr>
        <w:spacing w:after="0" w:line="240" w:lineRule="auto"/>
        <w:jc w:val="center"/>
        <w:rPr>
          <w:rFonts w:ascii="Book Antiqua" w:eastAsia="Times New Roman" w:hAnsi="Book Antiqua" w:cs="Times New Roman"/>
          <w:b/>
          <w:kern w:val="0"/>
          <w:sz w:val="36"/>
          <w:szCs w:val="20"/>
          <w:lang w:val="es-PR"/>
          <w14:ligatures w14:val="none"/>
        </w:rPr>
      </w:pPr>
      <w:r w:rsidRPr="00AF6522">
        <w:rPr>
          <w:rFonts w:ascii="Book Antiqua" w:eastAsia="Times New Roman" w:hAnsi="Book Antiqua" w:cs="Times New Roman"/>
          <w:b/>
          <w:color w:val="000000"/>
          <w:kern w:val="0"/>
          <w:sz w:val="36"/>
          <w:szCs w:val="20"/>
          <w:lang w:val="es-ES"/>
          <w14:ligatures w14:val="none"/>
        </w:rPr>
        <w:t>CÁMARA DE REPRESENTANTES</w:t>
      </w:r>
    </w:p>
    <w:p w14:paraId="4D20AE44" w14:textId="77777777" w:rsidR="00AF6522" w:rsidRPr="00AF6522" w:rsidRDefault="00AF6522" w:rsidP="00AF6522">
      <w:pPr>
        <w:spacing w:after="0" w:line="240" w:lineRule="auto"/>
        <w:jc w:val="center"/>
        <w:rPr>
          <w:rFonts w:ascii="Book Antiqua" w:eastAsia="Times New Roman" w:hAnsi="Book Antiqua" w:cs="Times New Roman"/>
          <w:b/>
          <w:kern w:val="0"/>
          <w:lang w:val="es-ES"/>
          <w14:ligatures w14:val="none"/>
        </w:rPr>
      </w:pPr>
    </w:p>
    <w:p w14:paraId="79CA37B3"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52"/>
          <w:szCs w:val="20"/>
          <w:lang w:val="es-PR"/>
          <w14:ligatures w14:val="none"/>
        </w:rPr>
      </w:pPr>
      <w:r w:rsidRPr="00AF6522">
        <w:rPr>
          <w:rFonts w:ascii="Book Antiqua" w:eastAsia="Times New Roman" w:hAnsi="Book Antiqua" w:cs="Times New Roman"/>
          <w:b/>
          <w:color w:val="000000"/>
          <w:kern w:val="0"/>
          <w:sz w:val="52"/>
          <w:szCs w:val="20"/>
          <w:lang w:val="es-PR"/>
          <w14:ligatures w14:val="none"/>
        </w:rPr>
        <w:t xml:space="preserve">P. </w:t>
      </w:r>
      <w:r w:rsidRPr="00AF6522">
        <w:rPr>
          <w:rFonts w:ascii="Book Antiqua" w:eastAsia="Times New Roman" w:hAnsi="Book Antiqua" w:cs="Times New Roman"/>
          <w:b/>
          <w:color w:val="000000"/>
          <w:kern w:val="0"/>
          <w:sz w:val="52"/>
          <w:szCs w:val="20"/>
          <w:lang w:val="es-ES"/>
          <w14:ligatures w14:val="none"/>
        </w:rPr>
        <w:t>d</w:t>
      </w:r>
      <w:r w:rsidRPr="00AF6522">
        <w:rPr>
          <w:rFonts w:ascii="Book Antiqua" w:eastAsia="Times New Roman" w:hAnsi="Book Antiqua" w:cs="Times New Roman"/>
          <w:b/>
          <w:color w:val="000000"/>
          <w:kern w:val="0"/>
          <w:sz w:val="52"/>
          <w:szCs w:val="20"/>
          <w:lang w:val="es-PR"/>
          <w14:ligatures w14:val="none"/>
        </w:rPr>
        <w:t>e</w:t>
      </w:r>
      <w:r w:rsidRPr="00AF6522">
        <w:rPr>
          <w:rFonts w:ascii="Book Antiqua" w:eastAsia="Times New Roman" w:hAnsi="Book Antiqua" w:cs="Times New Roman"/>
          <w:b/>
          <w:color w:val="000000"/>
          <w:kern w:val="0"/>
          <w:sz w:val="52"/>
          <w:szCs w:val="20"/>
          <w:lang w:val="es-ES"/>
          <w14:ligatures w14:val="none"/>
        </w:rPr>
        <w:t xml:space="preserve"> </w:t>
      </w:r>
      <w:r w:rsidRPr="00AF6522">
        <w:rPr>
          <w:rFonts w:ascii="Book Antiqua" w:eastAsia="Times New Roman" w:hAnsi="Book Antiqua" w:cs="Times New Roman"/>
          <w:b/>
          <w:color w:val="000000"/>
          <w:kern w:val="0"/>
          <w:sz w:val="52"/>
          <w:szCs w:val="20"/>
          <w:lang w:val="es-PR"/>
          <w14:ligatures w14:val="none"/>
        </w:rPr>
        <w:t>l</w:t>
      </w:r>
      <w:r w:rsidRPr="00AF6522">
        <w:rPr>
          <w:rFonts w:ascii="Book Antiqua" w:eastAsia="Times New Roman" w:hAnsi="Book Antiqua" w:cs="Times New Roman"/>
          <w:b/>
          <w:color w:val="000000"/>
          <w:kern w:val="0"/>
          <w:sz w:val="52"/>
          <w:szCs w:val="20"/>
          <w:lang w:val="es-ES"/>
          <w14:ligatures w14:val="none"/>
        </w:rPr>
        <w:t>a</w:t>
      </w:r>
      <w:r w:rsidRPr="00AF6522">
        <w:rPr>
          <w:rFonts w:ascii="Book Antiqua" w:eastAsia="Times New Roman" w:hAnsi="Book Antiqua" w:cs="Times New Roman"/>
          <w:b/>
          <w:color w:val="000000"/>
          <w:kern w:val="0"/>
          <w:sz w:val="52"/>
          <w:szCs w:val="20"/>
          <w:lang w:val="es-PR"/>
          <w14:ligatures w14:val="none"/>
        </w:rPr>
        <w:t xml:space="preserve"> </w:t>
      </w:r>
      <w:r w:rsidRPr="00AF6522">
        <w:rPr>
          <w:rFonts w:ascii="Book Antiqua" w:eastAsia="Times New Roman" w:hAnsi="Book Antiqua" w:cs="Times New Roman"/>
          <w:b/>
          <w:color w:val="000000"/>
          <w:kern w:val="0"/>
          <w:sz w:val="52"/>
          <w:szCs w:val="20"/>
          <w:lang w:val="es-ES"/>
          <w14:ligatures w14:val="none"/>
        </w:rPr>
        <w:t>C</w:t>
      </w:r>
      <w:r w:rsidRPr="00AF6522">
        <w:rPr>
          <w:rFonts w:ascii="Book Antiqua" w:eastAsia="Times New Roman" w:hAnsi="Book Antiqua" w:cs="Times New Roman"/>
          <w:b/>
          <w:color w:val="000000"/>
          <w:kern w:val="0"/>
          <w:sz w:val="52"/>
          <w:szCs w:val="20"/>
          <w:lang w:val="es-PR"/>
          <w14:ligatures w14:val="none"/>
        </w:rPr>
        <w:t>. 873</w:t>
      </w:r>
    </w:p>
    <w:p w14:paraId="5DC7B56D" w14:textId="77777777" w:rsidR="00AF6522" w:rsidRPr="00AF6522" w:rsidRDefault="00AF6522" w:rsidP="00AF6522">
      <w:pPr>
        <w:spacing w:after="0" w:line="240" w:lineRule="auto"/>
        <w:jc w:val="center"/>
        <w:rPr>
          <w:rFonts w:ascii="Book Antiqua" w:eastAsia="Times New Roman" w:hAnsi="Book Antiqua" w:cs="Times New Roman"/>
          <w:b/>
          <w:color w:val="000000"/>
          <w:kern w:val="0"/>
          <w:lang w:val="es-PR"/>
          <w14:ligatures w14:val="none"/>
        </w:rPr>
      </w:pPr>
    </w:p>
    <w:p w14:paraId="518809E9"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23 DE SEPTIEMBRE DE 2025</w:t>
      </w:r>
    </w:p>
    <w:p w14:paraId="6AF11E63" w14:textId="77777777" w:rsidR="00AF6522" w:rsidRPr="00AF6522" w:rsidRDefault="00AF6522" w:rsidP="00AF6522">
      <w:pPr>
        <w:spacing w:after="0" w:line="240" w:lineRule="auto"/>
        <w:jc w:val="center"/>
        <w:rPr>
          <w:rFonts w:ascii="Book Antiqua" w:eastAsia="Times New Roman" w:hAnsi="Book Antiqua" w:cs="Times New Roman"/>
          <w:color w:val="000000"/>
          <w:kern w:val="0"/>
          <w:szCs w:val="20"/>
          <w:lang w:val="es-PR"/>
          <w14:ligatures w14:val="none"/>
        </w:rPr>
      </w:pPr>
    </w:p>
    <w:p w14:paraId="3F27A7A3" w14:textId="77777777" w:rsidR="00AF6522" w:rsidRPr="00AF6522" w:rsidRDefault="00AF6522" w:rsidP="00AF6522">
      <w:pPr>
        <w:spacing w:after="0" w:line="240" w:lineRule="auto"/>
        <w:ind w:left="810" w:hanging="810"/>
        <w:jc w:val="both"/>
        <w:rPr>
          <w:rFonts w:ascii="Book Antiqua" w:eastAsia="Aptos" w:hAnsi="Book Antiqua" w:cs="Times New Roman"/>
          <w:i/>
          <w:iCs/>
          <w:color w:val="000000"/>
          <w:lang w:val="es-ES"/>
        </w:rPr>
      </w:pPr>
      <w:r w:rsidRPr="00AF6522">
        <w:rPr>
          <w:rFonts w:ascii="Book Antiqua" w:eastAsia="Times New Roman" w:hAnsi="Book Antiqua" w:cs="Times New Roman"/>
          <w:color w:val="000000"/>
          <w:kern w:val="0"/>
          <w:lang w:val="es-ES"/>
          <w14:ligatures w14:val="none"/>
        </w:rPr>
        <w:t xml:space="preserve">Presentado por el representante </w:t>
      </w:r>
      <w:r w:rsidRPr="00AF6522">
        <w:rPr>
          <w:rFonts w:ascii="Book Antiqua" w:eastAsia="Times New Roman" w:hAnsi="Book Antiqua" w:cs="Times New Roman"/>
          <w:i/>
          <w:iCs/>
          <w:color w:val="000000"/>
          <w:kern w:val="0"/>
          <w:lang w:val="es-PR"/>
          <w14:ligatures w14:val="none"/>
        </w:rPr>
        <w:t xml:space="preserve">Méndez Núñez; </w:t>
      </w:r>
      <w:r w:rsidRPr="00AF6522">
        <w:rPr>
          <w:rFonts w:ascii="Book Antiqua" w:eastAsia="Aptos" w:hAnsi="Book Antiqua" w:cs="Times New Roman"/>
          <w:color w:val="000000"/>
          <w:lang w:val="es-ES"/>
        </w:rPr>
        <w:t>la representante</w:t>
      </w:r>
      <w:r w:rsidRPr="00AF6522">
        <w:rPr>
          <w:rFonts w:ascii="Book Antiqua" w:eastAsia="Aptos" w:hAnsi="Book Antiqua" w:cs="Times New Roman"/>
          <w:i/>
          <w:iCs/>
          <w:color w:val="000000"/>
          <w:lang w:val="es-ES"/>
        </w:rPr>
        <w:t xml:space="preserve"> Lebrón Rodríguez;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Peña Ramírez, Torres Zamora, Román López, Aponte Hernández, Carlo Acosta, Charbonier Chinea, Colón Rodríguez; </w:t>
      </w:r>
      <w:r w:rsidRPr="00AF6522">
        <w:rPr>
          <w:rFonts w:ascii="Book Antiqua" w:eastAsia="Aptos" w:hAnsi="Book Antiqua" w:cs="Times New Roman"/>
          <w:color w:val="000000"/>
          <w:lang w:val="es-ES"/>
        </w:rPr>
        <w:t>la representante</w:t>
      </w:r>
      <w:r w:rsidRPr="00AF6522">
        <w:rPr>
          <w:rFonts w:ascii="Book Antiqua" w:eastAsia="Aptos" w:hAnsi="Book Antiqua" w:cs="Times New Roman"/>
          <w:i/>
          <w:iCs/>
          <w:color w:val="000000"/>
          <w:lang w:val="es-ES"/>
        </w:rPr>
        <w:t xml:space="preserve"> del Valle Correa;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Estévez Vélez, Franqui </w:t>
      </w:r>
      <w:proofErr w:type="spellStart"/>
      <w:r w:rsidRPr="00AF6522">
        <w:rPr>
          <w:rFonts w:ascii="Book Antiqua" w:eastAsia="Aptos" w:hAnsi="Book Antiqua" w:cs="Times New Roman"/>
          <w:i/>
          <w:iCs/>
          <w:color w:val="000000"/>
          <w:lang w:val="es-ES"/>
        </w:rPr>
        <w:t>Atiles</w:t>
      </w:r>
      <w:proofErr w:type="spellEnd"/>
      <w:r w:rsidRPr="00AF6522">
        <w:rPr>
          <w:rFonts w:ascii="Book Antiqua" w:eastAsia="Aptos" w:hAnsi="Book Antiqua" w:cs="Times New Roman"/>
          <w:i/>
          <w:iCs/>
          <w:color w:val="000000"/>
          <w:lang w:val="es-ES"/>
        </w:rPr>
        <w:t xml:space="preserve">;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González Aguayo, González </w:t>
      </w:r>
      <w:proofErr w:type="spellStart"/>
      <w:r w:rsidRPr="00AF6522">
        <w:rPr>
          <w:rFonts w:ascii="Book Antiqua" w:eastAsia="Aptos" w:hAnsi="Book Antiqua" w:cs="Times New Roman"/>
          <w:i/>
          <w:iCs/>
          <w:color w:val="000000"/>
          <w:lang w:val="es-ES"/>
        </w:rPr>
        <w:t>González</w:t>
      </w:r>
      <w:proofErr w:type="spellEnd"/>
      <w:r w:rsidRPr="00AF6522">
        <w:rPr>
          <w:rFonts w:ascii="Book Antiqua" w:eastAsia="Aptos" w:hAnsi="Book Antiqua" w:cs="Times New Roman"/>
          <w:i/>
          <w:iCs/>
          <w:color w:val="000000"/>
          <w:lang w:val="es-ES"/>
        </w:rPr>
        <w:t xml:space="preserve">;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Hernández Concepción, Jiménez Torres;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Martínez Vázquez, Medina Calderón;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w:t>
      </w:r>
      <w:proofErr w:type="spellStart"/>
      <w:r w:rsidRPr="00AF6522">
        <w:rPr>
          <w:rFonts w:ascii="Book Antiqua" w:eastAsia="Aptos" w:hAnsi="Book Antiqua" w:cs="Times New Roman"/>
          <w:i/>
          <w:iCs/>
          <w:color w:val="000000"/>
          <w:lang w:val="es-ES"/>
        </w:rPr>
        <w:t>Morey</w:t>
      </w:r>
      <w:proofErr w:type="spellEnd"/>
      <w:r w:rsidRPr="00AF6522">
        <w:rPr>
          <w:rFonts w:ascii="Book Antiqua" w:eastAsia="Aptos" w:hAnsi="Book Antiqua" w:cs="Times New Roman"/>
          <w:i/>
          <w:iCs/>
          <w:color w:val="000000"/>
          <w:lang w:val="es-ES"/>
        </w:rPr>
        <w:t xml:space="preserve"> Noble, Muriel Sánchez, Navarro Suárez, Nieves Rosario, Ocasio Ramos, Pacheco Burgos, Parés Otero;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Pérez Cordero, Pérez Ortiz; </w:t>
      </w:r>
      <w:r w:rsidRPr="00AF6522">
        <w:rPr>
          <w:rFonts w:ascii="Book Antiqua" w:eastAsia="Aptos" w:hAnsi="Book Antiqua" w:cs="Times New Roman"/>
          <w:color w:val="000000"/>
          <w:lang w:val="es-ES"/>
        </w:rPr>
        <w:t>las representantes</w:t>
      </w:r>
      <w:r w:rsidRPr="00AF6522">
        <w:rPr>
          <w:rFonts w:ascii="Book Antiqua" w:eastAsia="Aptos" w:hAnsi="Book Antiqua" w:cs="Times New Roman"/>
          <w:i/>
          <w:iCs/>
          <w:color w:val="000000"/>
          <w:lang w:val="es-ES"/>
        </w:rPr>
        <w:t xml:space="preserve"> Pérez Ramírez, Ramos Rivera; </w:t>
      </w:r>
      <w:r w:rsidRPr="00AF6522">
        <w:rPr>
          <w:rFonts w:ascii="Book Antiqua" w:eastAsia="Aptos" w:hAnsi="Book Antiqua" w:cs="Times New Roman"/>
          <w:color w:val="000000"/>
          <w:lang w:val="es-ES"/>
        </w:rPr>
        <w:t>los representantes</w:t>
      </w:r>
      <w:r w:rsidRPr="00AF6522">
        <w:rPr>
          <w:rFonts w:ascii="Book Antiqua" w:eastAsia="Aptos" w:hAnsi="Book Antiqua" w:cs="Times New Roman"/>
          <w:i/>
          <w:iCs/>
          <w:color w:val="000000"/>
          <w:lang w:val="es-ES"/>
        </w:rPr>
        <w:t xml:space="preserve"> Robles Rivera, Rodríguez Aguiló, Rodríguez Torres, Roque Gracia, Sanabria Colón </w:t>
      </w:r>
      <w:r w:rsidRPr="00AF6522">
        <w:rPr>
          <w:rFonts w:ascii="Book Antiqua" w:eastAsia="Aptos" w:hAnsi="Book Antiqua" w:cs="Times New Roman"/>
          <w:color w:val="000000"/>
          <w:lang w:val="es-ES"/>
        </w:rPr>
        <w:t>y</w:t>
      </w:r>
      <w:r w:rsidRPr="00AF6522">
        <w:rPr>
          <w:rFonts w:ascii="Book Antiqua" w:eastAsia="Aptos" w:hAnsi="Book Antiqua" w:cs="Times New Roman"/>
          <w:i/>
          <w:iCs/>
          <w:color w:val="000000"/>
          <w:lang w:val="es-ES"/>
        </w:rPr>
        <w:t xml:space="preserve"> Santiago Guzmán</w:t>
      </w:r>
    </w:p>
    <w:p w14:paraId="6F56F2CD" w14:textId="77777777" w:rsidR="00AF6522" w:rsidRPr="00AF6522" w:rsidRDefault="00AF6522" w:rsidP="00AF6522">
      <w:pPr>
        <w:spacing w:after="0" w:line="240" w:lineRule="auto"/>
        <w:ind w:left="720" w:hanging="630"/>
        <w:jc w:val="both"/>
        <w:rPr>
          <w:rFonts w:ascii="Book Antiqua" w:eastAsia="Times New Roman" w:hAnsi="Book Antiqua" w:cs="Times New Roman"/>
          <w:i/>
          <w:iCs/>
          <w:color w:val="000000"/>
          <w:kern w:val="0"/>
          <w:szCs w:val="20"/>
          <w:lang w:val="es-ES"/>
          <w14:ligatures w14:val="none"/>
        </w:rPr>
      </w:pPr>
    </w:p>
    <w:p w14:paraId="75AD9376" w14:textId="77777777" w:rsidR="00AF6522" w:rsidRPr="00AF6522" w:rsidRDefault="00AF6522" w:rsidP="00AF6522">
      <w:pPr>
        <w:spacing w:after="0" w:line="240" w:lineRule="auto"/>
        <w:jc w:val="center"/>
        <w:rPr>
          <w:rFonts w:ascii="Book Antiqua" w:eastAsia="Times New Roman" w:hAnsi="Book Antiqua" w:cs="Times New Roman"/>
          <w:iCs/>
          <w:color w:val="000000"/>
          <w:kern w:val="0"/>
          <w:lang w:val="es-PR"/>
          <w14:ligatures w14:val="none"/>
        </w:rPr>
      </w:pPr>
      <w:r w:rsidRPr="00AF6522">
        <w:rPr>
          <w:rFonts w:ascii="Book Antiqua" w:eastAsia="Times New Roman" w:hAnsi="Book Antiqua" w:cs="Times New Roman"/>
          <w:iCs/>
          <w:color w:val="000000"/>
          <w:kern w:val="0"/>
          <w:szCs w:val="20"/>
          <w:lang w:val="es-PR"/>
          <w14:ligatures w14:val="none"/>
        </w:rPr>
        <w:t>Referido a la Comisión de Gobierno</w:t>
      </w:r>
    </w:p>
    <w:p w14:paraId="1EFF12C6"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3A8007FA"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28"/>
          <w:szCs w:val="28"/>
          <w:lang w:val="es-PR"/>
          <w14:ligatures w14:val="none"/>
        </w:rPr>
      </w:pPr>
      <w:r w:rsidRPr="00AF6522">
        <w:rPr>
          <w:rFonts w:ascii="Book Antiqua" w:eastAsia="Times New Roman" w:hAnsi="Book Antiqua" w:cs="Times New Roman"/>
          <w:b/>
          <w:color w:val="000000"/>
          <w:kern w:val="0"/>
          <w:sz w:val="28"/>
          <w:szCs w:val="28"/>
          <w:lang w:val="es-PR"/>
          <w14:ligatures w14:val="none"/>
        </w:rPr>
        <w:t>LEY</w:t>
      </w:r>
    </w:p>
    <w:p w14:paraId="5CBED7B0" w14:textId="77777777" w:rsidR="00AF6522" w:rsidRPr="00AF6522" w:rsidRDefault="00AF6522" w:rsidP="00AF6522">
      <w:pPr>
        <w:spacing w:after="0" w:line="240" w:lineRule="auto"/>
        <w:jc w:val="center"/>
        <w:rPr>
          <w:rFonts w:ascii="Book Antiqua" w:eastAsia="Times New Roman" w:hAnsi="Book Antiqua" w:cs="Times New Roman"/>
          <w:b/>
          <w:color w:val="000000"/>
          <w:kern w:val="0"/>
          <w:sz w:val="28"/>
          <w:szCs w:val="28"/>
          <w:lang w:val="es-PR"/>
          <w14:ligatures w14:val="none"/>
        </w:rPr>
      </w:pPr>
    </w:p>
    <w:p w14:paraId="20655AEC" w14:textId="77777777" w:rsidR="00AF6522" w:rsidRPr="00AF6522" w:rsidRDefault="00AF6522" w:rsidP="00AF6522">
      <w:pPr>
        <w:spacing w:after="0" w:line="240" w:lineRule="auto"/>
        <w:ind w:left="540" w:hanging="54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Para crear la “Ley para la Reorganización de las Subsidiarias y Afiliadas del Banco Gubernamental de Fomento para Puerto Rico”; enmendar los Artículos 2, 4 y 5 de la Ley Núm. 103-2001, según enmendada, conocida como “Ley de la Autoridad para el Financiamiento de la Vivienda de Puerto Rico”; enmendar el Artículo 4 de la Ley Núm. 121 de 27 de junio de 1977, según enmendada, conocida como “Ley de la Autoridad de Puerto Rico para el Financiamiento de Facilidades Industriales, Turísticas, Educativas, Médicas y de Control Ambiental”; enmendar los Artículos 2 y 7 de la Ley Núm. 271-2002, según enmendada, conocida como “Ley del Fideicomiso Perpetuo de Comunidades Especiales”; enmendar los  Artículos 1 al 6 de la Ley Núm. 290-2000, según enmendada, conocida como la “Ley para Establecer el Depositario de Archivos y Reliquias de Ex Gobernadores y  Ex Primeras Damas de Puerto Rico”; enmendar el Artículo 4 de la Ley Núm. 44 de 21 de junio de 1988, </w:t>
      </w:r>
      <w:r w:rsidRPr="00AF6522">
        <w:rPr>
          <w:rFonts w:ascii="Book Antiqua" w:eastAsia="Book Antiqua" w:hAnsi="Book Antiqua" w:cs="Book Antiqua"/>
          <w:color w:val="000000"/>
          <w:kern w:val="0"/>
          <w:lang w:val="es-PR"/>
          <w14:ligatures w14:val="none"/>
        </w:rPr>
        <w:lastRenderedPageBreak/>
        <w:t>según enmendada, conocida como “Ley de Autoridad para el Financiamiento de la Infraestructura de Puerto Rico”; enmendar los Artículos 4, 5 y 8 de la Ley Núm. 173-1999, según enmendada, conocida como “Ley del Fideicomiso de los Niños”; enmendar el inciso Cuarto y el inciso Quinto del Artículo 2 de la Ley Núm. 17 de 23 de septiembre de 1948, según enmendada, conocida como la “Ley del Banco Gubernamental de Fomento para Puerto Rico”; derogar la Ley Núm. 25 de 6 de mayo de 1974, conocida como la “Ley de la Autoridad de Teléfonos de Puerto Rico”; derogar la Ley Núm. 62 de 10 de junio de 1974, según enmendada, conocida como “Ley de la Autoridad de las Navieras”; derogar el Artículo 14 de la Ley Núm. 125-2008, conocida como “Ley de Transferencia del Derecho al Cobro de Deudas Contributivas Morosas de Puerto Rico de 2008”; derogar la Resolución Núm. 5044 de 12 de diciembre de 1984, según enmendada, de la Junta de Directores del Banco Gubernamental de Fomento de Puerto Rico, mediante la cual se creó la Corporación para el Financiamiento Público De Puerto Rico; derogar la Resolución Núm. 3950 de 14 de abril de 1977, según enmendada, de la Junta de Directores del Banco Gubernamental de Fomento de Puerto Rico, mediante la cual se creó el Fondo para el Desarrollo de Puerto Rico; derogar la Resolución Núm. 6275 de 17 de noviembre de 1993, según enmendada, de la Junta de Directores del Banco Gubernamental de Fomento de Puerto Rico, mediante la cual se creó el Fondo para el Desarrollo del Turismo de Puerto Rico; a los fines de disolver a la Autoridad de las Navieras, la Autoridad de Teléfonos, la Corporación para el Financiamiento Público de Puerto Rico, el Fondo para el Desarrollo de Puerto Rico, el Fondo para el Desarrollo del Turismo en Puerto Rico, el Fideicomiso para la Compra de Deudas Contributivas Morosas y el Instituto de Economía y Finanzas José M. Berrocal; desafiliar a las demás subsidiarias y afiliadas del Banco Gubernamental de Fomento para Puerto Rico; eliminar la facultad del Banco Gubernamental de Fomento para Puerto Rico de crear subsidiarias o afiliadas mediante resolución de su Junta de Directores; completar la restructuración organizacional y corporativa del Banco Gubernamental de Fomento para Puerto Rico; y para otros fines relacionados.</w:t>
      </w:r>
    </w:p>
    <w:p w14:paraId="6B5DDD5C"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p>
    <w:p w14:paraId="0B01F328" w14:textId="77777777" w:rsidR="00AF6522" w:rsidRPr="00AF6522" w:rsidRDefault="00AF6522" w:rsidP="00AF6522">
      <w:pPr>
        <w:spacing w:after="0" w:line="240" w:lineRule="auto"/>
        <w:jc w:val="center"/>
        <w:rPr>
          <w:rFonts w:ascii="Book Antiqua" w:eastAsia="Times New Roman" w:hAnsi="Book Antiqua" w:cs="Times New Roman"/>
          <w:bCs/>
          <w:color w:val="000000"/>
          <w:kern w:val="0"/>
          <w:lang w:val="es-PR"/>
          <w14:ligatures w14:val="none"/>
        </w:rPr>
      </w:pPr>
      <w:r w:rsidRPr="00AF6522">
        <w:rPr>
          <w:rFonts w:ascii="Book Antiqua" w:eastAsia="Times New Roman" w:hAnsi="Book Antiqua" w:cs="Times New Roman"/>
          <w:bCs/>
          <w:color w:val="000000"/>
          <w:kern w:val="0"/>
          <w:lang w:val="es-PR"/>
          <w14:ligatures w14:val="none"/>
        </w:rPr>
        <w:t>EXPOSICIÓN DE MOTIVOS</w:t>
      </w:r>
    </w:p>
    <w:p w14:paraId="64DA0C30" w14:textId="77777777" w:rsidR="00AF6522" w:rsidRPr="00AF6522" w:rsidRDefault="00AF6522" w:rsidP="00AF6522">
      <w:pPr>
        <w:spacing w:after="0" w:line="240" w:lineRule="auto"/>
        <w:jc w:val="both"/>
        <w:rPr>
          <w:rFonts w:ascii="Book Antiqua" w:eastAsia="Times New Roman" w:hAnsi="Book Antiqua" w:cs="Times New Roman"/>
          <w:bCs/>
          <w:color w:val="000000"/>
          <w:kern w:val="0"/>
          <w:lang w:val="es-PR"/>
          <w14:ligatures w14:val="none"/>
        </w:rPr>
      </w:pPr>
    </w:p>
    <w:p w14:paraId="1C12724B"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bookmarkStart w:id="1" w:name="_Hlk209457624"/>
      <w:r w:rsidRPr="00AF6522">
        <w:rPr>
          <w:rFonts w:ascii="Book Antiqua" w:eastAsia="Times New Roman" w:hAnsi="Book Antiqua" w:cs="Times New Roman"/>
          <w:color w:val="000000"/>
          <w:kern w:val="0"/>
          <w:szCs w:val="20"/>
          <w:lang w:val="es-PR"/>
          <w14:ligatures w14:val="none"/>
        </w:rPr>
        <w:t>En el 2016, se creó la Autoridad de Asesoría Financiera y Agencia Fiscal de Puerto Rico (en adelante “AAFAF”) y se le transfirieron las funciones de asesoría financiera y agencia fiscal que previamente ejercía el Banco Gubernamental de Fomento para Puerto Rico (el “BGF”).  En el 2018, se completó la restructuración de la deuda del BGF conforme al marco legal establecido por esta Asamblea Legislativa mediante la Ley Núm. 109-2017, según enmendada.  Por último, en el 2018 también se completó el cierre operacional del BGF conforme al Plan Fiscal previamente autorizado.  Aunque el BGF continúa existiendo como una entidad de nuestro gobierno para propósitos de satisfacer ciertas obligaciones y responsabilidades limitadas, la realidad es que sus funciones se han visto reducidas dramáticamente durante los pasados años, ya que no es una entidad plenamente operacional del Gobierno de Puerto Rico.  </w:t>
      </w:r>
    </w:p>
    <w:p w14:paraId="39EEDC8C"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lastRenderedPageBreak/>
        <w:t xml:space="preserve">A partir de la creación del BGF en el 1948, la Asamblea Legislativa -y el propio BGF- crearon entidades que fueron designadas como sus subsidiarias o afiliadas.  Por muchos años, el BGF tuvo un rol importante con relación a dichas entidades, principalmente debido a sus antiguas funciones como agente fiscal y asesor financiero del Gobierno de Puerto Rico, sus instrumentalidades y municipios.  </w:t>
      </w:r>
    </w:p>
    <w:p w14:paraId="1B8FC5C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5A3DBE7"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Como resultado de varios procesos de reestructuración de deuda llevados a cabo bajo los Títulos III y VI o la Sección 207 de la Ley PROMESA, las obligaciones financieras de las siguientes subsidiarias o afiliadas del BGF han sido completamente resueltas: </w:t>
      </w:r>
      <w:r w:rsidRPr="00AF6522">
        <w:rPr>
          <w:rFonts w:ascii="Book Antiqua" w:eastAsia="Book Antiqua" w:hAnsi="Book Antiqua" w:cs="Book Antiqua"/>
          <w:color w:val="000000"/>
          <w:kern w:val="0"/>
          <w:lang w:val="es-PR"/>
          <w14:ligatures w14:val="none"/>
        </w:rPr>
        <w:t xml:space="preserve">la Corporación para el Financiamiento Público de Puerto Rico, el Fondo para el Desarrollo de Puerto Rico, el Fondo para el Desarrollo del Turismo en Puerto Rico </w:t>
      </w:r>
      <w:r w:rsidRPr="00AF6522">
        <w:rPr>
          <w:rFonts w:ascii="Book Antiqua" w:eastAsia="Times New Roman" w:hAnsi="Book Antiqua" w:cs="Times New Roman"/>
          <w:color w:val="000000"/>
          <w:kern w:val="0"/>
          <w:szCs w:val="20"/>
          <w:lang w:val="es-PR"/>
          <w14:ligatures w14:val="none"/>
        </w:rPr>
        <w:t xml:space="preserve">y la Autoridad de las Navieras. </w:t>
      </w:r>
      <w:bookmarkStart w:id="2" w:name="_Hlk206610915"/>
      <w:r w:rsidRPr="00AF6522">
        <w:rPr>
          <w:rFonts w:ascii="Book Antiqua" w:eastAsia="Times New Roman" w:hAnsi="Book Antiqua" w:cs="Times New Roman"/>
          <w:color w:val="000000"/>
          <w:kern w:val="0"/>
          <w:szCs w:val="20"/>
          <w:lang w:val="es-PR"/>
          <w14:ligatures w14:val="none"/>
        </w:rPr>
        <w:t xml:space="preserve">Estas corporaciones públicas ya no poseen deuda alguna por concepto de préstamos, bonos o notas, no mantienen operaciones activas, ni cumplen con una función gubernamental vigente. </w:t>
      </w:r>
      <w:bookmarkStart w:id="3" w:name="_Hlk206611069"/>
      <w:bookmarkEnd w:id="2"/>
      <w:r w:rsidRPr="00AF6522">
        <w:rPr>
          <w:rFonts w:ascii="Book Antiqua" w:eastAsia="Times New Roman" w:hAnsi="Book Antiqua" w:cs="Times New Roman"/>
          <w:color w:val="000000"/>
          <w:kern w:val="0"/>
          <w:szCs w:val="20"/>
          <w:lang w:val="es-PR"/>
          <w14:ligatures w14:val="none"/>
        </w:rPr>
        <w:t xml:space="preserve">Por lo tanto, en consonancia con nuestro compromiso de promover una administración pública más eficiente y reducir los costos operacionales del gobierno, se ha determinado la derogación de las leyes y resoluciones que crearon dichas entidades y la disolución formal de las mismas. </w:t>
      </w:r>
      <w:bookmarkEnd w:id="3"/>
      <w:r w:rsidRPr="00AF6522">
        <w:rPr>
          <w:rFonts w:ascii="Book Antiqua" w:eastAsia="Times New Roman" w:hAnsi="Book Antiqua" w:cs="Times New Roman"/>
          <w:color w:val="000000"/>
          <w:kern w:val="0"/>
          <w:szCs w:val="20"/>
          <w:lang w:val="es-PR"/>
          <w14:ligatures w14:val="none"/>
        </w:rPr>
        <w:t xml:space="preserve">Asimismo, se incluye en este proceso la eliminación de la Autoridad de Teléfonos y del Fideicomiso para la Compra de Deudas Contributivas Morosas, las cuales también carecen de operaciones sustantivas. Con esto se eliminan juntas y necesidad de nombramientos a esas juntas que ya no tienen funciones. </w:t>
      </w:r>
    </w:p>
    <w:p w14:paraId="2A3820FC"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465624F6" w14:textId="420D0A1F"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 xml:space="preserve">Esta </w:t>
      </w:r>
      <w:r w:rsidR="002873F3" w:rsidRPr="00A07D63">
        <w:rPr>
          <w:rFonts w:ascii="Book Antiqua" w:eastAsia="Times New Roman" w:hAnsi="Book Antiqua" w:cs="Times New Roman"/>
          <w:color w:val="000000"/>
          <w:kern w:val="0"/>
          <w:szCs w:val="20"/>
          <w:lang w:val="es-PR"/>
          <w14:ligatures w14:val="none"/>
        </w:rPr>
        <w:t>Ley</w:t>
      </w:r>
      <w:r w:rsidR="002873F3" w:rsidRPr="002873F3">
        <w:rPr>
          <w:rFonts w:ascii="Book Antiqua" w:eastAsia="Times New Roman" w:hAnsi="Book Antiqua" w:cs="Times New Roman"/>
          <w:color w:val="000000"/>
          <w:kern w:val="0"/>
          <w:szCs w:val="20"/>
          <w:lang w:val="es-PR"/>
          <w14:ligatures w14:val="none"/>
        </w:rPr>
        <w:t xml:space="preserve"> </w:t>
      </w:r>
      <w:r w:rsidRPr="00AF6522">
        <w:rPr>
          <w:rFonts w:ascii="Book Antiqua" w:eastAsia="Times New Roman" w:hAnsi="Book Antiqua" w:cs="Times New Roman"/>
          <w:color w:val="000000"/>
          <w:kern w:val="0"/>
          <w:szCs w:val="20"/>
          <w:lang w:val="es-PR"/>
          <w14:ligatures w14:val="none"/>
        </w:rPr>
        <w:t xml:space="preserve">permitirá eliminar gastos recurrentes asociados al mantenimiento administrativo y legal de entidades inactivas, contribuyendo así a una estructura gubernamental más ágil, eficiente y fiscalmente responsable. Cabe destacar que ninguna de las disposiciones aquí contenidas afecta, modifica ni limita de forma alguna los resultados alcanzados o los derechos adquiridos como parte de los procesos de reestructuración de deuda de dichas entidades. </w:t>
      </w:r>
    </w:p>
    <w:p w14:paraId="71D4BACB"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090EFE40" w14:textId="77777777" w:rsidR="00AF6522" w:rsidRP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Por otro lado, esta Ley también dispone que otras entidades que eran previamente subsidiarias o afiliadas del BGF subsistirán como entidades independientes o pasarán a estar adscritas a la AAFAF, dependiendo de la naturaleza de sus operaciones. </w:t>
      </w:r>
    </w:p>
    <w:p w14:paraId="1F3CA482" w14:textId="77777777" w:rsidR="00AF6522" w:rsidRPr="00AF6522" w:rsidRDefault="00AF6522" w:rsidP="00AF6522">
      <w:pPr>
        <w:spacing w:after="0" w:line="240" w:lineRule="auto"/>
        <w:jc w:val="both"/>
        <w:rPr>
          <w:rFonts w:ascii="Book Antiqua" w:eastAsia="Times New Roman" w:hAnsi="Book Antiqua" w:cs="Times New Roman"/>
          <w:color w:val="000000"/>
          <w:kern w:val="0"/>
          <w:szCs w:val="20"/>
          <w:lang w:val="es-PR"/>
          <w14:ligatures w14:val="none"/>
        </w:rPr>
      </w:pPr>
    </w:p>
    <w:p w14:paraId="747FDF19" w14:textId="77777777" w:rsidR="00AF6522" w:rsidRDefault="00AF6522"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r w:rsidRPr="00AF6522">
        <w:rPr>
          <w:rFonts w:ascii="Book Antiqua" w:eastAsia="Times New Roman" w:hAnsi="Book Antiqua" w:cs="Times New Roman"/>
          <w:color w:val="000000"/>
          <w:kern w:val="0"/>
          <w:szCs w:val="20"/>
          <w:lang w:val="es-PR"/>
          <w14:ligatures w14:val="none"/>
        </w:rPr>
        <w:t>En su agregado, el objetivo de este estatuto será la actualización de nuestro estado de derecho, de manera tal que preparemos la estructura financiera de Puerto Rico y nuestras normas para el momento en que podamos retomar las finanzas públicas para competir en el mercado global del Siglo XXI. </w:t>
      </w:r>
    </w:p>
    <w:p w14:paraId="64BB4ED1" w14:textId="77777777" w:rsidR="00A07D63" w:rsidRDefault="00A07D63" w:rsidP="00AF6522">
      <w:pPr>
        <w:spacing w:after="0" w:line="240" w:lineRule="auto"/>
        <w:ind w:firstLine="720"/>
        <w:jc w:val="both"/>
        <w:rPr>
          <w:rFonts w:ascii="Book Antiqua" w:eastAsia="Times New Roman" w:hAnsi="Book Antiqua" w:cs="Times New Roman"/>
          <w:color w:val="000000"/>
          <w:kern w:val="0"/>
          <w:szCs w:val="20"/>
          <w:lang w:val="es-PR"/>
          <w14:ligatures w14:val="none"/>
        </w:rPr>
      </w:pPr>
    </w:p>
    <w:bookmarkEnd w:id="1"/>
    <w:p w14:paraId="2B6E14D7" w14:textId="77777777" w:rsidR="00AF6522" w:rsidRPr="00AF6522" w:rsidRDefault="00AF6522" w:rsidP="00AF6522">
      <w:pPr>
        <w:spacing w:after="0" w:line="480" w:lineRule="auto"/>
        <w:jc w:val="both"/>
        <w:rPr>
          <w:rFonts w:ascii="Book Antiqua" w:eastAsia="Times New Roman" w:hAnsi="Book Antiqua" w:cs="Times New Roman"/>
          <w:bCs/>
          <w:i/>
          <w:iCs/>
          <w:color w:val="000000"/>
          <w:kern w:val="0"/>
          <w:lang w:val="es-PR"/>
          <w14:ligatures w14:val="none"/>
        </w:rPr>
      </w:pPr>
      <w:r w:rsidRPr="00AF6522">
        <w:rPr>
          <w:rFonts w:ascii="Book Antiqua" w:eastAsia="Times New Roman" w:hAnsi="Book Antiqua" w:cs="Times New Roman"/>
          <w:bCs/>
          <w:i/>
          <w:iCs/>
          <w:color w:val="000000"/>
          <w:kern w:val="0"/>
          <w:lang w:val="es-PR"/>
          <w14:ligatures w14:val="none"/>
        </w:rPr>
        <w:t>DECRÉTASE POR LA ASAMBLEA LEGISLATIVA DE PUERTO RICO:</w:t>
      </w:r>
    </w:p>
    <w:p w14:paraId="392245D6" w14:textId="77777777" w:rsidR="00AF6522" w:rsidRPr="00AF6522" w:rsidRDefault="00AF6522" w:rsidP="00AF6522">
      <w:pPr>
        <w:spacing w:after="0" w:line="480" w:lineRule="auto"/>
        <w:jc w:val="both"/>
        <w:rPr>
          <w:rFonts w:ascii="Book Antiqua" w:eastAsia="Times New Roman" w:hAnsi="Book Antiqua" w:cs="Times New Roman"/>
          <w:color w:val="000000"/>
          <w:kern w:val="0"/>
          <w:lang w:val="es-PR"/>
          <w14:ligatures w14:val="none"/>
        </w:rPr>
        <w:sectPr w:rsidR="00AF6522" w:rsidRPr="00AF6522" w:rsidSect="00AF6522">
          <w:headerReference w:type="default" r:id="rId10"/>
          <w:footerReference w:type="default" r:id="rId11"/>
          <w:headerReference w:type="first" r:id="rId12"/>
          <w:footerReference w:type="first" r:id="rId13"/>
          <w:pgSz w:w="12240" w:h="15840"/>
          <w:pgMar w:top="1440" w:right="1440" w:bottom="1440" w:left="1440" w:header="720" w:footer="720" w:gutter="0"/>
          <w:cols w:space="720"/>
          <w:titlePg/>
          <w:docGrid w:linePitch="326"/>
        </w:sectPr>
      </w:pPr>
    </w:p>
    <w:p w14:paraId="72DDF263"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bookmarkStart w:id="4" w:name="_Hlk209457710"/>
      <w:r w:rsidRPr="00AF6522">
        <w:rPr>
          <w:rFonts w:ascii="Book Antiqua" w:eastAsia="Book Antiqua" w:hAnsi="Book Antiqua" w:cs="Book Antiqua"/>
          <w:color w:val="000000"/>
          <w:kern w:val="0"/>
          <w:lang w:val="es-PR"/>
          <w14:ligatures w14:val="none"/>
        </w:rPr>
        <w:t>CAPÍTULO 1 – TÍTULO DE LA LEY. </w:t>
      </w:r>
    </w:p>
    <w:p w14:paraId="47A8C364"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101. – Título. </w:t>
      </w:r>
    </w:p>
    <w:p w14:paraId="305C9DE2" w14:textId="094A27D9"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Esta Ley se conocerá y podrá ser citada como “Ley para la Reorganización de las Subsidiarias y Afiliadas del Banco Gubernamental de Fomento para Puerto Rico”. </w:t>
      </w:r>
    </w:p>
    <w:p w14:paraId="6C21B6AC"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CAPÍTULO 2 – DEFINICIONES.   </w:t>
      </w:r>
    </w:p>
    <w:p w14:paraId="6469E0F0"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Artículo 201.- Definiciones. </w:t>
      </w:r>
    </w:p>
    <w:p w14:paraId="4CE74C2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Los siguientes términos tendrán los significados que a continuación se expresan, excepto donde el contexto claramente indique otra cosa.  Las palabras usadas en el número singular incluirán el número plural y viceversa. </w:t>
      </w:r>
    </w:p>
    <w:p w14:paraId="60613C66" w14:textId="77777777" w:rsidR="00AF6522" w:rsidRPr="00AF6522"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(a) </w:t>
      </w:r>
      <w:r w:rsidRPr="00AF6522">
        <w:rPr>
          <w:rFonts w:ascii="Book Antiqua" w:eastAsia="Book Antiqua" w:hAnsi="Book Antiqua" w:cs="Book Antiqua"/>
          <w:color w:val="000000"/>
          <w:kern w:val="0"/>
          <w:lang w:val="es-PR"/>
          <w14:ligatures w14:val="none"/>
        </w:rPr>
        <w:tab/>
        <w:t xml:space="preserve">“Entidades Inactivas”: significa, </w:t>
      </w:r>
    </w:p>
    <w:p w14:paraId="0D56F2CB"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la Autoridad de las Navieras de Puerto Rico creada mediante la Ley Núm. 62 de 10 de junio de 1974, según enmendada, conocida como “Ley de la Autoridad de las Navieras de Puerto Rico”; </w:t>
      </w:r>
    </w:p>
    <w:p w14:paraId="5BAD1223"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la Autoridad de Teléfonos de Puerto Rico creada mediante la Ley Núm. 25 de 6 de mayo de 1974, según enmendada, conocida como “Ley de la Autoridad de Teléfonos de Puerto Rico”;</w:t>
      </w:r>
    </w:p>
    <w:p w14:paraId="199DB1FE"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la Corporación para el Financiamiento Público de Puerto Rico creada por la Junta de </w:t>
      </w:r>
      <w:proofErr w:type="gramStart"/>
      <w:r w:rsidRPr="00AF6522">
        <w:rPr>
          <w:rFonts w:ascii="Book Antiqua" w:eastAsia="Book Antiqua" w:hAnsi="Book Antiqua" w:cs="Book Antiqua"/>
          <w:color w:val="000000"/>
          <w:kern w:val="0"/>
          <w:lang w:val="es-PR"/>
          <w14:ligatures w14:val="none"/>
        </w:rPr>
        <w:t>Directores</w:t>
      </w:r>
      <w:proofErr w:type="gramEnd"/>
      <w:r w:rsidRPr="00AF6522">
        <w:rPr>
          <w:rFonts w:ascii="Book Antiqua" w:eastAsia="Book Antiqua" w:hAnsi="Book Antiqua" w:cs="Book Antiqua"/>
          <w:color w:val="000000"/>
          <w:kern w:val="0"/>
          <w:lang w:val="es-PR"/>
          <w14:ligatures w14:val="none"/>
        </w:rPr>
        <w:t xml:space="preserve"> del Banco Gubernamental de Fomento para Puerto Rico mediante la Resolución Núm. 5044 de 12 de diciembre de 1984, según enmendada;</w:t>
      </w:r>
    </w:p>
    <w:p w14:paraId="51C2189E"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 xml:space="preserve">el Fondo para el Desarrollo de Puerto Rico creado por la Junta de </w:t>
      </w:r>
      <w:proofErr w:type="gramStart"/>
      <w:r w:rsidRPr="00AF6522">
        <w:rPr>
          <w:rFonts w:ascii="Book Antiqua" w:eastAsia="Book Antiqua" w:hAnsi="Book Antiqua" w:cs="Book Antiqua"/>
          <w:color w:val="000000"/>
          <w:kern w:val="0"/>
          <w:lang w:val="es-PR"/>
          <w14:ligatures w14:val="none"/>
        </w:rPr>
        <w:t>Directores</w:t>
      </w:r>
      <w:proofErr w:type="gramEnd"/>
      <w:r w:rsidRPr="00AF6522">
        <w:rPr>
          <w:rFonts w:ascii="Book Antiqua" w:eastAsia="Book Antiqua" w:hAnsi="Book Antiqua" w:cs="Book Antiqua"/>
          <w:color w:val="000000"/>
          <w:kern w:val="0"/>
          <w:lang w:val="es-PR"/>
          <w14:ligatures w14:val="none"/>
        </w:rPr>
        <w:t xml:space="preserve"> del Banco Gubernamental de Fomento para Puerto Rico mediante la Resolución Núm. 3950 de 14 de abril de 1977, según enmendada;</w:t>
      </w:r>
    </w:p>
    <w:p w14:paraId="1E3739D8" w14:textId="77777777" w:rsidR="00AF6522" w:rsidRPr="00AF6522"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lastRenderedPageBreak/>
        <w:t xml:space="preserve">el Fondo para el Desarrollo del Turismo de Puerto Rico creado por la Junta de </w:t>
      </w:r>
      <w:proofErr w:type="gramStart"/>
      <w:r w:rsidRPr="00AF6522">
        <w:rPr>
          <w:rFonts w:ascii="Book Antiqua" w:eastAsia="Book Antiqua" w:hAnsi="Book Antiqua" w:cs="Book Antiqua"/>
          <w:color w:val="000000"/>
          <w:kern w:val="0"/>
          <w:lang w:val="es-PR"/>
          <w14:ligatures w14:val="none"/>
        </w:rPr>
        <w:t>Directores</w:t>
      </w:r>
      <w:proofErr w:type="gramEnd"/>
      <w:r w:rsidRPr="00AF6522">
        <w:rPr>
          <w:rFonts w:ascii="Book Antiqua" w:eastAsia="Book Antiqua" w:hAnsi="Book Antiqua" w:cs="Book Antiqua"/>
          <w:color w:val="000000"/>
          <w:kern w:val="0"/>
          <w:lang w:val="es-PR"/>
          <w14:ligatures w14:val="none"/>
        </w:rPr>
        <w:t xml:space="preserve"> del Banco Gubernamental de Fomento para Puerto Rico mediante la Resolución Núm. 6275 de 17 de noviembre de 1993, según enmendada;</w:t>
      </w:r>
    </w:p>
    <w:p w14:paraId="47B2E225" w14:textId="77777777" w:rsidR="00AF6522" w:rsidRPr="00A07D63"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F6522">
        <w:rPr>
          <w:rFonts w:ascii="Book Antiqua" w:eastAsia="Book Antiqua" w:hAnsi="Book Antiqua" w:cs="Book Antiqua"/>
          <w:color w:val="000000"/>
          <w:kern w:val="0"/>
          <w:lang w:val="es-PR"/>
          <w14:ligatures w14:val="none"/>
        </w:rPr>
        <w:t>el Fideicomiso para la Compra de Deudas Contributivas Morosas creado median</w:t>
      </w:r>
      <w:r w:rsidRPr="00A07D63">
        <w:rPr>
          <w:rFonts w:ascii="Book Antiqua" w:eastAsia="Book Antiqua" w:hAnsi="Book Antiqua" w:cs="Book Antiqua"/>
          <w:color w:val="000000"/>
          <w:kern w:val="0"/>
          <w:lang w:val="es-PR"/>
          <w14:ligatures w14:val="none"/>
        </w:rPr>
        <w:t xml:space="preserve">te la Ley Núm. 125-2008, según enmendada, conocida como “Ley de Transferencia de Derecho al Cobro de Deudas Contributivas Morosas de Puerto Rico de 2008”; y </w:t>
      </w:r>
    </w:p>
    <w:p w14:paraId="349A74A4" w14:textId="77777777" w:rsidR="00AF6522" w:rsidRPr="00A07D63" w:rsidRDefault="00AF6522" w:rsidP="00AF6522">
      <w:pPr>
        <w:numPr>
          <w:ilvl w:val="0"/>
          <w:numId w:val="7"/>
        </w:numPr>
        <w:spacing w:after="0" w:line="480" w:lineRule="auto"/>
        <w:ind w:left="2070" w:hanging="540"/>
        <w:contextualSpacing/>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el Instituto de Economía y Finanzas José M. Berrocal, creado por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Banco Gubernamental de Fomento para Puerto Rico mediante la Resolución Núm. 7894 de 25 de noviembre de 2002, según enmendada.</w:t>
      </w:r>
    </w:p>
    <w:p w14:paraId="24799132"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(b)</w:t>
      </w:r>
      <w:r w:rsidRPr="00A07D63">
        <w:rPr>
          <w:rFonts w:ascii="Book Antiqua" w:eastAsia="Book Antiqua" w:hAnsi="Book Antiqua" w:cs="Book Antiqua"/>
          <w:color w:val="000000"/>
          <w:kern w:val="0"/>
          <w:lang w:val="es-PR"/>
          <w14:ligatures w14:val="none"/>
        </w:rPr>
        <w:tab/>
        <w:t>“Ley”: significa, esta “Ley para la Reorganización de las Subsidiarias y Afiliadas del Banco Gubernamental de Fomento para Puerto Rico”. </w:t>
      </w:r>
    </w:p>
    <w:p w14:paraId="66C3E7E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3 – ENMIENDAS A LA LEY DE LA AUTORIDAD PARA EL FINANCIAMIENTO DE LA VIVIENDA DE PUERTO RICO. </w:t>
      </w:r>
    </w:p>
    <w:p w14:paraId="04A57B38" w14:textId="3E7E66CF"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301 – Se enmienda el Artículo 2 de la Ley Núm. 103-2001, según enmendada, conocida como “Ley de la Autoridad para el Financiamiento de la Vivienda de Puerto Rico” para que lea como sigue: </w:t>
      </w:r>
    </w:p>
    <w:p w14:paraId="5B74BA15"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“Artículo 2. – Definiciones.</w:t>
      </w:r>
      <w:r w:rsidRPr="00A07D63">
        <w:rPr>
          <w:rFonts w:ascii="Book Antiqua" w:eastAsia="Book Antiqua" w:hAnsi="Book Antiqua" w:cs="Book Antiqua"/>
          <w:color w:val="000000"/>
          <w:kern w:val="0"/>
          <w14:ligatures w14:val="none"/>
        </w:rPr>
        <w:t> </w:t>
      </w:r>
    </w:p>
    <w:p w14:paraId="28138DF3" w14:textId="3D0B10A2" w:rsidR="00AF6522" w:rsidRPr="00A07D63" w:rsidRDefault="00AF6522" w:rsidP="00AF6522">
      <w:pPr>
        <w:numPr>
          <w:ilvl w:val="0"/>
          <w:numId w:val="1"/>
        </w:num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“Autoridad”- significa la Autoridad para el Financiamiento de la Vivienda de Puerto Rico, antes conocida como la Corporación para el Financiamiento de la </w:t>
      </w:r>
      <w:r w:rsidRPr="00A07D63">
        <w:rPr>
          <w:rFonts w:ascii="Book Antiqua" w:eastAsia="Book Antiqua" w:hAnsi="Book Antiqua" w:cs="Book Antiqua"/>
          <w:color w:val="000000"/>
          <w:kern w:val="0"/>
          <w:lang w:val="es-PR"/>
          <w14:ligatures w14:val="none"/>
        </w:rPr>
        <w:lastRenderedPageBreak/>
        <w:t>Vivienda de Puerto Rico, una corporación pública e instrumentalidad gubernamental que constituye un cuerpo político independiente y separado del Gobierno de Puerto Rico, el Banco Gubernamental de Fomento para Puerto Rico y cualquier otra entidad del Gobierno de Puerto Rico. </w:t>
      </w:r>
    </w:p>
    <w:p w14:paraId="11396059" w14:textId="77777777" w:rsidR="00AF6522" w:rsidRPr="00A07D63" w:rsidRDefault="00AF6522" w:rsidP="00AF6522">
      <w:pPr>
        <w:numPr>
          <w:ilvl w:val="0"/>
          <w:numId w:val="2"/>
        </w:numPr>
        <w:spacing w:after="0" w:line="480" w:lineRule="auto"/>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14:ligatures w14:val="none"/>
        </w:rPr>
        <w:t> </w:t>
      </w:r>
    </w:p>
    <w:p w14:paraId="6131EB3B" w14:textId="77777777" w:rsidR="00AF6522" w:rsidRPr="00A07D63" w:rsidRDefault="00AF6522" w:rsidP="00AF6522">
      <w:pPr>
        <w:numPr>
          <w:ilvl w:val="0"/>
          <w:numId w:val="3"/>
        </w:numPr>
        <w:spacing w:after="0" w:line="480" w:lineRule="auto"/>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14:ligatures w14:val="none"/>
        </w:rPr>
        <w:t> </w:t>
      </w:r>
    </w:p>
    <w:p w14:paraId="14BAFDD3" w14:textId="3F428926" w:rsidR="00E23FD1" w:rsidRPr="00A07D63" w:rsidRDefault="00AF6522" w:rsidP="00E23FD1">
      <w:pPr>
        <w:numPr>
          <w:ilvl w:val="0"/>
          <w:numId w:val="4"/>
        </w:numPr>
        <w:spacing w:after="0" w:line="480" w:lineRule="auto"/>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w:t>
      </w:r>
    </w:p>
    <w:p w14:paraId="586E6AF3" w14:textId="0C54E237" w:rsidR="00E23FD1" w:rsidRPr="00A07D63" w:rsidRDefault="002873F3" w:rsidP="002873F3">
      <w:pPr>
        <w:spacing w:after="0" w:line="480" w:lineRule="auto"/>
        <w:ind w:left="36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 xml:space="preserve">e. </w:t>
      </w:r>
      <w:r w:rsidR="00E23FD1" w:rsidRPr="00A07D63">
        <w:rPr>
          <w:rFonts w:ascii="Book Antiqua" w:eastAsia="Book Antiqua" w:hAnsi="Book Antiqua" w:cs="Book Antiqua"/>
          <w:color w:val="000000"/>
          <w:kern w:val="0"/>
          <w:lang w:val="es-PR"/>
          <w14:ligatures w14:val="none"/>
        </w:rPr>
        <w:t>…</w:t>
      </w:r>
    </w:p>
    <w:p w14:paraId="531A196A" w14:textId="483CFB12" w:rsidR="00AF6522" w:rsidRPr="00A07D63" w:rsidRDefault="002873F3" w:rsidP="002873F3">
      <w:pPr>
        <w:spacing w:after="0" w:line="480" w:lineRule="auto"/>
        <w:ind w:left="36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lang w:val="es-PR"/>
          <w14:ligatures w14:val="none"/>
        </w:rPr>
        <w:t xml:space="preserve">f. </w:t>
      </w:r>
      <w:r w:rsidR="00E23FD1" w:rsidRPr="00A07D63">
        <w:rPr>
          <w:rFonts w:ascii="Book Antiqua" w:eastAsia="Book Antiqua" w:hAnsi="Book Antiqua" w:cs="Book Antiqua"/>
          <w:color w:val="000000"/>
          <w:kern w:val="0"/>
          <w:lang w:val="es-PR"/>
          <w14:ligatures w14:val="none"/>
        </w:rPr>
        <w:t>…</w:t>
      </w:r>
      <w:r w:rsidR="00AF6522" w:rsidRPr="00A07D63">
        <w:rPr>
          <w:rFonts w:ascii="Book Antiqua" w:eastAsia="Book Antiqua" w:hAnsi="Book Antiqua" w:cs="Book Antiqua"/>
          <w:color w:val="000000"/>
          <w:kern w:val="0"/>
          <w14:ligatures w14:val="none"/>
        </w:rPr>
        <w:t> “</w:t>
      </w:r>
    </w:p>
    <w:p w14:paraId="2B4DCF53" w14:textId="40B98035"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302 – Se enmienda el Artículo 4 de la Ley Núm. 103-2001, según enmendada, conocida como “Ley de la Autoridad para el Financiamiento de la Vivienda de Puerto Rico” para que lea como sigue: </w:t>
      </w:r>
    </w:p>
    <w:p w14:paraId="6317787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4 –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w:t>
      </w:r>
    </w:p>
    <w:p w14:paraId="167675B5" w14:textId="44ECA8CE"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 la Autoridad para el Financiamiento de la Vivienda de Puerto Rico estará compuesta por siete miembros, de los cuales cinco serán nombrados por el Gobernador o Gobernadora de Puerto Rico. Dos de ellos serán miembros ex </w:t>
      </w:r>
      <w:proofErr w:type="spellStart"/>
      <w:r w:rsidRPr="00A07D63">
        <w:rPr>
          <w:rFonts w:ascii="Book Antiqua" w:eastAsia="Book Antiqua" w:hAnsi="Book Antiqua" w:cs="Book Antiqua"/>
          <w:color w:val="000000"/>
          <w:kern w:val="0"/>
          <w:lang w:val="es-PR"/>
          <w14:ligatures w14:val="none"/>
        </w:rPr>
        <w:t>officio</w:t>
      </w:r>
      <w:proofErr w:type="spellEnd"/>
      <w:r w:rsidRPr="00A07D63">
        <w:rPr>
          <w:rFonts w:ascii="Book Antiqua" w:eastAsia="Book Antiqua" w:hAnsi="Book Antiqua" w:cs="Book Antiqua"/>
          <w:color w:val="000000"/>
          <w:kern w:val="0"/>
          <w:lang w:val="es-PR"/>
          <w14:ligatures w14:val="none"/>
        </w:rPr>
        <w:t xml:space="preserve">, </w:t>
      </w:r>
      <w:r w:rsidR="00E23FD1" w:rsidRPr="00A07D63">
        <w:rPr>
          <w:rFonts w:ascii="Book Antiqua" w:eastAsia="Book Antiqua" w:hAnsi="Book Antiqua" w:cs="Book Antiqua"/>
          <w:color w:val="000000"/>
          <w:kern w:val="0"/>
          <w:lang w:val="es-PR"/>
          <w14:ligatures w14:val="none"/>
        </w:rPr>
        <w:t xml:space="preserve">de </w:t>
      </w:r>
      <w:r w:rsidRPr="00A07D63">
        <w:rPr>
          <w:rFonts w:ascii="Book Antiqua" w:eastAsia="Book Antiqua" w:hAnsi="Book Antiqua" w:cs="Book Antiqua"/>
          <w:color w:val="000000"/>
          <w:kern w:val="0"/>
          <w:lang w:val="es-PR"/>
          <w14:ligatures w14:val="none"/>
        </w:rPr>
        <w:t xml:space="preserve">los cuales uno será el </w:t>
      </w:r>
      <w:proofErr w:type="gramStart"/>
      <w:r w:rsidRPr="00A07D63">
        <w:rPr>
          <w:rFonts w:ascii="Book Antiqua" w:eastAsia="Book Antiqua" w:hAnsi="Book Antiqua" w:cs="Book Antiqua"/>
          <w:color w:val="000000"/>
          <w:kern w:val="0"/>
          <w:lang w:val="es-PR"/>
          <w14:ligatures w14:val="none"/>
        </w:rPr>
        <w:t>Secretario</w:t>
      </w:r>
      <w:proofErr w:type="gramEnd"/>
      <w:r w:rsidRPr="00A07D63">
        <w:rPr>
          <w:rFonts w:ascii="Book Antiqua" w:eastAsia="Book Antiqua" w:hAnsi="Book Antiqua" w:cs="Book Antiqua"/>
          <w:color w:val="000000"/>
          <w:kern w:val="0"/>
          <w:lang w:val="es-PR"/>
          <w14:ligatures w14:val="none"/>
        </w:rPr>
        <w:t xml:space="preserve"> del Departamento de la Vivienda, quien presidirá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y </w:t>
      </w:r>
      <w:r w:rsidR="00701B36" w:rsidRPr="00A07D63">
        <w:rPr>
          <w:rFonts w:ascii="Book Antiqua" w:eastAsia="Book Antiqua" w:hAnsi="Book Antiqua" w:cs="Book Antiqua"/>
          <w:color w:val="000000"/>
          <w:kern w:val="0"/>
          <w:lang w:val="es-PR"/>
          <w14:ligatures w14:val="none"/>
        </w:rPr>
        <w:t xml:space="preserve">el </w:t>
      </w:r>
      <w:r w:rsidRPr="00A07D63">
        <w:rPr>
          <w:rFonts w:ascii="Book Antiqua" w:eastAsia="Book Antiqua" w:hAnsi="Book Antiqua" w:cs="Book Antiqua"/>
          <w:color w:val="000000"/>
          <w:kern w:val="0"/>
          <w:lang w:val="es-PR"/>
          <w14:ligatures w14:val="none"/>
        </w:rPr>
        <w:t xml:space="preserve">otro será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 la Autoridad de Asesoría Financiera y Agencia Fiscal de Puerto Rico.   Los miembros ex </w:t>
      </w:r>
      <w:proofErr w:type="spellStart"/>
      <w:r w:rsidRPr="00A07D63">
        <w:rPr>
          <w:rFonts w:ascii="Book Antiqua" w:eastAsia="Book Antiqua" w:hAnsi="Book Antiqua" w:cs="Book Antiqua"/>
          <w:color w:val="000000"/>
          <w:kern w:val="0"/>
          <w:lang w:val="es-PR"/>
          <w14:ligatures w14:val="none"/>
        </w:rPr>
        <w:t>officio</w:t>
      </w:r>
      <w:proofErr w:type="spellEnd"/>
      <w:r w:rsidRPr="00A07D63">
        <w:rPr>
          <w:rFonts w:ascii="Book Antiqua" w:eastAsia="Book Antiqua" w:hAnsi="Book Antiqua" w:cs="Book Antiqua"/>
          <w:color w:val="000000"/>
          <w:kern w:val="0"/>
          <w:lang w:val="es-PR"/>
          <w14:ligatures w14:val="none"/>
        </w:rPr>
        <w:t xml:space="preserve"> podrán designar una persona para participar en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como su representante, quien deberá contar con la capacidad, el conocimiento y la autoridad decisional necesarios para representar de manera efectiva al funcionario ejecutivo que sustituye. Los designados </w:t>
      </w:r>
      <w:r w:rsidRPr="00A07D63">
        <w:rPr>
          <w:rFonts w:ascii="Book Antiqua" w:eastAsia="Book Antiqua" w:hAnsi="Book Antiqua" w:cs="Book Antiqua"/>
          <w:color w:val="000000"/>
          <w:kern w:val="0"/>
          <w:lang w:val="es-PR"/>
          <w14:ligatures w14:val="none"/>
        </w:rPr>
        <w:lastRenderedPageBreak/>
        <w:t>deberán responder directamente al miembro exoficio, quien, a su vez, será responsable de las determinaciones que se tomen en la Junta.”</w:t>
      </w:r>
    </w:p>
    <w:p w14:paraId="598E64DD" w14:textId="672DE581"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303 – Se enmienda el Artículo 5 de la Ley Núm. 103-2001, según enmendada, conocida como “Ley de la Autoridad para el Financiamiento de la Vivienda de Puerto Rico” para que lea como sigue: </w:t>
      </w:r>
    </w:p>
    <w:p w14:paraId="46C05065" w14:textId="63C09F8D"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5 – Se deroga la Ley Núm. 146 de 30 de junio de 1961, según enmendada, y en consecuencia se disuelve el Banco y Agencia de Financiamiento de la Vivienda, sin necesidad de ninguna otra gestión, declaración de ley, resolución, ni de que se otorgue escritura o documento adicional alguno.” </w:t>
      </w:r>
    </w:p>
    <w:p w14:paraId="5AD911E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4 – ENMIENDAS A LEY DE LA AUTORIDAD DE PUERTO RICO PARA EL FINANCIAMIENTO DE FACILIDADES INDUSTRIALES, TURÍSTICAS, EDUCATIVAS, MÉDICAS Y DE CONTROL AMBIENTAL </w:t>
      </w:r>
    </w:p>
    <w:p w14:paraId="549185C4" w14:textId="57EACA82"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401 – Se enmienda el Artículo 4 de la Ley Núm. 121 de 27 de junio del 1977, según enmendada, conocida como “Ley de la Autoridad de Puerto Rico para el Financiamiento de Facilidades Industriales, Turísticas, Educativas, Médicas y de Control Ambiental “para que lea como sigue: </w:t>
      </w:r>
    </w:p>
    <w:p w14:paraId="6DC593C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4 – Creación. </w:t>
      </w:r>
    </w:p>
    <w:p w14:paraId="4FC348DB" w14:textId="53A4FFB4"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Se crea un cuerpo corporativo y político que constituye una corporación pública e instrumentalidad del Gobierno de Puerto Rico, adscrita a la Autoridad de Asesoría Financiera y Agencia Fiscal de Puerto Rico, la cual se conocerá como la Autoridad de Puerto Rico para el Financiamiento de Facilidades Industriales, Turísticas, Educativas, Médicas y de Control Ambiental.  El cuerpo gubernativo de la Autoridad será la Junta, la </w:t>
      </w:r>
      <w:r w:rsidRPr="00A07D63">
        <w:rPr>
          <w:rFonts w:ascii="Book Antiqua" w:eastAsia="Book Antiqua" w:hAnsi="Book Antiqua" w:cs="Book Antiqua"/>
          <w:color w:val="000000"/>
          <w:kern w:val="0"/>
          <w:lang w:val="es-PR"/>
          <w14:ligatures w14:val="none"/>
        </w:rPr>
        <w:lastRenderedPageBreak/>
        <w:t xml:space="preserve">cual consistirá de los siguientes miembros: el Director Ejecutivo de la Compañía de Fomento Industrial, el Director Ejecutivo de la Autoridad de Asesoría Financiera y Agencia Fiscal de Puerto Rico, el Secretario del Departamento de Recursos Naturales y Ambientales, el Director Ejecutivo de la Autoridad para el Financiamiento de la Infraestructura de Puerto Rico, el Director Ejecutivo de la Compañía de Turismo de Puerto Rico, o sus representantes designados quienes deben tener la capacidad, conocimientos y poder decisional para representar de forma efectiva al funcionario ejecutivo que sustituyen.  Los designados deberán responder directamente al </w:t>
      </w:r>
      <w:proofErr w:type="gramStart"/>
      <w:r w:rsidRPr="00A07D63">
        <w:rPr>
          <w:rFonts w:ascii="Book Antiqua" w:eastAsia="Book Antiqua" w:hAnsi="Book Antiqua" w:cs="Book Antiqua"/>
          <w:color w:val="000000"/>
          <w:kern w:val="0"/>
          <w:lang w:val="es-PR"/>
          <w14:ligatures w14:val="none"/>
        </w:rPr>
        <w:t>Jefe</w:t>
      </w:r>
      <w:proofErr w:type="gramEnd"/>
      <w:r w:rsidRPr="00A07D63">
        <w:rPr>
          <w:rFonts w:ascii="Book Antiqua" w:eastAsia="Book Antiqua" w:hAnsi="Book Antiqua" w:cs="Book Antiqua"/>
          <w:color w:val="000000"/>
          <w:kern w:val="0"/>
          <w:lang w:val="es-PR"/>
          <w14:ligatures w14:val="none"/>
        </w:rPr>
        <w:t xml:space="preserve"> de la Agencia, quien, a su vez, será responsable de las determinaciones que se tomen en la Junta.  Además, formarán parte de la Junta dos (2) ciudadanos particulares nombrados por el Gobernador o la Gobernadora, por un término de cuatro (4) años. </w:t>
      </w:r>
    </w:p>
    <w:p w14:paraId="11CED44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w:t>
      </w:r>
    </w:p>
    <w:p w14:paraId="46B3402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5 - ENMIENDAS A LA LEY DEL FIDEICOMISO PERPETUO DE COMUNIDADES ESPECIALES. </w:t>
      </w:r>
    </w:p>
    <w:p w14:paraId="65B1CCA5" w14:textId="31D90ADF"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501 - Se enmienda el Artículo 2 de la Ley Núm. 271-2002, según enmendada, conocida como “Ley del Fideicomiso Perpetuo de Comunidades Especiales” para que lea como sigue: </w:t>
      </w:r>
    </w:p>
    <w:p w14:paraId="7104CF06"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2 – Creación del Fideicomiso </w:t>
      </w:r>
    </w:p>
    <w:p w14:paraId="60870766" w14:textId="57ACE7E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Se crea un Fondo Público en Fideicomiso, irrevocable y permanente, que se conocerá como “Fideicomiso Perpetuo para las Comunidades Especiales” y constituye en cuerpo corporativo público con personalidad jurídica independiente, sin fines de lucro, irrevocable y a perpetuidad. </w:t>
      </w:r>
      <w:r w:rsidR="00A07D63">
        <w:rPr>
          <w:rFonts w:ascii="Book Antiqua" w:eastAsia="Book Antiqua" w:hAnsi="Book Antiqua" w:cs="Book Antiqua"/>
          <w:color w:val="000000"/>
          <w:kern w:val="0"/>
          <w:lang w:val="es-PR"/>
          <w14:ligatures w14:val="none"/>
        </w:rPr>
        <w:t xml:space="preserve"> </w:t>
      </w:r>
      <w:r w:rsidRPr="00A07D63">
        <w:rPr>
          <w:rFonts w:ascii="Book Antiqua" w:eastAsia="Book Antiqua" w:hAnsi="Book Antiqua" w:cs="Book Antiqua"/>
          <w:color w:val="000000"/>
          <w:kern w:val="0"/>
          <w:lang w:val="es-PR"/>
          <w14:ligatures w14:val="none"/>
        </w:rPr>
        <w:t xml:space="preserve">El Fideicomiso estará sujeto a la supervisión de la Oficina </w:t>
      </w:r>
      <w:r w:rsidRPr="00A07D63">
        <w:rPr>
          <w:rFonts w:ascii="Book Antiqua" w:eastAsia="Book Antiqua" w:hAnsi="Book Antiqua" w:cs="Book Antiqua"/>
          <w:color w:val="000000"/>
          <w:kern w:val="0"/>
          <w:lang w:val="es-PR"/>
          <w14:ligatures w14:val="none"/>
        </w:rPr>
        <w:lastRenderedPageBreak/>
        <w:t>de Desarrollo Socioeconómico y Comunitario de Puerto Rico conforme a lo establecido en la Ley Núm. 10-2017.  Los fondos del Fideicomiso se utilizarán para los propósitos especificados en el Artículo 9 de esta Ley.” </w:t>
      </w:r>
    </w:p>
    <w:p w14:paraId="3733B563" w14:textId="6560E215"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502 - Se enmienda el Artículo 7 de la Ley Núm. 271-2002, según enmendada, conocida como “Ley del Fideicomiso Perpetuo de Comunidades Especiales” para que lea como sigue: </w:t>
      </w:r>
    </w:p>
    <w:p w14:paraId="55C26EE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7 – Empleados. </w:t>
      </w:r>
    </w:p>
    <w:p w14:paraId="1F2683BE" w14:textId="1B33E6B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Los recursos humanos que servirán de apoyo al Fideicomiso serán provistos por la Autoridad y/o la Oficina de Desarrollo Socioeconómico y Comunitario de Puerto Rico.  Empleados de cualquier entidad gubernamental podrán ser destacados temporeramente al Fideicomiso.” </w:t>
      </w:r>
    </w:p>
    <w:p w14:paraId="2398DD5A"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6 – ENMIENDA A LA LEY PARA ESTABLECER EL “DEPOSITARIO DE ARCHIVOS Y RELIQUIAS DE EXGOBERNADORES Y EXPRIMERAS DAMAS DE PUERTO RICO”.  </w:t>
      </w:r>
    </w:p>
    <w:p w14:paraId="3A708A8E" w14:textId="1FF1C34B"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601 - Se enmienda el Artículo 1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0A8040A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1. </w:t>
      </w:r>
    </w:p>
    <w:p w14:paraId="58F91DF3" w14:textId="77777777" w:rsidR="00B0480B"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Se establece el “Depositario de Archivos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 que tendrá la encomienda de preservar y guardar los materiales históricos, tales como, documentos, libros, artefactos, </w:t>
      </w:r>
      <w:r w:rsidRPr="00A07D63">
        <w:rPr>
          <w:rFonts w:ascii="Book Antiqua" w:eastAsia="Book Antiqua" w:hAnsi="Book Antiqua" w:cs="Book Antiqua"/>
          <w:color w:val="000000"/>
          <w:kern w:val="0"/>
          <w:lang w:val="es-PR"/>
          <w14:ligatures w14:val="none"/>
        </w:rPr>
        <w:lastRenderedPageBreak/>
        <w:t>películas, fotografías y muebles pertenecientes a los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que para ello les hayan sido donados. Los mantendrá a la disposición del público general para su uso y disfrute. Cada Gobernador o Gobernadora o Ex-Gobernador o Ex-Gobernadora, o sucesión que interesa valerse de las disposiciones de esta Ley, podrá seleccionar la entidad que constituirá el Depositario de sus documentos u objetos. El Depositario seleccionado deberá ser una Fundación creada para dicho propósito, así como entidades educativas de Educación Superior, públicas o privadas que hayan indicado su disponibilidad para llevar a cabo estas funciones. </w:t>
      </w:r>
    </w:p>
    <w:p w14:paraId="753D230D" w14:textId="3C8A8D9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En caso de cesar la existencia de la institución constituida en Depositario de documentos u objetos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o Ex-Primeros Caballeros, los documentos u objetos en su poder revertirán a éstos o a su sucesión. Esto no aplicará en los casos de donaciones o de objetos o documentos adquiridos a título oneroso. La institución depositaria vendrá en la obligación de notificar al Ex-Gobernador</w:t>
      </w:r>
      <w:r w:rsidR="00B0480B" w:rsidRPr="00A07D63">
        <w:rPr>
          <w:rFonts w:ascii="Book Antiqua" w:eastAsia="Book Antiqua" w:hAnsi="Book Antiqua" w:cs="Book Antiqua"/>
          <w:color w:val="000000"/>
          <w:kern w:val="0"/>
          <w:lang w:val="es-PR"/>
          <w14:ligatures w14:val="none"/>
        </w:rPr>
        <w:t xml:space="preserve"> o Ex-Gobernadora</w:t>
      </w:r>
      <w:r w:rsidRPr="00A07D63">
        <w:rPr>
          <w:rFonts w:ascii="Book Antiqua" w:eastAsia="Book Antiqua" w:hAnsi="Book Antiqua" w:cs="Book Antiqua"/>
          <w:color w:val="000000"/>
          <w:kern w:val="0"/>
          <w:lang w:val="es-PR"/>
          <w14:ligatures w14:val="none"/>
        </w:rPr>
        <w:t>, Ex-</w:t>
      </w:r>
      <w:proofErr w:type="gramStart"/>
      <w:r w:rsidRPr="00A07D63">
        <w:rPr>
          <w:rFonts w:ascii="Book Antiqua" w:eastAsia="Book Antiqua" w:hAnsi="Book Antiqua" w:cs="Book Antiqua"/>
          <w:color w:val="000000"/>
          <w:kern w:val="0"/>
          <w:lang w:val="es-PR"/>
          <w14:ligatures w14:val="none"/>
        </w:rPr>
        <w:t>Primera Dama</w:t>
      </w:r>
      <w:proofErr w:type="gramEnd"/>
      <w:r w:rsidRPr="00A07D63">
        <w:rPr>
          <w:rFonts w:ascii="Book Antiqua" w:eastAsia="Book Antiqua" w:hAnsi="Book Antiqua" w:cs="Book Antiqua"/>
          <w:color w:val="000000"/>
          <w:kern w:val="0"/>
          <w:lang w:val="es-PR"/>
          <w14:ligatures w14:val="none"/>
        </w:rPr>
        <w:t xml:space="preserve">, Ex-Primer Caballero o su sucesión sobre el cese de operaciones de </w:t>
      </w:r>
      <w:proofErr w:type="gramStart"/>
      <w:r w:rsidRPr="00A07D63">
        <w:rPr>
          <w:rFonts w:ascii="Book Antiqua" w:eastAsia="Book Antiqua" w:hAnsi="Book Antiqua" w:cs="Book Antiqua"/>
          <w:color w:val="000000"/>
          <w:kern w:val="0"/>
          <w:lang w:val="es-PR"/>
          <w14:ligatures w14:val="none"/>
        </w:rPr>
        <w:t>la misma</w:t>
      </w:r>
      <w:proofErr w:type="gramEnd"/>
      <w:r w:rsidRPr="00A07D63">
        <w:rPr>
          <w:rFonts w:ascii="Book Antiqua" w:eastAsia="Book Antiqua" w:hAnsi="Book Antiqua" w:cs="Book Antiqua"/>
          <w:color w:val="000000"/>
          <w:kern w:val="0"/>
          <w:lang w:val="es-PR"/>
          <w14:ligatures w14:val="none"/>
        </w:rPr>
        <w:t xml:space="preserve">. Estos deberán reaccionar a dicha notificación dentro de los noventa (90) días siguientes a la fecha de </w:t>
      </w:r>
      <w:proofErr w:type="gramStart"/>
      <w:r w:rsidRPr="00A07D63">
        <w:rPr>
          <w:rFonts w:ascii="Book Antiqua" w:eastAsia="Book Antiqua" w:hAnsi="Book Antiqua" w:cs="Book Antiqua"/>
          <w:color w:val="000000"/>
          <w:kern w:val="0"/>
          <w:lang w:val="es-PR"/>
          <w14:ligatures w14:val="none"/>
        </w:rPr>
        <w:t>la misma</w:t>
      </w:r>
      <w:proofErr w:type="gramEnd"/>
      <w:r w:rsidRPr="00A07D63">
        <w:rPr>
          <w:rFonts w:ascii="Book Antiqua" w:eastAsia="Book Antiqua" w:hAnsi="Book Antiqua" w:cs="Book Antiqua"/>
          <w:color w:val="000000"/>
          <w:kern w:val="0"/>
          <w:lang w:val="es-PR"/>
          <w14:ligatures w14:val="none"/>
        </w:rPr>
        <w:t>. De no reaccionar éstos a dicha notificación los documentos u objetos revertirán a la custodia del Archivo General de Puerto Rico.”</w:t>
      </w:r>
    </w:p>
    <w:p w14:paraId="4576A880" w14:textId="52885C50"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602 - Se enmienda el Artículo 2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742B1D3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“Artículo 2 – Préstamos de Materiales Históricos.</w:t>
      </w:r>
    </w:p>
    <w:p w14:paraId="350D150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El “Depositario de Archivos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 podrá prestar los materiales históricos para la exhibición de éstos en museos, centros de enseñanza, bibliotecas y edificios públicos. Para ello, adoptará un reglamento estableciendo el procedimiento adecuado.”</w:t>
      </w:r>
    </w:p>
    <w:p w14:paraId="51ECC187" w14:textId="0121AC3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603 - Se enmienda el Artículo 3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02C927EC"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3 – Inventario de Materiales Históricos.</w:t>
      </w:r>
    </w:p>
    <w:p w14:paraId="7A0D2DF8" w14:textId="5CC01A59"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El “Depositario de Archivos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 tendrá que preparar cada cinco (5) años un inventario completo de todos los materiales históricos bajo su control, copia del cual deberá ser entregado al Archivo General y a la Asamblea Legislativa.”</w:t>
      </w:r>
    </w:p>
    <w:p w14:paraId="66A98DDC" w14:textId="56A68FD1"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604 - Se enmienda el Artículo 4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11B43121"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4 – Donaciones por parte de Instituciones Públicas o Privadas y Personas o Individuos.</w:t>
      </w:r>
    </w:p>
    <w:p w14:paraId="48CD6A4C"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Se autoriza al “Depositario de Archivo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 según dispuesto en esta Ley, a recibir donaciones de entidades públicas o privadas y de personas o individuos.”</w:t>
      </w:r>
    </w:p>
    <w:p w14:paraId="0B73BF01" w14:textId="0C522B01"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605 - Se enmienda el Artículo 5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7273313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5 – Fondo Especial. </w:t>
      </w:r>
    </w:p>
    <w:p w14:paraId="483449D3" w14:textId="5DE0D655" w:rsidR="00AF6522" w:rsidRPr="00A07D63" w:rsidRDefault="00AF6522" w:rsidP="00AF6522">
      <w:pPr>
        <w:spacing w:after="0" w:line="480" w:lineRule="auto"/>
        <w:ind w:firstLine="720"/>
        <w:jc w:val="both"/>
        <w:rPr>
          <w:rFonts w:ascii="Book Antiqua" w:eastAsia="Book Antiqua" w:hAnsi="Book Antiqua" w:cs="Book Antiqua"/>
          <w:kern w:val="0"/>
          <w:lang w:val="es-PR"/>
          <w14:ligatures w14:val="none"/>
        </w:rPr>
      </w:pPr>
      <w:r w:rsidRPr="00A07D63">
        <w:rPr>
          <w:rFonts w:ascii="Book Antiqua" w:eastAsia="Book Antiqua" w:hAnsi="Book Antiqua" w:cs="Book Antiqua"/>
          <w:color w:val="000000"/>
          <w:kern w:val="0"/>
          <w:lang w:val="es-PR"/>
          <w14:ligatures w14:val="none"/>
        </w:rPr>
        <w:t>Por la presente se crea el Fondo Especial para el “Depositario de Archivos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 para sufragar los gastos de construcción, funcionamiento y de toda gestión necesaria para el fiel cumplimiento de los propósitos de esta Ley.  El Administrador del Fondo Especial será el </w:t>
      </w:r>
      <w:proofErr w:type="gramStart"/>
      <w:r w:rsidRPr="00A07D63">
        <w:rPr>
          <w:rFonts w:ascii="Book Antiqua" w:eastAsia="Book Antiqua" w:hAnsi="Book Antiqua" w:cs="Book Antiqua"/>
          <w:color w:val="000000"/>
          <w:kern w:val="0"/>
          <w:lang w:val="es-PR"/>
          <w14:ligatures w14:val="none"/>
        </w:rPr>
        <w:t>Director</w:t>
      </w:r>
      <w:proofErr w:type="gramEnd"/>
      <w:r w:rsidRPr="00A07D63">
        <w:rPr>
          <w:rFonts w:ascii="Book Antiqua" w:eastAsia="Book Antiqua" w:hAnsi="Book Antiqua" w:cs="Book Antiqua"/>
          <w:color w:val="000000"/>
          <w:kern w:val="0"/>
          <w:lang w:val="es-PR"/>
          <w14:ligatures w14:val="none"/>
        </w:rPr>
        <w:t xml:space="preserve"> de la Oficina de Gerencia y Presupuesto y tendrá a su cargo los ingresos y erogaciones del fondo, con sujeción a las directrices que le establezca el </w:t>
      </w:r>
      <w:proofErr w:type="gramStart"/>
      <w:r w:rsidRPr="00A07D63">
        <w:rPr>
          <w:rFonts w:ascii="Book Antiqua" w:eastAsia="Book Antiqua" w:hAnsi="Book Antiqua" w:cs="Book Antiqua"/>
          <w:color w:val="000000"/>
          <w:kern w:val="0"/>
          <w:lang w:val="es-PR"/>
          <w14:ligatures w14:val="none"/>
        </w:rPr>
        <w:t>Secretario</w:t>
      </w:r>
      <w:proofErr w:type="gramEnd"/>
      <w:r w:rsidRPr="00A07D63">
        <w:rPr>
          <w:rFonts w:ascii="Book Antiqua" w:eastAsia="Book Antiqua" w:hAnsi="Book Antiqua" w:cs="Book Antiqua"/>
          <w:color w:val="000000"/>
          <w:kern w:val="0"/>
          <w:lang w:val="es-PR"/>
          <w14:ligatures w14:val="none"/>
        </w:rPr>
        <w:t xml:space="preserve"> de Hacienda.   Los recursos del fondo especial serán administrados de acuerdo con la reglamentación que disponga el administrador</w:t>
      </w:r>
      <w:r w:rsidR="00B0480B" w:rsidRPr="00A07D63">
        <w:rPr>
          <w:rFonts w:ascii="Book Antiqua" w:eastAsia="Book Antiqua" w:hAnsi="Book Antiqua" w:cs="Book Antiqua"/>
          <w:color w:val="000000"/>
          <w:kern w:val="0"/>
          <w:lang w:val="es-PR"/>
          <w14:ligatures w14:val="none"/>
        </w:rPr>
        <w:t xml:space="preserve"> y serán depositados en la Oficina de Gerencia y Presupuesto</w:t>
      </w:r>
      <w:r w:rsidRPr="00A07D63">
        <w:rPr>
          <w:rFonts w:ascii="Book Antiqua" w:eastAsia="Book Antiqua" w:hAnsi="Book Antiqua" w:cs="Book Antiqua"/>
          <w:color w:val="000000"/>
          <w:kern w:val="0"/>
          <w:lang w:val="es-PR"/>
          <w14:ligatures w14:val="none"/>
        </w:rPr>
        <w:t>. </w:t>
      </w:r>
    </w:p>
    <w:p w14:paraId="2A65E7E7" w14:textId="77777777" w:rsidR="0023737E"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w:t>
      </w:r>
    </w:p>
    <w:p w14:paraId="6D6B1CDB" w14:textId="040C3334" w:rsidR="0023737E" w:rsidRPr="00A07D63" w:rsidRDefault="0023737E"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(b) Las aportaciones o trasferencias de cualquier tipo hechas al “Depositario de Archivos y Reliquias de Ex-Gobernadores,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Ex-Primeros Caballeros de Puerto Rico</w:t>
      </w:r>
      <w:r w:rsidR="00AF6522"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lang w:val="es-PR"/>
          <w14:ligatures w14:val="none"/>
        </w:rPr>
        <w:t xml:space="preserve"> o al administrador para cumplir con las disposiciones de esta Ley.</w:t>
      </w:r>
    </w:p>
    <w:p w14:paraId="1900EFB5" w14:textId="791A64A0" w:rsidR="00AF6522" w:rsidRPr="00A07D63" w:rsidRDefault="0023737E"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w:t>
      </w:r>
      <w:r w:rsidR="00AF6522" w:rsidRPr="00A07D63">
        <w:rPr>
          <w:rFonts w:ascii="Book Antiqua" w:eastAsia="Book Antiqua" w:hAnsi="Book Antiqua" w:cs="Book Antiqua"/>
          <w:color w:val="000000"/>
          <w:kern w:val="0"/>
          <w:lang w:val="es-PR"/>
          <w14:ligatures w14:val="none"/>
        </w:rPr>
        <w:t> </w:t>
      </w:r>
    </w:p>
    <w:p w14:paraId="53F8B43E" w14:textId="45BE4666"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Artículo 606 - Se enmienda el Artículo 6 de la Ley Núm. 290-2000, según enmendada, conocida como la Ley para Establecer el “Depositario de Archivos y Reliquias de Ex-Gobernadores y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de Puerto Rico” para que lea como sigue: </w:t>
      </w:r>
    </w:p>
    <w:p w14:paraId="07277EE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6 – Desembolsos. </w:t>
      </w:r>
    </w:p>
    <w:p w14:paraId="6B4628AB" w14:textId="30C2937D"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Los desembolsos al Depositario de Archivos y Reliquias de cada </w:t>
      </w:r>
      <w:proofErr w:type="gramStart"/>
      <w:r w:rsidRPr="00A07D63">
        <w:rPr>
          <w:rFonts w:ascii="Book Antiqua" w:eastAsia="Book Antiqua" w:hAnsi="Book Antiqua" w:cs="Book Antiqua"/>
          <w:color w:val="000000"/>
          <w:kern w:val="0"/>
          <w:lang w:val="es-PR"/>
          <w14:ligatures w14:val="none"/>
        </w:rPr>
        <w:t>Ex Gobernador</w:t>
      </w:r>
      <w:proofErr w:type="gramEnd"/>
      <w:r w:rsidRPr="00A07D63">
        <w:rPr>
          <w:rFonts w:ascii="Book Antiqua" w:eastAsia="Book Antiqua" w:hAnsi="Book Antiqua" w:cs="Book Antiqua"/>
          <w:color w:val="000000"/>
          <w:kern w:val="0"/>
          <w:lang w:val="es-PR"/>
          <w14:ligatures w14:val="none"/>
        </w:rPr>
        <w:t>, Ex-</w:t>
      </w:r>
      <w:proofErr w:type="gramStart"/>
      <w:r w:rsidRPr="00A07D63">
        <w:rPr>
          <w:rFonts w:ascii="Book Antiqua" w:eastAsia="Book Antiqua" w:hAnsi="Book Antiqua" w:cs="Book Antiqua"/>
          <w:color w:val="000000"/>
          <w:kern w:val="0"/>
          <w:lang w:val="es-PR"/>
          <w14:ligatures w14:val="none"/>
        </w:rPr>
        <w:t>Primeras Damas</w:t>
      </w:r>
      <w:proofErr w:type="gramEnd"/>
      <w:r w:rsidRPr="00A07D63">
        <w:rPr>
          <w:rFonts w:ascii="Book Antiqua" w:eastAsia="Book Antiqua" w:hAnsi="Book Antiqua" w:cs="Book Antiqua"/>
          <w:color w:val="000000"/>
          <w:kern w:val="0"/>
          <w:lang w:val="es-PR"/>
          <w14:ligatures w14:val="none"/>
        </w:rPr>
        <w:t xml:space="preserve"> y Ex Primer Caballero de Puerto Rico se harán en cada año fiscal en forma de pareo de un sesenta y seis por ciento (66%) de la aportación del Fondo contra un treinta y cuatro por ciento (34%) de aportaciones privadas recibidas o generadas por el Depositario.  La cantidad máxima que podrá desembolsarse anualmente será la que exista en el fondo para el año fiscal en que se haga el desembolso, dividida por el número de Ex-Gobernadores que hayan designado un Depositario para el comienzo del año fiscal.  Para fines del pareo el Depositario podrá presentar al administrador, tanto aportaciones monetarias recibidas por él para usarse durante el año, como aportaciones en especie a los costos de trabajos, publicaciones, y actividades llevadas a cabo por él para cumplir con los propósitos de esta Ley.  Para autorizar el pareo se efectuará una auditoría independiente del año inmediato anterior, el programa de trabajo y los resultados logrados por el Depositario para cumplir con los fines de esta Ley.” </w:t>
      </w:r>
    </w:p>
    <w:p w14:paraId="7D9313D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7 – ENMIENDA A LA LEY DE LA AUTORIDAD PARA EL FINANCIAMIENTO DE LA INFRAESTRUCTURA DE PUERTO RICO. </w:t>
      </w:r>
    </w:p>
    <w:p w14:paraId="0E6E0D4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Artículo 701 - Se enmienda el Artículo 4 de la Ley Núm. 44 de 21 de junio de 1988, según enmendada, conocida como “Ley de la Autoridad para el Financiamiento de la Infraestructura de Puerto Rico” para que se lea como sigue: </w:t>
      </w:r>
    </w:p>
    <w:p w14:paraId="2F0050B5"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4 – Creación. </w:t>
      </w:r>
    </w:p>
    <w:p w14:paraId="3A250985" w14:textId="52FAEADE" w:rsidR="00AF6522" w:rsidRPr="00A07D63" w:rsidRDefault="00AF6522" w:rsidP="00AF6522">
      <w:pPr>
        <w:spacing w:after="0" w:line="480" w:lineRule="auto"/>
        <w:ind w:firstLine="720"/>
        <w:jc w:val="both"/>
        <w:rPr>
          <w:rFonts w:ascii="Book Antiqua" w:eastAsia="Book Antiqua" w:hAnsi="Book Antiqua" w:cs="Book Antiqua"/>
          <w:kern w:val="0"/>
          <w:lang w:val="es-PR"/>
          <w14:ligatures w14:val="none"/>
        </w:rPr>
      </w:pPr>
      <w:r w:rsidRPr="00A07D63">
        <w:rPr>
          <w:rFonts w:ascii="Book Antiqua" w:eastAsia="Book Antiqua" w:hAnsi="Book Antiqua" w:cs="Book Antiqua"/>
          <w:color w:val="000000"/>
          <w:kern w:val="0"/>
          <w:lang w:val="es-PR"/>
          <w14:ligatures w14:val="none"/>
        </w:rPr>
        <w:t>Se crea una corporación pública e instrumentalidad del Gobierno de Puerto Rico que constituye un cuerpo corporativo y político independiente que se conocerá como Autoridad para el Financiamiento de la Infraestructura de Puerto Rico, la cual ejercerá sus poderes independientemente de cualquier otra persona.  Los poderes de la Autoridad serán ejercidos por la Junta, la cual estará compuesta por cinco (5) miembros</w:t>
      </w:r>
      <w:r w:rsidR="00F02D06">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lang w:val="es-PR"/>
          <w14:ligatures w14:val="none"/>
        </w:rPr>
        <w:t xml:space="preserve"> Uno </w:t>
      </w:r>
      <w:r w:rsidR="00666556" w:rsidRPr="00A07D63">
        <w:rPr>
          <w:rFonts w:ascii="Book Antiqua" w:eastAsia="Book Antiqua" w:hAnsi="Book Antiqua" w:cs="Book Antiqua"/>
          <w:color w:val="000000"/>
          <w:kern w:val="0"/>
          <w:lang w:val="es-PR"/>
          <w14:ligatures w14:val="none"/>
        </w:rPr>
        <w:t xml:space="preserve">(1) </w:t>
      </w:r>
      <w:r w:rsidRPr="00A07D63">
        <w:rPr>
          <w:rFonts w:ascii="Book Antiqua" w:eastAsia="Book Antiqua" w:hAnsi="Book Antiqua" w:cs="Book Antiqua"/>
          <w:color w:val="000000"/>
          <w:kern w:val="0"/>
          <w:lang w:val="es-PR"/>
          <w14:ligatures w14:val="none"/>
        </w:rPr>
        <w:t xml:space="preserve">de los miembros será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 la Autoridad de Asesoría Financiera y Agencia Fiscal de Puerto Rico, quien podrá nombrar a una persona para participar en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como su representante. Dicho representante deberá contar con la capacidad, el conocimiento y la autoridad decisional necesarios para representarlo de manera efectiva. Los demás cuatro (4) miembros serán nombrados por el Gobernador o la Gobernadora de Puerto Rico, servirán a voluntad del Gobernador o la Gobernadora </w:t>
      </w:r>
      <w:proofErr w:type="gramStart"/>
      <w:r w:rsidRPr="00A07D63">
        <w:rPr>
          <w:rFonts w:ascii="Book Antiqua" w:eastAsia="Book Antiqua" w:hAnsi="Book Antiqua" w:cs="Book Antiqua"/>
          <w:color w:val="000000"/>
          <w:kern w:val="0"/>
          <w:lang w:val="es-PR"/>
          <w14:ligatures w14:val="none"/>
        </w:rPr>
        <w:t>y  podrán</w:t>
      </w:r>
      <w:proofErr w:type="gramEnd"/>
      <w:r w:rsidRPr="00A07D63">
        <w:rPr>
          <w:rFonts w:ascii="Book Antiqua" w:eastAsia="Book Antiqua" w:hAnsi="Book Antiqua" w:cs="Book Antiqua"/>
          <w:color w:val="000000"/>
          <w:kern w:val="0"/>
          <w:lang w:val="es-PR"/>
          <w14:ligatures w14:val="none"/>
        </w:rPr>
        <w:t xml:space="preserve"> ser removidos o sustituidos por el Gobernador o la Gobernadora en cualquier momento, con o sin causa. </w:t>
      </w:r>
    </w:p>
    <w:p w14:paraId="39EAFE05"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Cualquier miembro de la Junta que sea a su vez miembro de la junta de directores, oficial o funcionario de una entidad beneficiada tendrá que inhibirse de participar en cualquier asunto de la Autoridad que afecte la entidad beneficiada de la cual es director, oficial o funcionario.  La Autoridad así constituida ejercerá funciones gubernamentales públicas y esenciales. </w:t>
      </w:r>
    </w:p>
    <w:p w14:paraId="071FE355" w14:textId="258EDA40"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El Gobernador o la Gobernadora de Puerto Rico nombrará a un</w:t>
      </w:r>
      <w:r w:rsidR="00666556" w:rsidRPr="00A07D63">
        <w:rPr>
          <w:rFonts w:ascii="Book Antiqua" w:eastAsia="Book Antiqua" w:hAnsi="Book Antiqua" w:cs="Book Antiqua"/>
          <w:color w:val="000000"/>
          <w:kern w:val="0"/>
          <w:lang w:val="es-PR"/>
          <w14:ligatures w14:val="none"/>
        </w:rPr>
        <w:t xml:space="preserve"> (1)</w:t>
      </w:r>
      <w:r w:rsidRPr="00A07D63">
        <w:rPr>
          <w:rFonts w:ascii="Book Antiqua" w:eastAsia="Book Antiqua" w:hAnsi="Book Antiqua" w:cs="Book Antiqua"/>
          <w:color w:val="000000"/>
          <w:kern w:val="0"/>
          <w:lang w:val="es-PR"/>
          <w14:ligatures w14:val="none"/>
        </w:rPr>
        <w:t xml:space="preserve"> </w:t>
      </w:r>
      <w:proofErr w:type="gramStart"/>
      <w:r w:rsidRPr="00A07D63">
        <w:rPr>
          <w:rFonts w:ascii="Book Antiqua" w:eastAsia="Book Antiqua" w:hAnsi="Book Antiqua" w:cs="Book Antiqua"/>
          <w:color w:val="000000"/>
          <w:kern w:val="0"/>
          <w:lang w:val="es-PR"/>
          <w14:ligatures w14:val="none"/>
        </w:rPr>
        <w:t>Presidente</w:t>
      </w:r>
      <w:proofErr w:type="gramEnd"/>
      <w:r w:rsidRPr="00A07D63">
        <w:rPr>
          <w:rFonts w:ascii="Book Antiqua" w:eastAsia="Book Antiqua" w:hAnsi="Book Antiqua" w:cs="Book Antiqua"/>
          <w:color w:val="000000"/>
          <w:kern w:val="0"/>
          <w:lang w:val="es-PR"/>
          <w14:ligatures w14:val="none"/>
        </w:rPr>
        <w:t xml:space="preserve"> de la Junta de entre sus miembros.  La Junta podrá elegir a los oficiales que estime necesarios o convenientes para llevar a cabo los fines públicos por los cuales se crea la Autoridad. </w:t>
      </w:r>
    </w:p>
    <w:p w14:paraId="6D60DB5D"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w:t>
      </w:r>
    </w:p>
    <w:p w14:paraId="37CC746C"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8 – ENMIENDA A LA LEY DEL FIDEICOMISO DE LOS NIÑOS. </w:t>
      </w:r>
    </w:p>
    <w:p w14:paraId="399B33F8" w14:textId="2D77431A"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801 - Se enmienda el Artículo 4 de la Ley Núm. 173-1999, según enmendada, conocida como la Ley del Fideicomiso de los Niños” para que lea como sigue: </w:t>
      </w:r>
    </w:p>
    <w:p w14:paraId="122577A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4 – Creación del Fideicomiso. </w:t>
      </w:r>
    </w:p>
    <w:p w14:paraId="426D05BC" w14:textId="4A5E5F94"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Se crea un Fondo Público en Fideicomiso, adscrito a la Autoridad de Asesoría Financiera y Agencia Fiscal de Puerto Rico</w:t>
      </w:r>
      <w:r w:rsidR="00666556"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lang w:val="es-PR"/>
          <w14:ligatures w14:val="none"/>
        </w:rPr>
        <w:t xml:space="preserve"> que constituye un cuerpo corporativo con personalidad jurídica independiente, sin fines de lucro, irrevocable y a perpetuidad.  El Fideicomiso se conocerá como </w:t>
      </w:r>
      <w:r w:rsidR="00C143A7"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lang w:val="es-PR"/>
          <w14:ligatures w14:val="none"/>
        </w:rPr>
        <w:t>Fideicomiso de los Niños”, el cual ejercerá sus poderes independientemente para ser dueño y administrador de los fondos que ingresarán al mismo provenientes del Acuerdo de Transacción y serán utilizados conforme lo establecido en el Artículo 2 de esta Ley.” </w:t>
      </w:r>
    </w:p>
    <w:p w14:paraId="6B81C7A0" w14:textId="1A560CB4"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802 - Se enmienda el Artículo 5 de la Ley Núm. 173-1999, según enmendada, conocida como la Ley del Fideicomiso de los Niños” para que lea como sigue: </w:t>
      </w:r>
    </w:p>
    <w:p w14:paraId="6CD4262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5 –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Fideicomiso </w:t>
      </w:r>
    </w:p>
    <w:p w14:paraId="21C8AF10" w14:textId="700DDDB4" w:rsidR="00AF6522" w:rsidRPr="00A07D63" w:rsidRDefault="00AF6522" w:rsidP="00AF6522">
      <w:pPr>
        <w:spacing w:after="0" w:line="480" w:lineRule="auto"/>
        <w:ind w:firstLine="720"/>
        <w:jc w:val="both"/>
        <w:rPr>
          <w:rFonts w:ascii="Book Antiqua" w:eastAsia="Book Antiqua" w:hAnsi="Book Antiqua" w:cs="Book Antiqua"/>
          <w:kern w:val="0"/>
          <w:lang w:val="es-PR"/>
          <w14:ligatures w14:val="none"/>
        </w:rPr>
      </w:pPr>
      <w:r w:rsidRPr="00A07D63">
        <w:rPr>
          <w:rFonts w:ascii="Book Antiqua" w:eastAsia="Book Antiqua" w:hAnsi="Book Antiqua" w:cs="Book Antiqua"/>
          <w:color w:val="000000"/>
          <w:kern w:val="0"/>
          <w:lang w:val="es-PR"/>
          <w14:ligatures w14:val="none"/>
        </w:rPr>
        <w:t xml:space="preserve">Los poderes del Fideicomiso serán ejercidos por una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la cual estará compuesta por siete (7) miembros.  Cuatro (4) de los integrantes de la Junta de </w:t>
      </w:r>
      <w:proofErr w:type="gramStart"/>
      <w:r w:rsidRPr="00A07D63">
        <w:rPr>
          <w:rFonts w:ascii="Book Antiqua" w:eastAsia="Book Antiqua" w:hAnsi="Book Antiqua" w:cs="Book Antiqua"/>
          <w:color w:val="000000"/>
          <w:kern w:val="0"/>
          <w:lang w:val="es-PR"/>
          <w14:ligatures w14:val="none"/>
        </w:rPr>
        <w:lastRenderedPageBreak/>
        <w:t>Directores</w:t>
      </w:r>
      <w:proofErr w:type="gramEnd"/>
      <w:r w:rsidRPr="00A07D63">
        <w:rPr>
          <w:rFonts w:ascii="Book Antiqua" w:eastAsia="Book Antiqua" w:hAnsi="Book Antiqua" w:cs="Book Antiqua"/>
          <w:color w:val="000000"/>
          <w:kern w:val="0"/>
          <w:lang w:val="es-PR"/>
          <w14:ligatures w14:val="none"/>
        </w:rPr>
        <w:t xml:space="preserve"> serán miembros ex </w:t>
      </w:r>
      <w:proofErr w:type="spellStart"/>
      <w:r w:rsidRPr="00A07D63">
        <w:rPr>
          <w:rFonts w:ascii="Book Antiqua" w:eastAsia="Book Antiqua" w:hAnsi="Book Antiqua" w:cs="Book Antiqua"/>
          <w:color w:val="000000"/>
          <w:kern w:val="0"/>
          <w:lang w:val="es-PR"/>
          <w14:ligatures w14:val="none"/>
        </w:rPr>
        <w:t>officio</w:t>
      </w:r>
      <w:proofErr w:type="spellEnd"/>
      <w:r w:rsidRPr="00A07D63">
        <w:rPr>
          <w:rFonts w:ascii="Book Antiqua" w:eastAsia="Book Antiqua" w:hAnsi="Book Antiqua" w:cs="Book Antiqua"/>
          <w:color w:val="000000"/>
          <w:kern w:val="0"/>
          <w:lang w:val="es-PR"/>
          <w14:ligatures w14:val="none"/>
        </w:rPr>
        <w:t xml:space="preserve">: el Gobernador o la Gobernadora de Puerto Rico,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 la Autoridad de Asesoría Financiera y Agencia Fiscal de Puerto Rico, el </w:t>
      </w:r>
      <w:proofErr w:type="gramStart"/>
      <w:r w:rsidRPr="00A07D63">
        <w:rPr>
          <w:rFonts w:ascii="Book Antiqua" w:eastAsia="Book Antiqua" w:hAnsi="Book Antiqua" w:cs="Book Antiqua"/>
          <w:color w:val="000000"/>
          <w:kern w:val="0"/>
          <w:lang w:val="es-PR"/>
          <w14:ligatures w14:val="none"/>
        </w:rPr>
        <w:t>Director</w:t>
      </w:r>
      <w:proofErr w:type="gramEnd"/>
      <w:r w:rsidRPr="00A07D63">
        <w:rPr>
          <w:rFonts w:ascii="Book Antiqua" w:eastAsia="Book Antiqua" w:hAnsi="Book Antiqua" w:cs="Book Antiqua"/>
          <w:color w:val="000000"/>
          <w:kern w:val="0"/>
          <w:lang w:val="es-PR"/>
          <w14:ligatures w14:val="none"/>
        </w:rPr>
        <w:t xml:space="preserve"> de la Oficina de Gerencia y Presupuesto</w:t>
      </w:r>
      <w:r w:rsidR="00C143A7" w:rsidRPr="00A07D63">
        <w:rPr>
          <w:rFonts w:ascii="Book Antiqua" w:eastAsia="Book Antiqua" w:hAnsi="Book Antiqua" w:cs="Book Antiqua"/>
          <w:color w:val="000000"/>
          <w:kern w:val="0"/>
          <w:lang w:val="es-PR"/>
          <w14:ligatures w14:val="none"/>
        </w:rPr>
        <w:t>,</w:t>
      </w:r>
      <w:r w:rsidRPr="00A07D63">
        <w:rPr>
          <w:rFonts w:ascii="Book Antiqua" w:eastAsia="Book Antiqua" w:hAnsi="Book Antiqua" w:cs="Book Antiqua"/>
          <w:color w:val="000000"/>
          <w:kern w:val="0"/>
          <w:lang w:val="es-PR"/>
          <w14:ligatures w14:val="none"/>
        </w:rPr>
        <w:t xml:space="preserve"> el </w:t>
      </w:r>
      <w:proofErr w:type="gramStart"/>
      <w:r w:rsidRPr="00A07D63">
        <w:rPr>
          <w:rFonts w:ascii="Book Antiqua" w:eastAsia="Book Antiqua" w:hAnsi="Book Antiqua" w:cs="Book Antiqua"/>
          <w:color w:val="000000"/>
          <w:kern w:val="0"/>
          <w:lang w:val="es-PR"/>
          <w14:ligatures w14:val="none"/>
        </w:rPr>
        <w:t>Secretario</w:t>
      </w:r>
      <w:proofErr w:type="gramEnd"/>
      <w:r w:rsidRPr="00A07D63">
        <w:rPr>
          <w:rFonts w:ascii="Book Antiqua" w:eastAsia="Book Antiqua" w:hAnsi="Book Antiqua" w:cs="Book Antiqua"/>
          <w:color w:val="000000"/>
          <w:kern w:val="0"/>
          <w:lang w:val="es-PR"/>
          <w14:ligatures w14:val="none"/>
        </w:rPr>
        <w:t xml:space="preserve"> de Justicia y tres (3) ciudadanos privados en representación del interés público.  El Gobernador o la Gobernadora designará de entre sus miembros al </w:t>
      </w:r>
      <w:proofErr w:type="gramStart"/>
      <w:r w:rsidRPr="00A07D63">
        <w:rPr>
          <w:rFonts w:ascii="Book Antiqua" w:eastAsia="Book Antiqua" w:hAnsi="Book Antiqua" w:cs="Book Antiqua"/>
          <w:color w:val="000000"/>
          <w:kern w:val="0"/>
          <w:lang w:val="es-PR"/>
          <w14:ligatures w14:val="none"/>
        </w:rPr>
        <w:t>Presidente</w:t>
      </w:r>
      <w:proofErr w:type="gramEnd"/>
      <w:r w:rsidRPr="00A07D63">
        <w:rPr>
          <w:rFonts w:ascii="Book Antiqua" w:eastAsia="Book Antiqua" w:hAnsi="Book Antiqua" w:cs="Book Antiqua"/>
          <w:color w:val="000000"/>
          <w:kern w:val="0"/>
          <w:lang w:val="es-PR"/>
          <w14:ligatures w14:val="none"/>
        </w:rPr>
        <w:t>.  Por lo menos dos (2) de los ciudadanos privados deberán poseer experiencia en las áreas de salud o educación. Los representantes del interés público serán designados por el Gobernador o la Gobernadora, por un término de cuatro (4) años y hasta que su sucesor sea designado.  Los representantes del interés público deberán observar las mismas normas de ética que exigen a los funcionarios en cargos similares y cumplir con las leyes que les aplican a éstos. </w:t>
      </w:r>
    </w:p>
    <w:p w14:paraId="2AF0CD42"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Ningún miembro de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recibirá dieta ni compensación alguna por sus servicios como tales. </w:t>
      </w:r>
    </w:p>
    <w:p w14:paraId="423A74DE" w14:textId="75D65105"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Los miembros ex </w:t>
      </w:r>
      <w:proofErr w:type="spellStart"/>
      <w:r w:rsidRPr="00A07D63">
        <w:rPr>
          <w:rFonts w:ascii="Book Antiqua" w:eastAsia="Book Antiqua" w:hAnsi="Book Antiqua" w:cs="Book Antiqua"/>
          <w:color w:val="000000"/>
          <w:kern w:val="0"/>
          <w:lang w:val="es-PR"/>
          <w14:ligatures w14:val="none"/>
        </w:rPr>
        <w:t>officio</w:t>
      </w:r>
      <w:proofErr w:type="spellEnd"/>
      <w:r w:rsidRPr="00A07D63">
        <w:rPr>
          <w:rFonts w:ascii="Book Antiqua" w:eastAsia="Book Antiqua" w:hAnsi="Book Antiqua" w:cs="Book Antiqua"/>
          <w:color w:val="000000"/>
          <w:kern w:val="0"/>
          <w:lang w:val="es-PR"/>
          <w14:ligatures w14:val="none"/>
        </w:rPr>
        <w:t xml:space="preserve"> podrán designar una persona para participar en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como su representante, quien deberá contar con la capacidad, el conocimiento y la autoridad decisional necesarios para representar de manera efectiva al funcionario ejecutivo que sustituye. Los designados deberán responder directamente al miembro </w:t>
      </w:r>
      <w:r w:rsidR="00C143A7" w:rsidRPr="00A07D63">
        <w:rPr>
          <w:rFonts w:ascii="Book Antiqua" w:eastAsia="Book Antiqua" w:hAnsi="Book Antiqua" w:cs="Book Antiqua"/>
          <w:color w:val="000000"/>
          <w:kern w:val="0"/>
          <w:lang w:val="es-PR"/>
          <w14:ligatures w14:val="none"/>
        </w:rPr>
        <w:t xml:space="preserve">ex </w:t>
      </w:r>
      <w:proofErr w:type="spellStart"/>
      <w:r w:rsidR="00C143A7" w:rsidRPr="00A07D63">
        <w:rPr>
          <w:rFonts w:ascii="Book Antiqua" w:eastAsia="Book Antiqua" w:hAnsi="Book Antiqua" w:cs="Book Antiqua"/>
          <w:color w:val="000000"/>
          <w:kern w:val="0"/>
          <w:lang w:val="es-PR"/>
          <w14:ligatures w14:val="none"/>
        </w:rPr>
        <w:t>officio</w:t>
      </w:r>
      <w:proofErr w:type="spellEnd"/>
      <w:r w:rsidRPr="00A07D63">
        <w:rPr>
          <w:rFonts w:ascii="Book Antiqua" w:eastAsia="Book Antiqua" w:hAnsi="Book Antiqua" w:cs="Book Antiqua"/>
          <w:color w:val="000000"/>
          <w:kern w:val="0"/>
          <w:lang w:val="es-PR"/>
          <w14:ligatures w14:val="none"/>
        </w:rPr>
        <w:t>, quien, a su vez, será responsable de las determinaciones que se tomen en la Junta.” </w:t>
      </w:r>
    </w:p>
    <w:p w14:paraId="57A24256"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803 - Se enmienda el Artículo 8 de la Ley Núm. 173-1999, según enmendada, conocida como la Ley del Fideicomiso de los Niños” para que se lea como sigue: </w:t>
      </w:r>
    </w:p>
    <w:p w14:paraId="06D7C75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 xml:space="preserve">“Artículo 8 –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y Empleados. </w:t>
      </w:r>
    </w:p>
    <w:p w14:paraId="1F07363D" w14:textId="7BC53F4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La Autoridad de Asesoría Financiera y Agencia Fiscal de Puerto Rico podrá proveer el personal del Fideicomiso y podrá ser compensada por el Fideicomiso por aquellos gastos incurridos por el personal que labore para cumplir con las disposiciones de esta Ley. </w:t>
      </w:r>
    </w:p>
    <w:p w14:paraId="72B88FA2" w14:textId="68278E5B"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 la Autoridad de Asesoría Financiera y Agencia Fiscal de Puerto Rico, será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del Fideicomiso y será el principal oficial ejecutivo del mismo.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podrá autorizar y supervisar todo contrato que sea necesario para el funcionamiento del Fideicomiso, sujeto a las normas que establezca la Junta.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también tendrá la facultad de nombrar personal para llevar a cabo las funciones del Fideicomiso de los Niños, según lo considere necesario.” </w:t>
      </w:r>
    </w:p>
    <w:p w14:paraId="2D6B3303"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9 – ENMIENDAS A LA LEY DEL BANCO GUBERNAMENTAL DE FOMENTO PARA PUERTO RICO. </w:t>
      </w:r>
    </w:p>
    <w:p w14:paraId="0490C8F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901 - Se enmienda el </w:t>
      </w:r>
      <w:bookmarkStart w:id="5" w:name="_Hlk206707568"/>
      <w:r w:rsidRPr="00A07D63">
        <w:rPr>
          <w:rFonts w:ascii="Book Antiqua" w:eastAsia="Book Antiqua" w:hAnsi="Book Antiqua" w:cs="Book Antiqua"/>
          <w:color w:val="000000"/>
          <w:kern w:val="0"/>
          <w:lang w:val="es-PR"/>
          <w14:ligatures w14:val="none"/>
        </w:rPr>
        <w:t>inciso Cuarto y el inciso Quinto del Artículo 2 de la Ley Núm. 17 de 23 de septiembre de 1948, según enmendada</w:t>
      </w:r>
      <w:bookmarkEnd w:id="5"/>
      <w:r w:rsidRPr="00A07D63">
        <w:rPr>
          <w:rFonts w:ascii="Book Antiqua" w:eastAsia="Book Antiqua" w:hAnsi="Book Antiqua" w:cs="Book Antiqua"/>
          <w:color w:val="000000"/>
          <w:kern w:val="0"/>
          <w:lang w:val="es-PR"/>
          <w14:ligatures w14:val="none"/>
        </w:rPr>
        <w:t>, conocida como la “Ley del Banco Gubernamental de Fomento para Puerto Rico”, para que se lea como sigue: </w:t>
      </w:r>
    </w:p>
    <w:p w14:paraId="417B7604"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 xml:space="preserve">“Artículo 2. — Carta Constitucional del Banco. </w:t>
      </w:r>
    </w:p>
    <w:p w14:paraId="386B44B4"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 xml:space="preserve">La Carta Constitucional de "el Banco" será la siguiente: </w:t>
      </w:r>
    </w:p>
    <w:p w14:paraId="063791A6" w14:textId="77777777" w:rsidR="00AF6522" w:rsidRPr="00A07D63" w:rsidRDefault="00AF6522" w:rsidP="00AF6522">
      <w:pPr>
        <w:spacing w:after="0" w:line="480" w:lineRule="auto"/>
        <w:ind w:firstLine="720"/>
        <w:jc w:val="center"/>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CARTA CONSTITUCIONAL</w:t>
      </w:r>
    </w:p>
    <w:p w14:paraId="1CDB4222"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 xml:space="preserve">Primero: La existencia del Banco será perpetua. </w:t>
      </w:r>
    </w:p>
    <w:p w14:paraId="2284C801"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Segundo: …</w:t>
      </w:r>
    </w:p>
    <w:p w14:paraId="5AF983F0"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ES"/>
          <w14:ligatures w14:val="none"/>
        </w:rPr>
      </w:pPr>
      <w:r w:rsidRPr="00A07D63">
        <w:rPr>
          <w:rFonts w:ascii="Book Antiqua" w:eastAsia="Book Antiqua" w:hAnsi="Book Antiqua" w:cs="Book Antiqua"/>
          <w:color w:val="000000"/>
          <w:kern w:val="0"/>
          <w:lang w:val="es-ES"/>
          <w14:ligatures w14:val="none"/>
        </w:rPr>
        <w:t>…</w:t>
      </w:r>
    </w:p>
    <w:p w14:paraId="3147632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Cuarto: El Banco tendrá, además, las siguientes facultades: </w:t>
      </w:r>
    </w:p>
    <w:p w14:paraId="1AB3CEA0"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 </w:t>
      </w:r>
    </w:p>
    <w:p w14:paraId="7F0A8279"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B… </w:t>
      </w:r>
    </w:p>
    <w:p w14:paraId="513C5E8E"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w:t>
      </w:r>
    </w:p>
    <w:p w14:paraId="14045E82"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D…</w:t>
      </w:r>
    </w:p>
    <w:p w14:paraId="06AA4A71"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w:t>
      </w:r>
    </w:p>
    <w:p w14:paraId="4DF680C8"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F…</w:t>
      </w:r>
    </w:p>
    <w:p w14:paraId="04B7472F"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G…</w:t>
      </w:r>
    </w:p>
    <w:p w14:paraId="06329757"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H…</w:t>
      </w:r>
    </w:p>
    <w:p w14:paraId="5DE4A019" w14:textId="77777777" w:rsidR="00AF6522" w:rsidRPr="00A07D63" w:rsidRDefault="00AF6522" w:rsidP="00AF6522">
      <w:pPr>
        <w:spacing w:after="0" w:line="480" w:lineRule="auto"/>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I…</w:t>
      </w:r>
    </w:p>
    <w:p w14:paraId="187B5324" w14:textId="751BD628" w:rsidR="00580BF4" w:rsidRPr="00A07D63" w:rsidRDefault="00AF6522" w:rsidP="00AF6522">
      <w:pPr>
        <w:spacing w:after="0" w:line="480" w:lineRule="auto"/>
        <w:ind w:firstLine="720"/>
        <w:jc w:val="both"/>
        <w:rPr>
          <w:rFonts w:ascii="Book Antiqua" w:eastAsia="Book Antiqua" w:hAnsi="Book Antiqua" w:cs="Book Antiqua"/>
          <w:b/>
          <w:bCs/>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Quinto: Los negocios del Banco serán administrados y sus poderes corporativos ejercidos por una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compuesta de cinco (5) miembros nombrados por el Gobernador o la Gobernadora de Puerto Rico. El </w:t>
      </w:r>
      <w:proofErr w:type="gramStart"/>
      <w:r w:rsidRPr="00A07D63">
        <w:rPr>
          <w:rFonts w:ascii="Book Antiqua" w:eastAsia="Book Antiqua" w:hAnsi="Book Antiqua" w:cs="Book Antiqua"/>
          <w:color w:val="000000"/>
          <w:kern w:val="0"/>
          <w:lang w:val="es-PR"/>
          <w14:ligatures w14:val="none"/>
        </w:rPr>
        <w:t>Director Ejecutivo</w:t>
      </w:r>
      <w:proofErr w:type="gramEnd"/>
      <w:r w:rsidRPr="00A07D63">
        <w:rPr>
          <w:rFonts w:ascii="Book Antiqua" w:eastAsia="Book Antiqua" w:hAnsi="Book Antiqua" w:cs="Book Antiqua"/>
          <w:color w:val="000000"/>
          <w:kern w:val="0"/>
          <w:lang w:val="es-PR"/>
          <w14:ligatures w14:val="none"/>
        </w:rPr>
        <w:t xml:space="preserve"> de la Autoridad de Asesoría Financiera y Agencia Fiscal de Puerto Rico será el </w:t>
      </w:r>
      <w:proofErr w:type="gramStart"/>
      <w:r w:rsidRPr="00A07D63">
        <w:rPr>
          <w:rFonts w:ascii="Book Antiqua" w:eastAsia="Book Antiqua" w:hAnsi="Book Antiqua" w:cs="Book Antiqua"/>
          <w:color w:val="000000"/>
          <w:kern w:val="0"/>
          <w:lang w:val="es-PR"/>
          <w14:ligatures w14:val="none"/>
        </w:rPr>
        <w:t>Presidente</w:t>
      </w:r>
      <w:proofErr w:type="gramEnd"/>
      <w:r w:rsidRPr="00A07D63">
        <w:rPr>
          <w:rFonts w:ascii="Book Antiqua" w:eastAsia="Book Antiqua" w:hAnsi="Book Antiqua" w:cs="Book Antiqua"/>
          <w:color w:val="000000"/>
          <w:kern w:val="0"/>
          <w:lang w:val="es-PR"/>
          <w14:ligatures w14:val="none"/>
        </w:rPr>
        <w:t xml:space="preserve"> del Banco. </w:t>
      </w:r>
    </w:p>
    <w:p w14:paraId="2DCC9E94" w14:textId="04B9DA1C" w:rsidR="00AF6522" w:rsidRPr="00A07D63" w:rsidRDefault="00580BF4"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w:t>
      </w:r>
      <w:r w:rsidR="00AF6522" w:rsidRPr="00A07D63">
        <w:rPr>
          <w:rFonts w:ascii="Book Antiqua" w:eastAsia="Book Antiqua" w:hAnsi="Book Antiqua" w:cs="Book Antiqua"/>
          <w:color w:val="000000"/>
          <w:kern w:val="0"/>
          <w:lang w:val="es-PR"/>
          <w14:ligatures w14:val="none"/>
        </w:rPr>
        <w:t>”</w:t>
      </w:r>
    </w:p>
    <w:p w14:paraId="1DEC6DE8"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EN EL TEXTO EN INGLÉS: </w:t>
      </w:r>
    </w:p>
    <w:p w14:paraId="12412477"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 xml:space="preserve">Section 2. — Charter </w:t>
      </w:r>
    </w:p>
    <w:p w14:paraId="6820B222"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 xml:space="preserve">The Charter of the Bank shall be as follows: </w:t>
      </w:r>
    </w:p>
    <w:p w14:paraId="495EB870" w14:textId="77777777" w:rsidR="00AF6522" w:rsidRPr="00A07D63" w:rsidRDefault="00AF6522" w:rsidP="00AF6522">
      <w:pPr>
        <w:spacing w:after="0" w:line="480" w:lineRule="auto"/>
        <w:ind w:firstLine="720"/>
        <w:jc w:val="center"/>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CHARTER</w:t>
      </w:r>
    </w:p>
    <w:p w14:paraId="51D684B7"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 xml:space="preserve">"First" The existence of the Bank shall be perpetual. </w:t>
      </w:r>
    </w:p>
    <w:p w14:paraId="2DAE4D21"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"Second" ...</w:t>
      </w:r>
    </w:p>
    <w:p w14:paraId="12D1AD01"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t>…</w:t>
      </w:r>
    </w:p>
    <w:p w14:paraId="10E6B3D1"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14:ligatures w14:val="none"/>
        </w:rPr>
      </w:pPr>
      <w:r w:rsidRPr="00A07D63">
        <w:rPr>
          <w:rFonts w:ascii="Book Antiqua" w:eastAsia="Book Antiqua" w:hAnsi="Book Antiqua" w:cs="Book Antiqua"/>
          <w:color w:val="000000"/>
          <w:kern w:val="0"/>
          <w14:ligatures w14:val="none"/>
        </w:rPr>
        <w:lastRenderedPageBreak/>
        <w:t>“Fourth:</w:t>
      </w:r>
      <w:r w:rsidRPr="00A07D63">
        <w:rPr>
          <w:rFonts w:ascii="Book Antiqua" w:eastAsia="Book Antiqua" w:hAnsi="Book Antiqua" w:cs="Book Antiqua"/>
          <w:b/>
          <w:bCs/>
          <w:color w:val="000000"/>
          <w:kern w:val="0"/>
          <w14:ligatures w14:val="none"/>
        </w:rPr>
        <w:t xml:space="preserve"> </w:t>
      </w:r>
      <w:r w:rsidRPr="00A07D63">
        <w:rPr>
          <w:rFonts w:ascii="Book Antiqua" w:eastAsia="Book Antiqua" w:hAnsi="Book Antiqua" w:cs="Book Antiqua"/>
          <w:color w:val="000000"/>
          <w:kern w:val="0"/>
          <w14:ligatures w14:val="none"/>
        </w:rPr>
        <w:t>The Bank shall also have the following powers: </w:t>
      </w:r>
    </w:p>
    <w:p w14:paraId="7D8D1218"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A… </w:t>
      </w:r>
    </w:p>
    <w:p w14:paraId="27FC1343"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B… </w:t>
      </w:r>
    </w:p>
    <w:p w14:paraId="0C7BC497"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C…</w:t>
      </w:r>
    </w:p>
    <w:p w14:paraId="033180C4"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D…</w:t>
      </w:r>
    </w:p>
    <w:p w14:paraId="1D25A39D"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E…</w:t>
      </w:r>
    </w:p>
    <w:p w14:paraId="480291A8"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F…</w:t>
      </w:r>
    </w:p>
    <w:p w14:paraId="259ABFC9"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G…</w:t>
      </w:r>
    </w:p>
    <w:p w14:paraId="3CBC4F1F"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H…</w:t>
      </w:r>
    </w:p>
    <w:p w14:paraId="1F342E95" w14:textId="77777777" w:rsidR="00AF6522" w:rsidRPr="00E62BCB" w:rsidRDefault="00AF6522" w:rsidP="00AF6522">
      <w:pPr>
        <w:spacing w:after="0" w:line="480" w:lineRule="auto"/>
        <w:jc w:val="both"/>
        <w:rPr>
          <w:rFonts w:ascii="Book Antiqua" w:eastAsia="Book Antiqua" w:hAnsi="Book Antiqua" w:cs="Book Antiqua"/>
          <w:color w:val="000000"/>
          <w:kern w:val="0"/>
          <w14:ligatures w14:val="none"/>
        </w:rPr>
      </w:pPr>
      <w:r w:rsidRPr="00E62BCB">
        <w:rPr>
          <w:rFonts w:ascii="Book Antiqua" w:eastAsia="Book Antiqua" w:hAnsi="Book Antiqua" w:cs="Book Antiqua"/>
          <w:color w:val="000000"/>
          <w:kern w:val="0"/>
          <w14:ligatures w14:val="none"/>
        </w:rPr>
        <w:t>I…</w:t>
      </w:r>
    </w:p>
    <w:p w14:paraId="3B56593D" w14:textId="4A98DBB6" w:rsidR="00580BF4" w:rsidRPr="00A07D63" w:rsidRDefault="00AF6522" w:rsidP="00AF6522">
      <w:pPr>
        <w:spacing w:after="0" w:line="480" w:lineRule="auto"/>
        <w:ind w:firstLine="720"/>
        <w:jc w:val="both"/>
        <w:rPr>
          <w:rFonts w:ascii="Book Antiqua" w:eastAsia="Book Antiqua" w:hAnsi="Book Antiqua" w:cs="Book Antiqua"/>
          <w:b/>
          <w:bCs/>
          <w:color w:val="000000"/>
          <w:kern w:val="0"/>
          <w14:ligatures w14:val="none"/>
        </w:rPr>
      </w:pPr>
      <w:r w:rsidRPr="00A07D63">
        <w:rPr>
          <w:rFonts w:ascii="Book Antiqua" w:eastAsia="Book Antiqua" w:hAnsi="Book Antiqua" w:cs="Book Antiqua"/>
          <w:color w:val="000000"/>
          <w:kern w:val="0"/>
          <w14:ligatures w14:val="none"/>
        </w:rPr>
        <w:t xml:space="preserve">Fifth: The affairs of the Bank shall be managed, and its corporate powers exercised by a Board of Directors of five (5) members appointed by the Governor of Puerto Rico. The Executive Director of the Puerto Rico Fiscal Agency and Financial Advisory Authority, or his/her designee, shall be the President of the Bank. </w:t>
      </w:r>
    </w:p>
    <w:p w14:paraId="1D14829D" w14:textId="164A0ADB" w:rsidR="00AF6522" w:rsidRPr="00A07D63" w:rsidRDefault="00580BF4"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w:t>
      </w:r>
      <w:r w:rsidR="00AF6522" w:rsidRPr="00A07D63">
        <w:rPr>
          <w:rFonts w:ascii="Book Antiqua" w:eastAsia="Book Antiqua" w:hAnsi="Book Antiqua" w:cs="Book Antiqua"/>
          <w:color w:val="000000"/>
          <w:kern w:val="0"/>
          <w:lang w:val="es-PR"/>
          <w14:ligatures w14:val="none"/>
        </w:rPr>
        <w:t>”</w:t>
      </w:r>
    </w:p>
    <w:p w14:paraId="36E3861F"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10 – DEROGACIÓN DE LEYES Y RESOLUCIONES; DISOLUCIÓN DE ENTIDADES INACTIVAS.  </w:t>
      </w:r>
    </w:p>
    <w:p w14:paraId="519D2FDF"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1001 - Se deroga la Ley Núm. 25 de 6 de mayo de 1974, conocida como la “Ley de la Autoridad de Teléfonos de Puerto Rico”. </w:t>
      </w:r>
    </w:p>
    <w:p w14:paraId="16426B56"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1002 – Se deroga la Ley Núm. 62 de 10 de junio de 1974, conocida como la “Ley de la Autoridad de las Navieras de Puerto Rico”. </w:t>
      </w:r>
    </w:p>
    <w:p w14:paraId="0D1C763F"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Artículo 1003 – Se deroga el Artículo 14 de la Ley Núm. 125-2008, conocida como “Ley de Transferencia del Derecho al Cobro de Deudas Contributivas Morosas de Puerto Rico de 2008”.  </w:t>
      </w:r>
    </w:p>
    <w:p w14:paraId="17F1049D" w14:textId="4D7CA16C"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1004 – Se deroga la Resolución Núm. 5044 de 12 de diciembre de 1984, según enmendada, de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Banco Gubernamental de Fomento para Puerto Rico</w:t>
      </w:r>
      <w:bookmarkStart w:id="6" w:name="_Hlk206707799"/>
      <w:r w:rsidRPr="00A07D63">
        <w:rPr>
          <w:rFonts w:ascii="Book Antiqua" w:eastAsia="Book Antiqua" w:hAnsi="Book Antiqua" w:cs="Book Antiqua"/>
          <w:color w:val="000000"/>
          <w:kern w:val="0"/>
          <w:lang w:val="es-PR"/>
          <w14:ligatures w14:val="none"/>
        </w:rPr>
        <w:t xml:space="preserve">, mediante la cual se creó la Corporación para el Financiamiento Público </w:t>
      </w:r>
      <w:r w:rsidR="00D14A04" w:rsidRPr="00A07D63">
        <w:rPr>
          <w:rFonts w:ascii="Book Antiqua" w:eastAsia="Book Antiqua" w:hAnsi="Book Antiqua" w:cs="Book Antiqua"/>
          <w:color w:val="000000"/>
          <w:kern w:val="0"/>
          <w:lang w:val="es-PR"/>
          <w14:ligatures w14:val="none"/>
        </w:rPr>
        <w:t xml:space="preserve">de </w:t>
      </w:r>
      <w:r w:rsidRPr="00A07D63">
        <w:rPr>
          <w:rFonts w:ascii="Book Antiqua" w:eastAsia="Book Antiqua" w:hAnsi="Book Antiqua" w:cs="Book Antiqua"/>
          <w:color w:val="000000"/>
          <w:kern w:val="0"/>
          <w:lang w:val="es-PR"/>
          <w14:ligatures w14:val="none"/>
        </w:rPr>
        <w:t>Puerto Rico. </w:t>
      </w:r>
      <w:bookmarkEnd w:id="6"/>
    </w:p>
    <w:p w14:paraId="144AB795"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1005 –</w:t>
      </w:r>
      <w:r w:rsidRPr="00A07D63">
        <w:rPr>
          <w:rFonts w:ascii="Times New Roman" w:eastAsia="Times New Roman" w:hAnsi="Times New Roman" w:cs="Times New Roman"/>
          <w:kern w:val="0"/>
          <w:szCs w:val="20"/>
          <w:lang w:val="es-PR"/>
          <w14:ligatures w14:val="none"/>
        </w:rPr>
        <w:t xml:space="preserve"> </w:t>
      </w:r>
      <w:r w:rsidRPr="00A07D63">
        <w:rPr>
          <w:rFonts w:ascii="Book Antiqua" w:eastAsia="Book Antiqua" w:hAnsi="Book Antiqua" w:cs="Book Antiqua"/>
          <w:color w:val="000000"/>
          <w:kern w:val="0"/>
          <w:lang w:val="es-PR"/>
          <w14:ligatures w14:val="none"/>
        </w:rPr>
        <w:t xml:space="preserve">Se deroga la Resolución Núm. 3950 de 14 de abril de 1977, según enmendada, de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Banco Gubernamental de Fomento para Puerto Rico</w:t>
      </w:r>
      <w:bookmarkStart w:id="7" w:name="_Hlk206707820"/>
      <w:r w:rsidRPr="00A07D63">
        <w:rPr>
          <w:rFonts w:ascii="Book Antiqua" w:eastAsia="Book Antiqua" w:hAnsi="Book Antiqua" w:cs="Book Antiqua"/>
          <w:color w:val="000000"/>
          <w:kern w:val="0"/>
          <w:lang w:val="es-PR"/>
          <w14:ligatures w14:val="none"/>
        </w:rPr>
        <w:t>, mediante la cual se creó el Fondo para el Desarrollo de Puerto Rico.</w:t>
      </w:r>
      <w:bookmarkEnd w:id="7"/>
    </w:p>
    <w:p w14:paraId="1171799E"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1006 –</w:t>
      </w:r>
      <w:r w:rsidRPr="00A07D63">
        <w:rPr>
          <w:rFonts w:ascii="Times New Roman" w:eastAsia="Times New Roman" w:hAnsi="Times New Roman" w:cs="Times New Roman"/>
          <w:kern w:val="0"/>
          <w:szCs w:val="20"/>
          <w:lang w:val="es-PR"/>
          <w14:ligatures w14:val="none"/>
        </w:rPr>
        <w:t xml:space="preserve"> </w:t>
      </w:r>
      <w:r w:rsidRPr="00A07D63">
        <w:rPr>
          <w:rFonts w:ascii="Book Antiqua" w:eastAsia="Book Antiqua" w:hAnsi="Book Antiqua" w:cs="Book Antiqua"/>
          <w:color w:val="000000"/>
          <w:kern w:val="0"/>
          <w:lang w:val="es-PR"/>
          <w14:ligatures w14:val="none"/>
        </w:rPr>
        <w:t xml:space="preserve">Se deroga la Resolución Núm. 6275 de 17 de noviembre de 1993, según enmendada, de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Banco Gubernamental de Fomento para Puerto Rico</w:t>
      </w:r>
      <w:bookmarkStart w:id="8" w:name="_Hlk206707838"/>
      <w:r w:rsidRPr="00A07D63">
        <w:rPr>
          <w:rFonts w:ascii="Book Antiqua" w:eastAsia="Book Antiqua" w:hAnsi="Book Antiqua" w:cs="Book Antiqua"/>
          <w:color w:val="000000"/>
          <w:kern w:val="0"/>
          <w:lang w:val="es-PR"/>
          <w14:ligatures w14:val="none"/>
        </w:rPr>
        <w:t xml:space="preserve">, mediante la cual se creó el Fondo para el Desarrollo del Turismo de Puerto Rico. </w:t>
      </w:r>
      <w:bookmarkEnd w:id="8"/>
    </w:p>
    <w:p w14:paraId="49535580"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1007 – </w:t>
      </w:r>
      <w:bookmarkStart w:id="9" w:name="_Hlk206753050"/>
      <w:r w:rsidRPr="00A07D63">
        <w:rPr>
          <w:rFonts w:ascii="Book Antiqua" w:eastAsia="Book Antiqua" w:hAnsi="Book Antiqua" w:cs="Book Antiqua"/>
          <w:color w:val="000000"/>
          <w:kern w:val="0"/>
          <w:lang w:val="es-PR"/>
          <w14:ligatures w14:val="none"/>
        </w:rPr>
        <w:t xml:space="preserve">Se reafirma la Resolución Núm. 1369 del 31 de enero de 2018 de la Junta de </w:t>
      </w:r>
      <w:proofErr w:type="gramStart"/>
      <w:r w:rsidRPr="00A07D63">
        <w:rPr>
          <w:rFonts w:ascii="Book Antiqua" w:eastAsia="Book Antiqua" w:hAnsi="Book Antiqua" w:cs="Book Antiqua"/>
          <w:color w:val="000000"/>
          <w:kern w:val="0"/>
          <w:lang w:val="es-PR"/>
          <w14:ligatures w14:val="none"/>
        </w:rPr>
        <w:t>Directores</w:t>
      </w:r>
      <w:proofErr w:type="gramEnd"/>
      <w:r w:rsidRPr="00A07D63">
        <w:rPr>
          <w:rFonts w:ascii="Book Antiqua" w:eastAsia="Book Antiqua" w:hAnsi="Book Antiqua" w:cs="Book Antiqua"/>
          <w:color w:val="000000"/>
          <w:kern w:val="0"/>
          <w:lang w:val="es-PR"/>
          <w14:ligatures w14:val="none"/>
        </w:rPr>
        <w:t xml:space="preserve"> del Banco Gubernamental de Fomento para Puerto Rico, mediante la cual se ordenó la disolución del Instituto de Economía y Finanzas José M. Berrocal, como entidad gubernamental independiente y subsidiaria del Banco Gubernamental de Fomento para Puerto Rico. Dicho instituto continuará existiendo como un programa de la Autoridad de Asesoría Financiera y Agencia Fiscal de Puerto Rico</w:t>
      </w:r>
      <w:bookmarkEnd w:id="9"/>
      <w:r w:rsidRPr="00A07D63">
        <w:rPr>
          <w:rFonts w:ascii="Book Antiqua" w:eastAsia="Book Antiqua" w:hAnsi="Book Antiqua" w:cs="Book Antiqua"/>
          <w:color w:val="000000"/>
          <w:kern w:val="0"/>
          <w:lang w:val="es-PR"/>
          <w14:ligatures w14:val="none"/>
        </w:rPr>
        <w:t xml:space="preserve">. </w:t>
      </w:r>
    </w:p>
    <w:p w14:paraId="1D03E4B2"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1008 – Disolución de Entidades Inactivas. </w:t>
      </w:r>
    </w:p>
    <w:p w14:paraId="3969484C"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Se disuelven las Entidades Inactivas, sin necesidad de ninguna otra gestión, declaración de ley, resolución, ni de que se otorgue escritura o documento adicional alguno.  En la fecha de vigencia de esta Ley, se transfiere al Fondo General del Gobierno de Puerto Rico cualquier activo o pasivo existente de las Entidades Inactivas. Cualquier bien inmueble que pudiera estar inscrito a nombre de alguna de las Entidades Inactivas pasará a ser propiedad del Gobierno de Puerto Rico sin necesidad de ninguna otra gestión, declaración de ley, resolución, ni de que se otorgue escritura o documento adicional alguno. Además, cualquier cuenta por pagar que tuviese cualquier Entidad Inactiva con alguna agencia, corporación pública, municipio u otra instrumentalidad del Gobierno de Puerto Rico previo a la vigencia de esta Ley quedará condonada por virtud de esta Ley.</w:t>
      </w:r>
    </w:p>
    <w:p w14:paraId="79F8F338" w14:textId="146C70D4" w:rsidR="00584A9E" w:rsidRPr="00A07D63" w:rsidRDefault="00584A9E"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1009- Cláusula transitoria</w:t>
      </w:r>
    </w:p>
    <w:p w14:paraId="6B907230" w14:textId="3C27AE6E" w:rsidR="007D43D3" w:rsidRPr="00A07D63" w:rsidRDefault="000311B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La reorganización de las subsidiarias y </w:t>
      </w:r>
      <w:r w:rsidR="00AD289C" w:rsidRPr="00A07D63">
        <w:rPr>
          <w:rFonts w:ascii="Book Antiqua" w:eastAsia="Book Antiqua" w:hAnsi="Book Antiqua" w:cs="Book Antiqua"/>
          <w:color w:val="000000"/>
          <w:kern w:val="0"/>
          <w:lang w:val="es-PR"/>
          <w14:ligatures w14:val="none"/>
        </w:rPr>
        <w:t xml:space="preserve">afiliadas del Banco Gubernamental de Fomento de Puerto Rico </w:t>
      </w:r>
      <w:r w:rsidR="005F34DA" w:rsidRPr="00A07D63">
        <w:rPr>
          <w:rFonts w:ascii="Book Antiqua" w:eastAsia="Book Antiqua" w:hAnsi="Book Antiqua" w:cs="Book Antiqua"/>
          <w:color w:val="000000"/>
          <w:kern w:val="0"/>
          <w:lang w:val="es-PR"/>
          <w14:ligatures w14:val="none"/>
        </w:rPr>
        <w:t>dispuestos en esta Ley no</w:t>
      </w:r>
      <w:r w:rsidR="00785AB9" w:rsidRPr="00A07D63">
        <w:rPr>
          <w:rFonts w:ascii="Book Antiqua" w:eastAsia="Book Antiqua" w:hAnsi="Book Antiqua" w:cs="Book Antiqua"/>
          <w:color w:val="000000"/>
          <w:kern w:val="0"/>
          <w:lang w:val="es-PR"/>
          <w14:ligatures w14:val="none"/>
        </w:rPr>
        <w:t xml:space="preserve"> invalidará los contratos</w:t>
      </w:r>
      <w:r w:rsidR="00332DE1" w:rsidRPr="00A07D63">
        <w:rPr>
          <w:rFonts w:ascii="Book Antiqua" w:eastAsia="Book Antiqua" w:hAnsi="Book Antiqua" w:cs="Book Antiqua"/>
          <w:color w:val="000000"/>
          <w:kern w:val="0"/>
          <w:lang w:val="es-PR"/>
          <w14:ligatures w14:val="none"/>
        </w:rPr>
        <w:t>, fideicomisos</w:t>
      </w:r>
      <w:r w:rsidR="00BC24FA" w:rsidRPr="00A07D63">
        <w:rPr>
          <w:rFonts w:ascii="Book Antiqua" w:eastAsia="Book Antiqua" w:hAnsi="Book Antiqua" w:cs="Book Antiqua"/>
          <w:color w:val="000000"/>
          <w:kern w:val="0"/>
          <w:lang w:val="es-PR"/>
          <w14:ligatures w14:val="none"/>
        </w:rPr>
        <w:t xml:space="preserve">, acuerdos, </w:t>
      </w:r>
      <w:r w:rsidR="00BB0A11" w:rsidRPr="00A07D63">
        <w:rPr>
          <w:rFonts w:ascii="Book Antiqua" w:eastAsia="Book Antiqua" w:hAnsi="Book Antiqua" w:cs="Book Antiqua"/>
          <w:color w:val="000000"/>
          <w:kern w:val="0"/>
          <w:lang w:val="es-PR"/>
          <w14:ligatures w14:val="none"/>
        </w:rPr>
        <w:t>memorandos de entendimientos</w:t>
      </w:r>
      <w:r w:rsidR="00E04B56" w:rsidRPr="00A07D63">
        <w:rPr>
          <w:rFonts w:ascii="Book Antiqua" w:eastAsia="Book Antiqua" w:hAnsi="Book Antiqua" w:cs="Book Antiqua"/>
          <w:color w:val="000000"/>
          <w:kern w:val="0"/>
          <w:lang w:val="es-PR"/>
          <w14:ligatures w14:val="none"/>
        </w:rPr>
        <w:t>, bonos</w:t>
      </w:r>
      <w:r w:rsidR="00332DE1" w:rsidRPr="00A07D63">
        <w:rPr>
          <w:rFonts w:ascii="Book Antiqua" w:eastAsia="Book Antiqua" w:hAnsi="Book Antiqua" w:cs="Book Antiqua"/>
          <w:color w:val="000000"/>
          <w:kern w:val="0"/>
          <w:lang w:val="es-PR"/>
          <w14:ligatures w14:val="none"/>
        </w:rPr>
        <w:t xml:space="preserve"> y cualquier otro tipo de obligación</w:t>
      </w:r>
      <w:r w:rsidR="00072CFD" w:rsidRPr="00A07D63">
        <w:rPr>
          <w:rFonts w:ascii="Book Antiqua" w:eastAsia="Book Antiqua" w:hAnsi="Book Antiqua" w:cs="Book Antiqua"/>
          <w:color w:val="000000"/>
          <w:kern w:val="0"/>
          <w:lang w:val="es-PR"/>
          <w14:ligatures w14:val="none"/>
        </w:rPr>
        <w:t xml:space="preserve"> debidamente</w:t>
      </w:r>
      <w:r w:rsidR="005C43EA" w:rsidRPr="00A07D63">
        <w:rPr>
          <w:rFonts w:ascii="Book Antiqua" w:eastAsia="Book Antiqua" w:hAnsi="Book Antiqua" w:cs="Book Antiqua"/>
          <w:color w:val="000000"/>
          <w:kern w:val="0"/>
          <w:lang w:val="es-PR"/>
          <w14:ligatures w14:val="none"/>
        </w:rPr>
        <w:t xml:space="preserve"> contraída por el Banco Gubernamental de Fomento de Puerto Rico</w:t>
      </w:r>
      <w:r w:rsidR="00332DE1" w:rsidRPr="00A07D63">
        <w:rPr>
          <w:rFonts w:ascii="Book Antiqua" w:eastAsia="Book Antiqua" w:hAnsi="Book Antiqua" w:cs="Book Antiqua"/>
          <w:color w:val="000000"/>
          <w:kern w:val="0"/>
          <w:lang w:val="es-PR"/>
          <w14:ligatures w14:val="none"/>
        </w:rPr>
        <w:t xml:space="preserve">, siempre y cuando la subsidiaria o </w:t>
      </w:r>
      <w:r w:rsidR="00A84BD2" w:rsidRPr="00A07D63">
        <w:rPr>
          <w:rFonts w:ascii="Book Antiqua" w:eastAsia="Book Antiqua" w:hAnsi="Book Antiqua" w:cs="Book Antiqua"/>
          <w:color w:val="000000"/>
          <w:kern w:val="0"/>
          <w:lang w:val="es-PR"/>
          <w14:ligatures w14:val="none"/>
        </w:rPr>
        <w:t>afiliada no haya sido disuelt</w:t>
      </w:r>
      <w:r w:rsidR="00192032" w:rsidRPr="00A07D63">
        <w:rPr>
          <w:rFonts w:ascii="Book Antiqua" w:eastAsia="Book Antiqua" w:hAnsi="Book Antiqua" w:cs="Book Antiqua"/>
          <w:color w:val="000000"/>
          <w:kern w:val="0"/>
          <w:lang w:val="es-PR"/>
          <w14:ligatures w14:val="none"/>
        </w:rPr>
        <w:t>a</w:t>
      </w:r>
      <w:r w:rsidR="00A84BD2" w:rsidRPr="00A07D63">
        <w:rPr>
          <w:rFonts w:ascii="Book Antiqua" w:eastAsia="Book Antiqua" w:hAnsi="Book Antiqua" w:cs="Book Antiqua"/>
          <w:color w:val="000000"/>
          <w:kern w:val="0"/>
          <w:lang w:val="es-PR"/>
          <w14:ligatures w14:val="none"/>
        </w:rPr>
        <w:t>. En caso de que continúe, las obligaciones asumidas pasarán a estar bajo la entidad gubernamental con la cual fue reorganizada</w:t>
      </w:r>
      <w:r w:rsidR="0045089A" w:rsidRPr="00A07D63">
        <w:rPr>
          <w:rFonts w:ascii="Book Antiqua" w:eastAsia="Book Antiqua" w:hAnsi="Book Antiqua" w:cs="Book Antiqua"/>
          <w:color w:val="000000"/>
          <w:kern w:val="0"/>
          <w:lang w:val="es-PR"/>
          <w14:ligatures w14:val="none"/>
        </w:rPr>
        <w:t xml:space="preserve"> y mantendrán su pleno vigor </w:t>
      </w:r>
      <w:r w:rsidR="00A84BD2" w:rsidRPr="00A07D63">
        <w:rPr>
          <w:rFonts w:ascii="Book Antiqua" w:eastAsia="Book Antiqua" w:hAnsi="Book Antiqua" w:cs="Book Antiqua"/>
          <w:color w:val="000000"/>
          <w:kern w:val="0"/>
          <w:lang w:val="es-PR"/>
          <w14:ligatures w14:val="none"/>
        </w:rPr>
        <w:t>hasta</w:t>
      </w:r>
      <w:r w:rsidR="00072CFD" w:rsidRPr="00A07D63">
        <w:rPr>
          <w:rFonts w:ascii="Book Antiqua" w:eastAsia="Book Antiqua" w:hAnsi="Book Antiqua" w:cs="Book Antiqua"/>
          <w:color w:val="000000"/>
          <w:kern w:val="0"/>
          <w:lang w:val="es-PR"/>
          <w14:ligatures w14:val="none"/>
        </w:rPr>
        <w:t xml:space="preserve"> su fecha de terminación</w:t>
      </w:r>
      <w:r w:rsidR="00F850D6" w:rsidRPr="00A07D63">
        <w:rPr>
          <w:rFonts w:ascii="Book Antiqua" w:eastAsia="Book Antiqua" w:hAnsi="Book Antiqua" w:cs="Book Antiqua"/>
          <w:color w:val="000000"/>
          <w:kern w:val="0"/>
          <w:lang w:val="es-PR"/>
          <w14:ligatures w14:val="none"/>
        </w:rPr>
        <w:t>,</w:t>
      </w:r>
      <w:r w:rsidR="00502A05" w:rsidRPr="00A07D63">
        <w:rPr>
          <w:rFonts w:ascii="Book Antiqua" w:eastAsia="Book Antiqua" w:hAnsi="Book Antiqua" w:cs="Book Antiqua"/>
          <w:color w:val="000000"/>
          <w:kern w:val="0"/>
          <w:lang w:val="es-PR"/>
          <w14:ligatures w14:val="none"/>
        </w:rPr>
        <w:t xml:space="preserve"> sin necesidad de enmienda al respecto, </w:t>
      </w:r>
      <w:r w:rsidR="00F850D6" w:rsidRPr="00A07D63">
        <w:rPr>
          <w:rFonts w:ascii="Book Antiqua" w:eastAsia="Book Antiqua" w:hAnsi="Book Antiqua" w:cs="Book Antiqua"/>
          <w:color w:val="000000"/>
          <w:kern w:val="0"/>
          <w:lang w:val="es-PR"/>
          <w14:ligatures w14:val="none"/>
        </w:rPr>
        <w:t>a menos que las cláusulas</w:t>
      </w:r>
      <w:r w:rsidR="00644AEA" w:rsidRPr="00A07D63">
        <w:rPr>
          <w:rFonts w:ascii="Book Antiqua" w:eastAsia="Book Antiqua" w:hAnsi="Book Antiqua" w:cs="Book Antiqua"/>
          <w:color w:val="000000"/>
          <w:kern w:val="0"/>
          <w:lang w:val="es-PR"/>
          <w14:ligatures w14:val="none"/>
        </w:rPr>
        <w:t xml:space="preserve"> en estos contravengan lo dispuesto en esta Ley o no sean cancelados en una fecha anterio</w:t>
      </w:r>
      <w:r w:rsidR="00892587" w:rsidRPr="00A07D63">
        <w:rPr>
          <w:rFonts w:ascii="Book Antiqua" w:eastAsia="Book Antiqua" w:hAnsi="Book Antiqua" w:cs="Book Antiqua"/>
          <w:color w:val="000000"/>
          <w:kern w:val="0"/>
          <w:lang w:val="es-PR"/>
          <w14:ligatures w14:val="none"/>
        </w:rPr>
        <w:t>r co</w:t>
      </w:r>
      <w:r w:rsidR="00F01883" w:rsidRPr="00A07D63">
        <w:rPr>
          <w:rFonts w:ascii="Book Antiqua" w:eastAsia="Book Antiqua" w:hAnsi="Book Antiqua" w:cs="Book Antiqua"/>
          <w:color w:val="000000"/>
          <w:kern w:val="0"/>
          <w:lang w:val="es-PR"/>
          <w14:ligatures w14:val="none"/>
        </w:rPr>
        <w:t>nforme</w:t>
      </w:r>
      <w:r w:rsidR="00AE420E" w:rsidRPr="00A07D63">
        <w:rPr>
          <w:rFonts w:ascii="Book Antiqua" w:eastAsia="Book Antiqua" w:hAnsi="Book Antiqua" w:cs="Book Antiqua"/>
          <w:color w:val="000000"/>
          <w:kern w:val="0"/>
          <w:lang w:val="es-PR"/>
          <w14:ligatures w14:val="none"/>
        </w:rPr>
        <w:t xml:space="preserve"> determine la entidad gubernamental que asumió la responsabilidad. </w:t>
      </w:r>
    </w:p>
    <w:p w14:paraId="297948F3" w14:textId="2114DFF5" w:rsidR="00E5649D" w:rsidRPr="00A07D63" w:rsidRDefault="007D43D3"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lastRenderedPageBreak/>
        <w:t xml:space="preserve">De igual </w:t>
      </w:r>
      <w:r w:rsidR="00427383" w:rsidRPr="00A07D63">
        <w:rPr>
          <w:rFonts w:ascii="Book Antiqua" w:eastAsia="Book Antiqua" w:hAnsi="Book Antiqua" w:cs="Book Antiqua"/>
          <w:color w:val="000000"/>
          <w:kern w:val="0"/>
          <w:lang w:val="es-PR"/>
          <w14:ligatures w14:val="none"/>
        </w:rPr>
        <w:t>forma, las</w:t>
      </w:r>
      <w:r w:rsidRPr="00A07D63">
        <w:rPr>
          <w:rFonts w:ascii="Book Antiqua" w:eastAsia="Book Antiqua" w:hAnsi="Book Antiqua" w:cs="Book Antiqua"/>
          <w:color w:val="000000"/>
          <w:kern w:val="0"/>
          <w:lang w:val="es-PR"/>
          <w14:ligatures w14:val="none"/>
        </w:rPr>
        <w:t xml:space="preserve"> entidades involucradas en este </w:t>
      </w:r>
      <w:r w:rsidR="00192032" w:rsidRPr="00A07D63">
        <w:rPr>
          <w:rFonts w:ascii="Book Antiqua" w:eastAsia="Book Antiqua" w:hAnsi="Book Antiqua" w:cs="Book Antiqua"/>
          <w:color w:val="000000"/>
          <w:kern w:val="0"/>
          <w:lang w:val="es-PR"/>
          <w14:ligatures w14:val="none"/>
        </w:rPr>
        <w:t>estatuto</w:t>
      </w:r>
      <w:r w:rsidRPr="00A07D63">
        <w:rPr>
          <w:rFonts w:ascii="Book Antiqua" w:eastAsia="Book Antiqua" w:hAnsi="Book Antiqua" w:cs="Book Antiqua"/>
          <w:color w:val="000000"/>
          <w:kern w:val="0"/>
          <w:lang w:val="es-PR"/>
          <w14:ligatures w14:val="none"/>
        </w:rPr>
        <w:t xml:space="preserve"> deberán </w:t>
      </w:r>
      <w:r w:rsidR="00404319" w:rsidRPr="00A07D63">
        <w:rPr>
          <w:rFonts w:ascii="Book Antiqua" w:eastAsia="Book Antiqua" w:hAnsi="Book Antiqua" w:cs="Book Antiqua"/>
          <w:color w:val="000000"/>
          <w:kern w:val="0"/>
          <w:lang w:val="es-PR"/>
          <w14:ligatures w14:val="none"/>
        </w:rPr>
        <w:t>preparar un informe de transición</w:t>
      </w:r>
      <w:r w:rsidR="00112775" w:rsidRPr="00A07D63">
        <w:rPr>
          <w:rFonts w:ascii="Book Antiqua" w:eastAsia="Book Antiqua" w:hAnsi="Book Antiqua" w:cs="Book Antiqua"/>
          <w:color w:val="000000"/>
          <w:kern w:val="0"/>
          <w:lang w:val="es-PR"/>
          <w14:ligatures w14:val="none"/>
        </w:rPr>
        <w:t>,</w:t>
      </w:r>
      <w:r w:rsidR="00404319" w:rsidRPr="00A07D63">
        <w:rPr>
          <w:rFonts w:ascii="Book Antiqua" w:eastAsia="Book Antiqua" w:hAnsi="Book Antiqua" w:cs="Book Antiqua"/>
          <w:color w:val="000000"/>
          <w:kern w:val="0"/>
          <w:lang w:val="es-PR"/>
          <w14:ligatures w14:val="none"/>
        </w:rPr>
        <w:t xml:space="preserve"> </w:t>
      </w:r>
      <w:r w:rsidR="005E358B" w:rsidRPr="00A07D63">
        <w:rPr>
          <w:rFonts w:ascii="Book Antiqua" w:eastAsia="Book Antiqua" w:hAnsi="Book Antiqua" w:cs="Book Antiqua"/>
          <w:color w:val="000000"/>
          <w:kern w:val="0"/>
          <w:lang w:val="es-PR"/>
          <w14:ligatures w14:val="none"/>
        </w:rPr>
        <w:t>dentro de los siguientes</w:t>
      </w:r>
      <w:r w:rsidR="00E608E8" w:rsidRPr="00A07D63">
        <w:rPr>
          <w:rFonts w:ascii="Book Antiqua" w:eastAsia="Book Antiqua" w:hAnsi="Book Antiqua" w:cs="Book Antiqua"/>
          <w:color w:val="000000"/>
          <w:kern w:val="0"/>
          <w:lang w:val="es-PR"/>
          <w14:ligatures w14:val="none"/>
        </w:rPr>
        <w:t xml:space="preserve"> noventa</w:t>
      </w:r>
      <w:r w:rsidR="005E358B" w:rsidRPr="00A07D63">
        <w:rPr>
          <w:rFonts w:ascii="Book Antiqua" w:eastAsia="Book Antiqua" w:hAnsi="Book Antiqua" w:cs="Book Antiqua"/>
          <w:color w:val="000000"/>
          <w:kern w:val="0"/>
          <w:lang w:val="es-PR"/>
          <w14:ligatures w14:val="none"/>
        </w:rPr>
        <w:t xml:space="preserve"> </w:t>
      </w:r>
      <w:r w:rsidR="00E608E8" w:rsidRPr="00A07D63">
        <w:rPr>
          <w:rFonts w:ascii="Book Antiqua" w:eastAsia="Book Antiqua" w:hAnsi="Book Antiqua" w:cs="Book Antiqua"/>
          <w:color w:val="000000"/>
          <w:kern w:val="0"/>
          <w:lang w:val="es-PR"/>
          <w14:ligatures w14:val="none"/>
        </w:rPr>
        <w:t>(</w:t>
      </w:r>
      <w:r w:rsidR="005E358B" w:rsidRPr="00A07D63">
        <w:rPr>
          <w:rFonts w:ascii="Book Antiqua" w:eastAsia="Book Antiqua" w:hAnsi="Book Antiqua" w:cs="Book Antiqua"/>
          <w:color w:val="000000"/>
          <w:kern w:val="0"/>
          <w:lang w:val="es-PR"/>
          <w14:ligatures w14:val="none"/>
        </w:rPr>
        <w:t>90</w:t>
      </w:r>
      <w:r w:rsidR="00E608E8" w:rsidRPr="00A07D63">
        <w:rPr>
          <w:rFonts w:ascii="Book Antiqua" w:eastAsia="Book Antiqua" w:hAnsi="Book Antiqua" w:cs="Book Antiqua"/>
          <w:color w:val="000000"/>
          <w:kern w:val="0"/>
          <w:lang w:val="es-PR"/>
          <w14:ligatures w14:val="none"/>
        </w:rPr>
        <w:t>)</w:t>
      </w:r>
      <w:r w:rsidR="005E358B" w:rsidRPr="00A07D63">
        <w:rPr>
          <w:rFonts w:ascii="Book Antiqua" w:eastAsia="Book Antiqua" w:hAnsi="Book Antiqua" w:cs="Book Antiqua"/>
          <w:color w:val="000000"/>
          <w:kern w:val="0"/>
          <w:lang w:val="es-PR"/>
          <w14:ligatures w14:val="none"/>
        </w:rPr>
        <w:t xml:space="preserve"> días de la </w:t>
      </w:r>
      <w:r w:rsidR="00112775" w:rsidRPr="00A07D63">
        <w:rPr>
          <w:rFonts w:ascii="Book Antiqua" w:eastAsia="Book Antiqua" w:hAnsi="Book Antiqua" w:cs="Book Antiqua"/>
          <w:color w:val="000000"/>
          <w:kern w:val="0"/>
          <w:lang w:val="es-PR"/>
          <w14:ligatures w14:val="none"/>
        </w:rPr>
        <w:t>aprobación</w:t>
      </w:r>
      <w:r w:rsidR="005E358B" w:rsidRPr="00A07D63">
        <w:rPr>
          <w:rFonts w:ascii="Book Antiqua" w:eastAsia="Book Antiqua" w:hAnsi="Book Antiqua" w:cs="Book Antiqua"/>
          <w:color w:val="000000"/>
          <w:kern w:val="0"/>
          <w:lang w:val="es-PR"/>
          <w14:ligatures w14:val="none"/>
        </w:rPr>
        <w:t xml:space="preserve"> de esta Ley</w:t>
      </w:r>
      <w:r w:rsidR="00112775" w:rsidRPr="00A07D63">
        <w:rPr>
          <w:rFonts w:ascii="Book Antiqua" w:eastAsia="Book Antiqua" w:hAnsi="Book Antiqua" w:cs="Book Antiqua"/>
          <w:color w:val="000000"/>
          <w:kern w:val="0"/>
          <w:lang w:val="es-PR"/>
          <w14:ligatures w14:val="none"/>
        </w:rPr>
        <w:t xml:space="preserve">, en el cual se detallen los </w:t>
      </w:r>
      <w:r w:rsidR="00D100FE" w:rsidRPr="00A07D63">
        <w:rPr>
          <w:rFonts w:ascii="Book Antiqua" w:eastAsia="Book Antiqua" w:hAnsi="Book Antiqua" w:cs="Book Antiqua"/>
          <w:color w:val="000000"/>
          <w:kern w:val="0"/>
          <w:lang w:val="es-PR"/>
          <w14:ligatures w14:val="none"/>
        </w:rPr>
        <w:t>fondos, activos</w:t>
      </w:r>
      <w:r w:rsidR="00FC55F0" w:rsidRPr="00A07D63">
        <w:rPr>
          <w:rFonts w:ascii="Book Antiqua" w:eastAsia="Book Antiqua" w:hAnsi="Book Antiqua" w:cs="Book Antiqua"/>
          <w:color w:val="000000"/>
          <w:kern w:val="0"/>
          <w:lang w:val="es-PR"/>
          <w14:ligatures w14:val="none"/>
        </w:rPr>
        <w:t xml:space="preserve">, </w:t>
      </w:r>
      <w:r w:rsidR="00D100FE" w:rsidRPr="00A07D63">
        <w:rPr>
          <w:rFonts w:ascii="Book Antiqua" w:eastAsia="Book Antiqua" w:hAnsi="Book Antiqua" w:cs="Book Antiqua"/>
          <w:color w:val="000000"/>
          <w:kern w:val="0"/>
          <w:lang w:val="es-PR"/>
          <w14:ligatures w14:val="none"/>
        </w:rPr>
        <w:t xml:space="preserve">cuentas reasignadas, así como cualquier otro asunto que cada entidad entienda pertinente. </w:t>
      </w:r>
    </w:p>
    <w:p w14:paraId="170757F7" w14:textId="6C4E8BEE"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Artículo </w:t>
      </w:r>
      <w:r w:rsidR="00427383" w:rsidRPr="00A07D63">
        <w:rPr>
          <w:rFonts w:ascii="Book Antiqua" w:eastAsia="Book Antiqua" w:hAnsi="Book Antiqua" w:cs="Book Antiqua"/>
          <w:color w:val="000000"/>
          <w:kern w:val="0"/>
          <w:lang w:val="es-PR"/>
          <w14:ligatures w14:val="none"/>
        </w:rPr>
        <w:t xml:space="preserve">1010 </w:t>
      </w:r>
      <w:r w:rsidRPr="00A07D63">
        <w:rPr>
          <w:rFonts w:ascii="Book Antiqua" w:eastAsia="Book Antiqua" w:hAnsi="Book Antiqua" w:cs="Book Antiqua"/>
          <w:color w:val="000000"/>
          <w:kern w:val="0"/>
          <w:lang w:val="es-PR"/>
          <w14:ligatures w14:val="none"/>
        </w:rPr>
        <w:t xml:space="preserve">– Asunción de obligaciones de </w:t>
      </w:r>
      <w:proofErr w:type="spellStart"/>
      <w:r w:rsidRPr="00A07D63">
        <w:rPr>
          <w:rFonts w:ascii="Book Antiqua" w:eastAsia="Book Antiqua" w:hAnsi="Book Antiqua" w:cs="Book Antiqua"/>
          <w:color w:val="000000"/>
          <w:kern w:val="0"/>
          <w:lang w:val="es-PR"/>
          <w14:ligatures w14:val="none"/>
        </w:rPr>
        <w:t>Pay-Go</w:t>
      </w:r>
      <w:proofErr w:type="spellEnd"/>
      <w:r w:rsidRPr="00A07D63">
        <w:rPr>
          <w:rFonts w:ascii="Book Antiqua" w:eastAsia="Book Antiqua" w:hAnsi="Book Antiqua" w:cs="Book Antiqua"/>
          <w:color w:val="000000"/>
          <w:kern w:val="0"/>
          <w:lang w:val="es-PR"/>
          <w14:ligatures w14:val="none"/>
        </w:rPr>
        <w:t>.</w:t>
      </w:r>
    </w:p>
    <w:p w14:paraId="0FC655BB" w14:textId="20FA245D"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A partir de la vigencia de esta Ley, el Gobierno de Puerto Rico asumirá el pago </w:t>
      </w:r>
      <w:r w:rsidRPr="00A07D63">
        <w:rPr>
          <w:rFonts w:ascii="Book Antiqua" w:eastAsia="Times New Roman" w:hAnsi="Book Antiqua" w:cs="Times New Roman"/>
          <w:kern w:val="0"/>
          <w:szCs w:val="20"/>
          <w:lang w:val="es-PR"/>
          <w14:ligatures w14:val="none"/>
        </w:rPr>
        <w:t>correspondiente a cualquier periodo previo a la vigencia de esta Ley</w:t>
      </w:r>
      <w:r w:rsidRPr="00A07D63">
        <w:rPr>
          <w:rFonts w:ascii="Book Antiqua" w:eastAsia="Book Antiqua" w:hAnsi="Book Antiqua" w:cs="Book Antiqua"/>
          <w:color w:val="000000"/>
          <w:kern w:val="0"/>
          <w:lang w:val="es-PR"/>
          <w14:ligatures w14:val="none"/>
        </w:rPr>
        <w:t xml:space="preserve"> de las pensiones de los pensionados de las Entidades Inactivas bajo la Ley Núm. </w:t>
      </w:r>
      <w:r w:rsidRPr="00A07D63">
        <w:rPr>
          <w:rFonts w:ascii="Book Antiqua" w:eastAsia="Times New Roman" w:hAnsi="Book Antiqua" w:cs="Times New Roman"/>
          <w:kern w:val="0"/>
          <w:szCs w:val="20"/>
          <w:lang w:val="es-PR"/>
          <w14:ligatures w14:val="none"/>
        </w:rPr>
        <w:t xml:space="preserve">106-2017, </w:t>
      </w:r>
      <w:r w:rsidR="00D14A04" w:rsidRPr="00A07D63">
        <w:rPr>
          <w:rFonts w:ascii="Book Antiqua" w:eastAsia="Times New Roman" w:hAnsi="Book Antiqua" w:cs="Times New Roman"/>
          <w:kern w:val="0"/>
          <w:szCs w:val="20"/>
          <w:lang w:val="es-PR"/>
          <w14:ligatures w14:val="none"/>
        </w:rPr>
        <w:t xml:space="preserve">según enmendada, </w:t>
      </w:r>
      <w:r w:rsidRPr="00A07D63">
        <w:rPr>
          <w:rFonts w:ascii="Book Antiqua" w:eastAsia="Times New Roman" w:hAnsi="Book Antiqua" w:cs="Times New Roman"/>
          <w:kern w:val="0"/>
          <w:szCs w:val="20"/>
          <w:lang w:val="es-PR"/>
          <w14:ligatures w14:val="none"/>
        </w:rPr>
        <w:t>conocida como la “Ley para Garantizar el Pago a Nuestros Pensionados y Establecer un Nuevo Plan de Aportaciones Definidas para los Servidores Públicos”</w:t>
      </w:r>
      <w:r w:rsidRPr="00A07D63">
        <w:rPr>
          <w:rFonts w:ascii="Book Antiqua" w:eastAsia="Book Antiqua" w:hAnsi="Book Antiqua" w:cs="Book Antiqua"/>
          <w:color w:val="000000"/>
          <w:kern w:val="0"/>
          <w:lang w:val="es-PR"/>
          <w14:ligatures w14:val="none"/>
        </w:rPr>
        <w:t xml:space="preserve">. Además, prospectivamente, el Gobierno de Puerto Rico asumirá el pago del </w:t>
      </w:r>
      <w:proofErr w:type="spellStart"/>
      <w:r w:rsidRPr="00A07D63">
        <w:rPr>
          <w:rFonts w:ascii="Book Antiqua" w:eastAsia="Book Antiqua" w:hAnsi="Book Antiqua" w:cs="Book Antiqua"/>
          <w:color w:val="000000"/>
          <w:kern w:val="0"/>
          <w:lang w:val="es-PR"/>
          <w14:ligatures w14:val="none"/>
        </w:rPr>
        <w:t>PayGo</w:t>
      </w:r>
      <w:proofErr w:type="spellEnd"/>
      <w:r w:rsidRPr="00A07D63">
        <w:rPr>
          <w:rFonts w:ascii="Book Antiqua" w:eastAsia="Book Antiqua" w:hAnsi="Book Antiqua" w:cs="Book Antiqua"/>
          <w:color w:val="000000"/>
          <w:kern w:val="0"/>
          <w:lang w:val="es-PR"/>
          <w14:ligatures w14:val="none"/>
        </w:rPr>
        <w:t xml:space="preserve"> de los pensionados de dichas entidades.</w:t>
      </w:r>
    </w:p>
    <w:p w14:paraId="46D3A6D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CAPÍTULO 11 – DISPOSICIONES MISCELÁNEAS. </w:t>
      </w:r>
    </w:p>
    <w:p w14:paraId="40B4AA59"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1101 – Disposiciones en pugna quedan sin efecto; supremacía. </w:t>
      </w:r>
    </w:p>
    <w:p w14:paraId="6DF7F82A"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En los casos en que las disposiciones de esta Ley estén en pugna con las disposiciones de cualquier otra ley de la Asamblea Legislativa de Puerto Rico, prevalecerán las disposiciones de esta Ley a menos que las disposiciones de dicha otra ley enmienden o deroguen específicamente alguna o todas las disposiciones de esta Ley. </w:t>
      </w:r>
    </w:p>
    <w:p w14:paraId="5CF8494F"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1102 – Cláusula de Separabilidad.  </w:t>
      </w:r>
    </w:p>
    <w:p w14:paraId="3C2144D3"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 xml:space="preserve">Sin cualquier cláusula, párrafo, subpárrafo, oración, palabra, letra, artículo, disposición, sección, título, capítulo, subcapítulo, acápite, o parte de esta Ley fuera anulada o declarada inconstitucional, la resolución, dictamen o sentencia a tal efecto </w:t>
      </w:r>
      <w:r w:rsidRPr="00A07D63">
        <w:rPr>
          <w:rFonts w:ascii="Book Antiqua" w:eastAsia="Book Antiqua" w:hAnsi="Book Antiqua" w:cs="Book Antiqua"/>
          <w:color w:val="000000"/>
          <w:kern w:val="0"/>
          <w:lang w:val="es-PR"/>
          <w14:ligatures w14:val="none"/>
        </w:rPr>
        <w:lastRenderedPageBreak/>
        <w:t>dictada no afectará, perjudicará, ni invalidará el remanente de esta Ley.  El efecto de dicha resolución, dictamen o sentencia quedará limitado a la cláusula, párrafo, subpárrafo, oración, palabra, letra, artículo, disposición, sección, subsección, título, capítulo, subcapítulo, acápite, o parte de esta Ley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w:t>
      </w:r>
    </w:p>
    <w:p w14:paraId="635A266C" w14:textId="77777777" w:rsidR="00AF6522" w:rsidRPr="00A07D63" w:rsidRDefault="00AF6522" w:rsidP="00AF6522">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Artículo 1103 – Vigencia. </w:t>
      </w:r>
    </w:p>
    <w:p w14:paraId="0418A4B4" w14:textId="5024ED05" w:rsidR="00CF4003" w:rsidRPr="00A07D63" w:rsidRDefault="00AF6522" w:rsidP="00E31A45">
      <w:pPr>
        <w:spacing w:after="0" w:line="480" w:lineRule="auto"/>
        <w:ind w:firstLine="720"/>
        <w:jc w:val="both"/>
        <w:rPr>
          <w:rFonts w:ascii="Book Antiqua" w:eastAsia="Book Antiqua" w:hAnsi="Book Antiqua" w:cs="Book Antiqua"/>
          <w:color w:val="000000"/>
          <w:kern w:val="0"/>
          <w:lang w:val="es-PR"/>
          <w14:ligatures w14:val="none"/>
        </w:rPr>
      </w:pPr>
      <w:r w:rsidRPr="00A07D63">
        <w:rPr>
          <w:rFonts w:ascii="Book Antiqua" w:eastAsia="Book Antiqua" w:hAnsi="Book Antiqua" w:cs="Book Antiqua"/>
          <w:color w:val="000000"/>
          <w:kern w:val="0"/>
          <w:lang w:val="es-PR"/>
          <w14:ligatures w14:val="none"/>
        </w:rPr>
        <w:t>Esta Ley comenzará a regir inmediatamente después de su ap</w:t>
      </w:r>
      <w:bookmarkEnd w:id="4"/>
      <w:r w:rsidRPr="00A07D63">
        <w:rPr>
          <w:rFonts w:ascii="Book Antiqua" w:eastAsia="Book Antiqua" w:hAnsi="Book Antiqua" w:cs="Book Antiqua"/>
          <w:color w:val="000000"/>
          <w:kern w:val="0"/>
          <w:lang w:val="es-PR"/>
          <w14:ligatures w14:val="none"/>
        </w:rPr>
        <w:t>robación. </w:t>
      </w:r>
    </w:p>
    <w:sectPr w:rsidR="00CF4003" w:rsidRPr="00A07D63" w:rsidSect="00AF6522">
      <w:footerReference w:type="defaul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2453AA" w14:textId="77777777" w:rsidR="00D5761F" w:rsidRDefault="00D5761F">
      <w:pPr>
        <w:spacing w:after="0" w:line="240" w:lineRule="auto"/>
      </w:pPr>
      <w:r>
        <w:separator/>
      </w:r>
    </w:p>
  </w:endnote>
  <w:endnote w:type="continuationSeparator" w:id="0">
    <w:p w14:paraId="0BD3C4C5" w14:textId="77777777" w:rsidR="00D5761F" w:rsidRDefault="00D576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011AFEF9" w14:textId="77777777">
      <w:trPr>
        <w:trHeight w:val="300"/>
      </w:trPr>
      <w:tc>
        <w:tcPr>
          <w:tcW w:w="3120" w:type="dxa"/>
        </w:tcPr>
        <w:p w14:paraId="0AB52EAE" w14:textId="77777777" w:rsidR="00AF6522" w:rsidRDefault="00AF6522">
          <w:pPr>
            <w:pStyle w:val="Header"/>
            <w:ind w:left="-115"/>
          </w:pPr>
        </w:p>
      </w:tc>
      <w:tc>
        <w:tcPr>
          <w:tcW w:w="3120" w:type="dxa"/>
        </w:tcPr>
        <w:p w14:paraId="63CC823B" w14:textId="77777777" w:rsidR="00AF6522" w:rsidRDefault="00AF6522">
          <w:pPr>
            <w:pStyle w:val="Header"/>
            <w:jc w:val="center"/>
          </w:pPr>
        </w:p>
      </w:tc>
      <w:tc>
        <w:tcPr>
          <w:tcW w:w="3120" w:type="dxa"/>
        </w:tcPr>
        <w:p w14:paraId="37ACF40A" w14:textId="77777777" w:rsidR="00AF6522" w:rsidRDefault="00AF6522">
          <w:pPr>
            <w:pStyle w:val="Header"/>
            <w:ind w:right="-115"/>
            <w:jc w:val="right"/>
          </w:pPr>
        </w:p>
      </w:tc>
    </w:tr>
  </w:tbl>
  <w:p w14:paraId="03B45A0C" w14:textId="77777777" w:rsidR="00AF6522" w:rsidRDefault="00AF65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361134C4" w14:textId="77777777">
      <w:trPr>
        <w:trHeight w:val="300"/>
      </w:trPr>
      <w:tc>
        <w:tcPr>
          <w:tcW w:w="3120" w:type="dxa"/>
        </w:tcPr>
        <w:p w14:paraId="63676F5A" w14:textId="77777777" w:rsidR="00AF6522" w:rsidRDefault="00AF6522">
          <w:pPr>
            <w:pStyle w:val="Header"/>
            <w:ind w:left="-115"/>
          </w:pPr>
        </w:p>
      </w:tc>
      <w:tc>
        <w:tcPr>
          <w:tcW w:w="3120" w:type="dxa"/>
        </w:tcPr>
        <w:p w14:paraId="1227C09E" w14:textId="77777777" w:rsidR="00AF6522" w:rsidRDefault="00AF6522">
          <w:pPr>
            <w:pStyle w:val="Header"/>
            <w:jc w:val="center"/>
          </w:pPr>
        </w:p>
      </w:tc>
      <w:tc>
        <w:tcPr>
          <w:tcW w:w="3120" w:type="dxa"/>
        </w:tcPr>
        <w:p w14:paraId="1A15169D" w14:textId="77777777" w:rsidR="00AF6522" w:rsidRDefault="00AF6522">
          <w:pPr>
            <w:pStyle w:val="Header"/>
            <w:ind w:right="-115"/>
            <w:jc w:val="right"/>
          </w:pPr>
        </w:p>
      </w:tc>
    </w:tr>
  </w:tbl>
  <w:p w14:paraId="4D2211BA" w14:textId="77777777" w:rsidR="00AF6522" w:rsidRDefault="00AF65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27705530" w14:textId="77777777">
      <w:trPr>
        <w:trHeight w:val="300"/>
      </w:trPr>
      <w:tc>
        <w:tcPr>
          <w:tcW w:w="3120" w:type="dxa"/>
        </w:tcPr>
        <w:p w14:paraId="6BBB0405" w14:textId="77777777" w:rsidR="00AF6522" w:rsidRDefault="00AF6522">
          <w:pPr>
            <w:pStyle w:val="Header"/>
            <w:ind w:left="-115"/>
            <w:rPr>
              <w:color w:val="000000"/>
            </w:rPr>
          </w:pPr>
        </w:p>
      </w:tc>
      <w:tc>
        <w:tcPr>
          <w:tcW w:w="3120" w:type="dxa"/>
        </w:tcPr>
        <w:p w14:paraId="00961634" w14:textId="77777777" w:rsidR="00AF6522" w:rsidRDefault="00AF6522">
          <w:pPr>
            <w:pStyle w:val="Header"/>
            <w:jc w:val="center"/>
            <w:rPr>
              <w:color w:val="000000"/>
            </w:rPr>
          </w:pPr>
        </w:p>
      </w:tc>
      <w:tc>
        <w:tcPr>
          <w:tcW w:w="3120" w:type="dxa"/>
        </w:tcPr>
        <w:p w14:paraId="18DE690A" w14:textId="77777777" w:rsidR="00AF6522" w:rsidRDefault="00AF6522">
          <w:pPr>
            <w:pStyle w:val="Header"/>
            <w:ind w:right="-115"/>
            <w:jc w:val="right"/>
            <w:rPr>
              <w:color w:val="000000"/>
            </w:rPr>
          </w:pPr>
        </w:p>
      </w:tc>
    </w:tr>
  </w:tbl>
  <w:p w14:paraId="1B80EC64" w14:textId="77777777" w:rsidR="00AF6522" w:rsidRDefault="00AF6522">
    <w:pPr>
      <w:pStyle w:val="Footer"/>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AF6522" w14:paraId="4439701D" w14:textId="77777777">
      <w:trPr>
        <w:trHeight w:val="300"/>
      </w:trPr>
      <w:tc>
        <w:tcPr>
          <w:tcW w:w="3120" w:type="dxa"/>
        </w:tcPr>
        <w:p w14:paraId="6DE11A74" w14:textId="77777777" w:rsidR="00AF6522" w:rsidRDefault="00AF6522">
          <w:pPr>
            <w:pStyle w:val="Header"/>
            <w:ind w:left="-115"/>
            <w:rPr>
              <w:color w:val="000000"/>
            </w:rPr>
          </w:pPr>
        </w:p>
      </w:tc>
      <w:tc>
        <w:tcPr>
          <w:tcW w:w="3120" w:type="dxa"/>
        </w:tcPr>
        <w:p w14:paraId="6FC0C953" w14:textId="77777777" w:rsidR="00AF6522" w:rsidRDefault="00AF6522">
          <w:pPr>
            <w:pStyle w:val="Header"/>
            <w:jc w:val="center"/>
            <w:rPr>
              <w:color w:val="000000"/>
            </w:rPr>
          </w:pPr>
        </w:p>
      </w:tc>
      <w:tc>
        <w:tcPr>
          <w:tcW w:w="3120" w:type="dxa"/>
        </w:tcPr>
        <w:p w14:paraId="51F878A7" w14:textId="77777777" w:rsidR="00AF6522" w:rsidRDefault="00AF6522">
          <w:pPr>
            <w:pStyle w:val="Header"/>
            <w:ind w:right="-115"/>
            <w:jc w:val="right"/>
            <w:rPr>
              <w:color w:val="000000"/>
            </w:rPr>
          </w:pPr>
        </w:p>
      </w:tc>
    </w:tr>
  </w:tbl>
  <w:p w14:paraId="6A8EF361" w14:textId="77777777" w:rsidR="00AF6522" w:rsidRDefault="00AF6522">
    <w:pPr>
      <w:pStyle w:val="Foo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51A2FD" w14:textId="77777777" w:rsidR="00D5761F" w:rsidRDefault="00D5761F">
      <w:pPr>
        <w:spacing w:after="0" w:line="240" w:lineRule="auto"/>
      </w:pPr>
      <w:r>
        <w:separator/>
      </w:r>
    </w:p>
  </w:footnote>
  <w:footnote w:type="continuationSeparator" w:id="0">
    <w:p w14:paraId="4DF8F57C" w14:textId="77777777" w:rsidR="00D5761F" w:rsidRDefault="00D576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3500A9" w14:textId="77777777" w:rsidR="00AF6522" w:rsidRDefault="00AF6522">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rPr>
      <w:t>20</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C0684" w14:textId="77777777" w:rsidR="00AF6522" w:rsidRDefault="00AF6522">
    <w:pPr>
      <w:pStyle w:val="Header"/>
      <w:jc w:val="right"/>
    </w:pPr>
    <w:r>
      <w:t>A-076</w:t>
    </w:r>
  </w:p>
  <w:p w14:paraId="2D42CF0B" w14:textId="26A2DBAB" w:rsidR="00AF6522" w:rsidRDefault="00AF6522">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57EC6"/>
    <w:multiLevelType w:val="multilevel"/>
    <w:tmpl w:val="9E687DA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2637528D"/>
    <w:multiLevelType w:val="multilevel"/>
    <w:tmpl w:val="62C21AF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65548CF"/>
    <w:multiLevelType w:val="multilevel"/>
    <w:tmpl w:val="F7E24B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497267D9"/>
    <w:multiLevelType w:val="multilevel"/>
    <w:tmpl w:val="CA3ABC20"/>
    <w:lvl w:ilvl="0">
      <w:start w:val="4"/>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670F0786"/>
    <w:multiLevelType w:val="multilevel"/>
    <w:tmpl w:val="81AC2B2A"/>
    <w:lvl w:ilvl="0">
      <w:start w:val="3"/>
      <w:numFmt w:val="lowerLetter"/>
      <w:lvlText w:val="%1."/>
      <w:lvlJc w:val="left"/>
      <w:pPr>
        <w:tabs>
          <w:tab w:val="num" w:pos="720"/>
        </w:tabs>
        <w:ind w:left="720" w:hanging="360"/>
      </w:pPr>
      <w:rPr>
        <w:u w:val="none"/>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7C87227C"/>
    <w:multiLevelType w:val="hybridMultilevel"/>
    <w:tmpl w:val="2EA27326"/>
    <w:lvl w:ilvl="0" w:tplc="DD2EE5E2">
      <w:start w:val="1"/>
      <w:numFmt w:val="lowerRoman"/>
      <w:lvlText w:val="%1."/>
      <w:lvlJc w:val="left"/>
      <w:pPr>
        <w:ind w:left="2160" w:hanging="360"/>
      </w:pPr>
      <w:rPr>
        <w:rFonts w:hint="default"/>
      </w:rPr>
    </w:lvl>
    <w:lvl w:ilvl="1" w:tplc="9D541B62" w:tentative="1">
      <w:start w:val="1"/>
      <w:numFmt w:val="lowerLetter"/>
      <w:lvlText w:val="%2."/>
      <w:lvlJc w:val="left"/>
      <w:pPr>
        <w:ind w:left="2880" w:hanging="360"/>
      </w:pPr>
    </w:lvl>
    <w:lvl w:ilvl="2" w:tplc="CCFC5CDE" w:tentative="1">
      <w:start w:val="1"/>
      <w:numFmt w:val="lowerRoman"/>
      <w:lvlText w:val="%3."/>
      <w:lvlJc w:val="right"/>
      <w:pPr>
        <w:ind w:left="3600" w:hanging="180"/>
      </w:pPr>
    </w:lvl>
    <w:lvl w:ilvl="3" w:tplc="460CC0AE" w:tentative="1">
      <w:start w:val="1"/>
      <w:numFmt w:val="decimal"/>
      <w:lvlText w:val="%4."/>
      <w:lvlJc w:val="left"/>
      <w:pPr>
        <w:ind w:left="4320" w:hanging="360"/>
      </w:pPr>
    </w:lvl>
    <w:lvl w:ilvl="4" w:tplc="7BCCC544" w:tentative="1">
      <w:start w:val="1"/>
      <w:numFmt w:val="lowerLetter"/>
      <w:lvlText w:val="%5."/>
      <w:lvlJc w:val="left"/>
      <w:pPr>
        <w:ind w:left="5040" w:hanging="360"/>
      </w:pPr>
    </w:lvl>
    <w:lvl w:ilvl="5" w:tplc="576EB036" w:tentative="1">
      <w:start w:val="1"/>
      <w:numFmt w:val="lowerRoman"/>
      <w:lvlText w:val="%6."/>
      <w:lvlJc w:val="right"/>
      <w:pPr>
        <w:ind w:left="5760" w:hanging="180"/>
      </w:pPr>
    </w:lvl>
    <w:lvl w:ilvl="6" w:tplc="902A29B4" w:tentative="1">
      <w:start w:val="1"/>
      <w:numFmt w:val="decimal"/>
      <w:lvlText w:val="%7."/>
      <w:lvlJc w:val="left"/>
      <w:pPr>
        <w:ind w:left="6480" w:hanging="360"/>
      </w:pPr>
    </w:lvl>
    <w:lvl w:ilvl="7" w:tplc="538C75D4" w:tentative="1">
      <w:start w:val="1"/>
      <w:numFmt w:val="lowerLetter"/>
      <w:lvlText w:val="%8."/>
      <w:lvlJc w:val="left"/>
      <w:pPr>
        <w:ind w:left="7200" w:hanging="360"/>
      </w:pPr>
    </w:lvl>
    <w:lvl w:ilvl="8" w:tplc="BA142668" w:tentative="1">
      <w:start w:val="1"/>
      <w:numFmt w:val="lowerRoman"/>
      <w:lvlText w:val="%9."/>
      <w:lvlJc w:val="right"/>
      <w:pPr>
        <w:ind w:left="7920" w:hanging="180"/>
      </w:pPr>
    </w:lvl>
  </w:abstractNum>
  <w:abstractNum w:abstractNumId="6" w15:restartNumberingAfterBreak="0">
    <w:nsid w:val="7F441FC0"/>
    <w:multiLevelType w:val="multilevel"/>
    <w:tmpl w:val="805A9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2065910575">
    <w:abstractNumId w:val="6"/>
  </w:num>
  <w:num w:numId="2" w16cid:durableId="179856560">
    <w:abstractNumId w:val="0"/>
  </w:num>
  <w:num w:numId="3" w16cid:durableId="1715227658">
    <w:abstractNumId w:val="4"/>
  </w:num>
  <w:num w:numId="4" w16cid:durableId="818501746">
    <w:abstractNumId w:val="3"/>
  </w:num>
  <w:num w:numId="5" w16cid:durableId="624504125">
    <w:abstractNumId w:val="2"/>
  </w:num>
  <w:num w:numId="6" w16cid:durableId="86929814">
    <w:abstractNumId w:val="1"/>
  </w:num>
  <w:num w:numId="7" w16cid:durableId="4719233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522"/>
    <w:rsid w:val="000278DD"/>
    <w:rsid w:val="000311B2"/>
    <w:rsid w:val="00072CFD"/>
    <w:rsid w:val="000C7E6D"/>
    <w:rsid w:val="00112775"/>
    <w:rsid w:val="00157AB0"/>
    <w:rsid w:val="00177ED7"/>
    <w:rsid w:val="00192032"/>
    <w:rsid w:val="0023737E"/>
    <w:rsid w:val="002873F3"/>
    <w:rsid w:val="00332DE1"/>
    <w:rsid w:val="00341420"/>
    <w:rsid w:val="003624C6"/>
    <w:rsid w:val="003B1B11"/>
    <w:rsid w:val="003D1AE9"/>
    <w:rsid w:val="003F3004"/>
    <w:rsid w:val="00404319"/>
    <w:rsid w:val="00427383"/>
    <w:rsid w:val="0045089A"/>
    <w:rsid w:val="00502A05"/>
    <w:rsid w:val="00580BF4"/>
    <w:rsid w:val="00584A9E"/>
    <w:rsid w:val="005C43EA"/>
    <w:rsid w:val="005E358B"/>
    <w:rsid w:val="005F34DA"/>
    <w:rsid w:val="005F5A58"/>
    <w:rsid w:val="00644AEA"/>
    <w:rsid w:val="00666556"/>
    <w:rsid w:val="00701B36"/>
    <w:rsid w:val="00785AB9"/>
    <w:rsid w:val="007D43D3"/>
    <w:rsid w:val="007F00BD"/>
    <w:rsid w:val="00804604"/>
    <w:rsid w:val="00892587"/>
    <w:rsid w:val="008D5678"/>
    <w:rsid w:val="00963AC4"/>
    <w:rsid w:val="009A2BB9"/>
    <w:rsid w:val="009A783B"/>
    <w:rsid w:val="009B40B0"/>
    <w:rsid w:val="009F1FF0"/>
    <w:rsid w:val="00A07D63"/>
    <w:rsid w:val="00A84BD2"/>
    <w:rsid w:val="00AD289C"/>
    <w:rsid w:val="00AE420E"/>
    <w:rsid w:val="00AF6522"/>
    <w:rsid w:val="00B0480B"/>
    <w:rsid w:val="00B43311"/>
    <w:rsid w:val="00BB0A11"/>
    <w:rsid w:val="00BC24FA"/>
    <w:rsid w:val="00C143A7"/>
    <w:rsid w:val="00CC3282"/>
    <w:rsid w:val="00CF4003"/>
    <w:rsid w:val="00D100FE"/>
    <w:rsid w:val="00D14A04"/>
    <w:rsid w:val="00D5761F"/>
    <w:rsid w:val="00E04B56"/>
    <w:rsid w:val="00E103A6"/>
    <w:rsid w:val="00E23FD1"/>
    <w:rsid w:val="00E31A45"/>
    <w:rsid w:val="00E40079"/>
    <w:rsid w:val="00E5649D"/>
    <w:rsid w:val="00E608E8"/>
    <w:rsid w:val="00E62BCB"/>
    <w:rsid w:val="00E91A4A"/>
    <w:rsid w:val="00F01883"/>
    <w:rsid w:val="00F02D06"/>
    <w:rsid w:val="00F850D6"/>
    <w:rsid w:val="00FC5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FFF53"/>
  <w15:chartTrackingRefBased/>
  <w15:docId w15:val="{F6FCA16C-CA03-4E9B-B688-F1E71FF14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5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65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65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5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5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5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5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5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5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5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65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65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5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5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5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5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5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522"/>
    <w:rPr>
      <w:rFonts w:eastAsiaTheme="majorEastAsia" w:cstheme="majorBidi"/>
      <w:color w:val="272727" w:themeColor="text1" w:themeTint="D8"/>
    </w:rPr>
  </w:style>
  <w:style w:type="paragraph" w:styleId="Title">
    <w:name w:val="Title"/>
    <w:basedOn w:val="Normal"/>
    <w:next w:val="Normal"/>
    <w:link w:val="TitleChar"/>
    <w:uiPriority w:val="10"/>
    <w:qFormat/>
    <w:rsid w:val="00AF65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5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5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5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522"/>
    <w:pPr>
      <w:spacing w:before="160"/>
      <w:jc w:val="center"/>
    </w:pPr>
    <w:rPr>
      <w:i/>
      <w:iCs/>
      <w:color w:val="404040" w:themeColor="text1" w:themeTint="BF"/>
    </w:rPr>
  </w:style>
  <w:style w:type="character" w:customStyle="1" w:styleId="QuoteChar">
    <w:name w:val="Quote Char"/>
    <w:basedOn w:val="DefaultParagraphFont"/>
    <w:link w:val="Quote"/>
    <w:uiPriority w:val="29"/>
    <w:rsid w:val="00AF6522"/>
    <w:rPr>
      <w:i/>
      <w:iCs/>
      <w:color w:val="404040" w:themeColor="text1" w:themeTint="BF"/>
    </w:rPr>
  </w:style>
  <w:style w:type="paragraph" w:styleId="ListParagraph">
    <w:name w:val="List Paragraph"/>
    <w:basedOn w:val="Normal"/>
    <w:uiPriority w:val="34"/>
    <w:qFormat/>
    <w:rsid w:val="00AF6522"/>
    <w:pPr>
      <w:ind w:left="720"/>
      <w:contextualSpacing/>
    </w:pPr>
  </w:style>
  <w:style w:type="character" w:styleId="IntenseEmphasis">
    <w:name w:val="Intense Emphasis"/>
    <w:basedOn w:val="DefaultParagraphFont"/>
    <w:uiPriority w:val="21"/>
    <w:qFormat/>
    <w:rsid w:val="00AF6522"/>
    <w:rPr>
      <w:i/>
      <w:iCs/>
      <w:color w:val="0F4761" w:themeColor="accent1" w:themeShade="BF"/>
    </w:rPr>
  </w:style>
  <w:style w:type="paragraph" w:styleId="IntenseQuote">
    <w:name w:val="Intense Quote"/>
    <w:basedOn w:val="Normal"/>
    <w:next w:val="Normal"/>
    <w:link w:val="IntenseQuoteChar"/>
    <w:uiPriority w:val="30"/>
    <w:qFormat/>
    <w:rsid w:val="00AF65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522"/>
    <w:rPr>
      <w:i/>
      <w:iCs/>
      <w:color w:val="0F4761" w:themeColor="accent1" w:themeShade="BF"/>
    </w:rPr>
  </w:style>
  <w:style w:type="character" w:styleId="IntenseReference">
    <w:name w:val="Intense Reference"/>
    <w:basedOn w:val="DefaultParagraphFont"/>
    <w:uiPriority w:val="32"/>
    <w:qFormat/>
    <w:rsid w:val="00AF6522"/>
    <w:rPr>
      <w:b/>
      <w:bCs/>
      <w:smallCaps/>
      <w:color w:val="0F4761" w:themeColor="accent1" w:themeShade="BF"/>
      <w:spacing w:val="5"/>
    </w:rPr>
  </w:style>
  <w:style w:type="paragraph" w:styleId="Footer">
    <w:name w:val="footer"/>
    <w:basedOn w:val="Normal"/>
    <w:link w:val="FooterChar"/>
    <w:uiPriority w:val="99"/>
    <w:unhideWhenUsed/>
    <w:rsid w:val="00AF65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6522"/>
  </w:style>
  <w:style w:type="paragraph" w:styleId="Header">
    <w:name w:val="header"/>
    <w:basedOn w:val="Normal"/>
    <w:link w:val="HeaderChar"/>
    <w:uiPriority w:val="99"/>
    <w:unhideWhenUsed/>
    <w:rsid w:val="00AF65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6522"/>
  </w:style>
  <w:style w:type="character" w:styleId="PageNumber">
    <w:name w:val="page number"/>
    <w:basedOn w:val="DefaultParagraphFont"/>
    <w:rsid w:val="00AF6522"/>
  </w:style>
  <w:style w:type="character" w:styleId="LineNumber">
    <w:name w:val="line number"/>
    <w:basedOn w:val="DefaultParagraphFont"/>
    <w:uiPriority w:val="99"/>
    <w:semiHidden/>
    <w:unhideWhenUsed/>
    <w:rsid w:val="00AF65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5090D6DC5F58448A361E4AC1E321C2" ma:contentTypeVersion="4" ma:contentTypeDescription="Create a new document." ma:contentTypeScope="" ma:versionID="bdeb09cd72d69fd981a6ce4d7b91f16a">
  <xsd:schema xmlns:xsd="http://www.w3.org/2001/XMLSchema" xmlns:xs="http://www.w3.org/2001/XMLSchema" xmlns:p="http://schemas.microsoft.com/office/2006/metadata/properties" xmlns:ns3="1d675c6d-dd10-453e-99c8-f0e74715914c" targetNamespace="http://schemas.microsoft.com/office/2006/metadata/properties" ma:root="true" ma:fieldsID="87a143d740aefac616403c7910d30da4" ns3:_="">
    <xsd:import namespace="1d675c6d-dd10-453e-99c8-f0e74715914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675c6d-dd10-453e-99c8-f0e74715914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3A4E23-BF8D-4C88-954B-F0C0EF110280}">
  <ds:schemaRefs>
    <ds:schemaRef ds:uri="http://schemas.microsoft.com/sharepoint/v3/contenttype/forms"/>
  </ds:schemaRefs>
</ds:datastoreItem>
</file>

<file path=customXml/itemProps2.xml><?xml version="1.0" encoding="utf-8"?>
<ds:datastoreItem xmlns:ds="http://schemas.openxmlformats.org/officeDocument/2006/customXml" ds:itemID="{F59A38A7-9EC6-45FE-AB9F-D52F59A8A1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675c6d-dd10-453e-99c8-f0e7471591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6791E1-1BBC-438E-9A5B-664A83C566B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5442</Words>
  <Characters>29934</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Gloria de Jesús Maldonado</cp:lastModifiedBy>
  <cp:revision>2</cp:revision>
  <dcterms:created xsi:type="dcterms:W3CDTF">2025-11-14T02:36:00Z</dcterms:created>
  <dcterms:modified xsi:type="dcterms:W3CDTF">2025-11-14T02:36:00Z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0x010100955090D6DC5F58448A361E4AC1E321C2</vt:lpwstr>
  </property>
</Properties>
</file>