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550656" w14:textId="77777777" w:rsidR="00FF2214" w:rsidRPr="009D6908" w:rsidRDefault="00850770">
      <w:pPr>
        <w:jc w:val="center"/>
        <w:rPr>
          <w:rFonts w:ascii="Book Antiqua" w:eastAsia="Book Antiqua" w:hAnsi="Book Antiqua" w:cs="Book Antiqua"/>
          <w:bCs/>
          <w:color w:val="000000" w:themeColor="text1"/>
          <w:sz w:val="28"/>
          <w:szCs w:val="28"/>
          <w:lang w:val="es-PR"/>
        </w:rPr>
      </w:pPr>
      <w:r w:rsidRPr="009D6908">
        <w:rPr>
          <w:rFonts w:ascii="Book Antiqua" w:eastAsia="Book Antiqua" w:hAnsi="Book Antiqua" w:cs="Book Antiqua"/>
          <w:bCs/>
          <w:color w:val="000000" w:themeColor="text1"/>
          <w:sz w:val="28"/>
          <w:szCs w:val="28"/>
          <w:lang w:val="es-PR"/>
        </w:rPr>
        <w:t xml:space="preserve">GOBIERNO DE </w:t>
      </w:r>
      <w:sdt>
        <w:sdtPr>
          <w:rPr>
            <w:bCs/>
            <w:color w:val="000000" w:themeColor="text1"/>
            <w:sz w:val="28"/>
            <w:szCs w:val="28"/>
            <w:lang w:val="es-PR"/>
          </w:rPr>
          <w:tag w:val="goog_rdk_0"/>
          <w:id w:val="-2063775325"/>
        </w:sdtPr>
        <w:sdtEndPr/>
        <w:sdtContent/>
      </w:sdt>
      <w:r w:rsidRPr="009D6908">
        <w:rPr>
          <w:rFonts w:ascii="Book Antiqua" w:eastAsia="Book Antiqua" w:hAnsi="Book Antiqua" w:cs="Book Antiqua"/>
          <w:bCs/>
          <w:color w:val="000000" w:themeColor="text1"/>
          <w:sz w:val="28"/>
          <w:szCs w:val="28"/>
          <w:lang w:val="es-PR"/>
        </w:rPr>
        <w:t>PUERTO RICO</w:t>
      </w:r>
    </w:p>
    <w:p w14:paraId="79550657" w14:textId="77777777" w:rsidR="00FF2214" w:rsidRPr="001E649E" w:rsidRDefault="00FF2214">
      <w:pPr>
        <w:jc w:val="center"/>
        <w:rPr>
          <w:rFonts w:ascii="Book Antiqua" w:eastAsia="Book Antiqua" w:hAnsi="Book Antiqua" w:cs="Book Antiqua"/>
          <w:color w:val="000000" w:themeColor="text1"/>
          <w:lang w:val="es-PR"/>
        </w:rPr>
      </w:pPr>
    </w:p>
    <w:p w14:paraId="79550658" w14:textId="6C22A832" w:rsidR="00FF2214" w:rsidRPr="001E649E" w:rsidRDefault="00850770">
      <w:pPr>
        <w:tabs>
          <w:tab w:val="left" w:pos="648"/>
          <w:tab w:val="right" w:pos="7776"/>
          <w:tab w:val="left" w:pos="7848"/>
        </w:tabs>
        <w:rPr>
          <w:rFonts w:ascii="Book Antiqua" w:eastAsia="Book Antiqua" w:hAnsi="Book Antiqua" w:cs="Book Antiqua"/>
          <w:color w:val="000000" w:themeColor="text1"/>
          <w:lang w:val="es-PR"/>
        </w:rPr>
      </w:pPr>
      <w:r w:rsidRPr="001E649E">
        <w:rPr>
          <w:rFonts w:ascii="Book Antiqua" w:eastAsia="Book Antiqua" w:hAnsi="Book Antiqua" w:cs="Book Antiqua"/>
          <w:color w:val="000000" w:themeColor="text1"/>
          <w:lang w:val="es-PR"/>
        </w:rPr>
        <w:t xml:space="preserve">20 </w:t>
      </w:r>
      <w:r w:rsidRPr="001E649E">
        <w:rPr>
          <w:rFonts w:ascii="Book Antiqua" w:eastAsia="Book Antiqua" w:hAnsi="Book Antiqua" w:cs="Book Antiqua"/>
          <w:color w:val="000000" w:themeColor="text1"/>
          <w:vertAlign w:val="superscript"/>
          <w:lang w:val="es-PR"/>
        </w:rPr>
        <w:t>ma.</w:t>
      </w:r>
      <w:r w:rsidRPr="001E649E">
        <w:rPr>
          <w:rFonts w:ascii="Book Antiqua" w:eastAsia="Book Antiqua" w:hAnsi="Book Antiqua" w:cs="Book Antiqua"/>
          <w:color w:val="000000" w:themeColor="text1"/>
          <w:lang w:val="es-PR"/>
        </w:rPr>
        <w:tab/>
        <w:t>Asamblea</w:t>
      </w:r>
      <w:r w:rsidRPr="001E649E">
        <w:rPr>
          <w:rFonts w:ascii="Book Antiqua" w:eastAsia="Book Antiqua" w:hAnsi="Book Antiqua" w:cs="Book Antiqua"/>
          <w:color w:val="000000" w:themeColor="text1"/>
          <w:lang w:val="es-PR"/>
        </w:rPr>
        <w:tab/>
      </w:r>
      <w:r w:rsidR="001932FA">
        <w:rPr>
          <w:rFonts w:ascii="Book Antiqua" w:eastAsia="Book Antiqua" w:hAnsi="Book Antiqua" w:cs="Book Antiqua"/>
          <w:color w:val="000000" w:themeColor="text1"/>
          <w:lang w:val="es-PR"/>
        </w:rPr>
        <w:t>2</w:t>
      </w:r>
      <w:r w:rsidR="001932FA">
        <w:rPr>
          <w:rFonts w:ascii="Book Antiqua" w:eastAsia="Book Antiqua" w:hAnsi="Book Antiqua" w:cs="Book Antiqua"/>
          <w:color w:val="000000" w:themeColor="text1"/>
          <w:vertAlign w:val="superscript"/>
          <w:lang w:val="es-PR"/>
        </w:rPr>
        <w:t>d</w:t>
      </w:r>
      <w:r w:rsidRPr="001E649E">
        <w:rPr>
          <w:rFonts w:ascii="Book Antiqua" w:eastAsia="Book Antiqua" w:hAnsi="Book Antiqua" w:cs="Book Antiqua"/>
          <w:color w:val="000000" w:themeColor="text1"/>
          <w:vertAlign w:val="superscript"/>
          <w:lang w:val="es-PR"/>
        </w:rPr>
        <w:t>a.</w:t>
      </w:r>
      <w:r w:rsidRPr="001E649E">
        <w:rPr>
          <w:rFonts w:ascii="Book Antiqua" w:eastAsia="Book Antiqua" w:hAnsi="Book Antiqua" w:cs="Book Antiqua"/>
          <w:color w:val="000000" w:themeColor="text1"/>
          <w:vertAlign w:val="superscript"/>
          <w:lang w:val="es-PR"/>
        </w:rPr>
        <w:tab/>
      </w:r>
      <w:r w:rsidRPr="001E649E">
        <w:rPr>
          <w:rFonts w:ascii="Book Antiqua" w:eastAsia="Book Antiqua" w:hAnsi="Book Antiqua" w:cs="Book Antiqua"/>
          <w:color w:val="000000" w:themeColor="text1"/>
          <w:lang w:val="es-PR"/>
        </w:rPr>
        <w:t>Sesión</w:t>
      </w:r>
    </w:p>
    <w:p w14:paraId="79550659" w14:textId="77777777" w:rsidR="00FF2214" w:rsidRPr="001E649E" w:rsidRDefault="00850770">
      <w:pPr>
        <w:tabs>
          <w:tab w:val="left" w:pos="648"/>
          <w:tab w:val="right" w:pos="7776"/>
          <w:tab w:val="left" w:pos="7848"/>
        </w:tabs>
        <w:rPr>
          <w:rFonts w:ascii="Book Antiqua" w:eastAsia="Book Antiqua" w:hAnsi="Book Antiqua" w:cs="Book Antiqua"/>
          <w:color w:val="000000" w:themeColor="text1"/>
          <w:lang w:val="es-PR"/>
        </w:rPr>
      </w:pPr>
      <w:r w:rsidRPr="001E649E">
        <w:rPr>
          <w:rFonts w:ascii="Book Antiqua" w:eastAsia="Book Antiqua" w:hAnsi="Book Antiqua" w:cs="Book Antiqua"/>
          <w:color w:val="000000" w:themeColor="text1"/>
          <w:lang w:val="es-PR"/>
        </w:rPr>
        <w:tab/>
        <w:t>Legislativa</w:t>
      </w:r>
      <w:r w:rsidRPr="001E649E">
        <w:rPr>
          <w:rFonts w:ascii="Book Antiqua" w:eastAsia="Book Antiqua" w:hAnsi="Book Antiqua" w:cs="Book Antiqua"/>
          <w:color w:val="000000" w:themeColor="text1"/>
          <w:lang w:val="es-PR"/>
        </w:rPr>
        <w:tab/>
      </w:r>
      <w:r w:rsidRPr="001E649E">
        <w:rPr>
          <w:rFonts w:ascii="Book Antiqua" w:eastAsia="Book Antiqua" w:hAnsi="Book Antiqua" w:cs="Book Antiqua"/>
          <w:color w:val="000000" w:themeColor="text1"/>
          <w:lang w:val="es-PR"/>
        </w:rPr>
        <w:tab/>
        <w:t>Ordinaria</w:t>
      </w:r>
    </w:p>
    <w:p w14:paraId="7955065A" w14:textId="77777777" w:rsidR="00FF2214" w:rsidRPr="001E649E" w:rsidRDefault="00FF2214">
      <w:pPr>
        <w:rPr>
          <w:rFonts w:ascii="Book Antiqua" w:eastAsia="Book Antiqua" w:hAnsi="Book Antiqua" w:cs="Book Antiqua"/>
          <w:color w:val="000000" w:themeColor="text1"/>
          <w:lang w:val="es-PR"/>
        </w:rPr>
      </w:pPr>
    </w:p>
    <w:p w14:paraId="32A931BE" w14:textId="77777777" w:rsidR="00950505" w:rsidRPr="001E649E" w:rsidRDefault="00950505" w:rsidP="00950505">
      <w:pPr>
        <w:jc w:val="center"/>
        <w:rPr>
          <w:rFonts w:ascii="Book Antiqua" w:hAnsi="Book Antiqua"/>
          <w:b/>
          <w:color w:val="000000" w:themeColor="text1"/>
          <w:sz w:val="36"/>
          <w:szCs w:val="36"/>
          <w:lang w:val="es-PR"/>
        </w:rPr>
      </w:pPr>
      <w:r w:rsidRPr="001E649E">
        <w:rPr>
          <w:rFonts w:ascii="Book Antiqua" w:hAnsi="Book Antiqua"/>
          <w:b/>
          <w:color w:val="000000" w:themeColor="text1"/>
          <w:sz w:val="36"/>
          <w:szCs w:val="36"/>
          <w:lang w:val="es-PR"/>
        </w:rPr>
        <w:t>CÁMARA DE REPRESENTANTES</w:t>
      </w:r>
    </w:p>
    <w:p w14:paraId="1FE61380" w14:textId="77777777" w:rsidR="00950505" w:rsidRPr="001E649E" w:rsidRDefault="00950505" w:rsidP="00950505">
      <w:pPr>
        <w:jc w:val="center"/>
        <w:rPr>
          <w:rFonts w:ascii="Book Antiqua" w:hAnsi="Book Antiqua"/>
          <w:color w:val="000000" w:themeColor="text1"/>
          <w:lang w:val="es-PR"/>
        </w:rPr>
      </w:pPr>
    </w:p>
    <w:p w14:paraId="5886E84B" w14:textId="6F4230F8" w:rsidR="00950505" w:rsidRPr="001E649E" w:rsidRDefault="00950505" w:rsidP="00950505">
      <w:pPr>
        <w:jc w:val="center"/>
        <w:rPr>
          <w:rFonts w:ascii="Book Antiqua" w:hAnsi="Book Antiqua"/>
          <w:b/>
          <w:color w:val="000000" w:themeColor="text1"/>
          <w:sz w:val="52"/>
          <w:szCs w:val="52"/>
          <w:lang w:val="es-PR"/>
        </w:rPr>
      </w:pPr>
      <w:r w:rsidRPr="001E649E">
        <w:rPr>
          <w:rFonts w:ascii="Book Antiqua" w:hAnsi="Book Antiqua"/>
          <w:b/>
          <w:color w:val="000000" w:themeColor="text1"/>
          <w:sz w:val="52"/>
          <w:szCs w:val="52"/>
          <w:lang w:val="es-PR"/>
        </w:rPr>
        <w:t>P. de la C.</w:t>
      </w:r>
      <w:r w:rsidR="00E96B80">
        <w:rPr>
          <w:rFonts w:ascii="Book Antiqua" w:hAnsi="Book Antiqua"/>
          <w:b/>
          <w:color w:val="000000" w:themeColor="text1"/>
          <w:sz w:val="52"/>
          <w:szCs w:val="52"/>
          <w:lang w:val="es-PR"/>
        </w:rPr>
        <w:t xml:space="preserve"> 874</w:t>
      </w:r>
    </w:p>
    <w:p w14:paraId="4A8A7A6F" w14:textId="77777777" w:rsidR="00950505" w:rsidRPr="001E649E" w:rsidRDefault="00950505" w:rsidP="00950505">
      <w:pPr>
        <w:jc w:val="center"/>
        <w:rPr>
          <w:rFonts w:ascii="Book Antiqua" w:hAnsi="Book Antiqua"/>
          <w:color w:val="000000" w:themeColor="text1"/>
          <w:lang w:val="es-PR"/>
        </w:rPr>
      </w:pPr>
    </w:p>
    <w:p w14:paraId="3D87D176" w14:textId="23A068B6" w:rsidR="00950505" w:rsidRPr="001E649E" w:rsidRDefault="00E96B80" w:rsidP="00950505">
      <w:pPr>
        <w:jc w:val="center"/>
        <w:rPr>
          <w:rFonts w:ascii="Book Antiqua" w:hAnsi="Book Antiqua"/>
          <w:b/>
          <w:color w:val="000000" w:themeColor="text1"/>
          <w:sz w:val="48"/>
          <w:lang w:val="es-PR"/>
        </w:rPr>
      </w:pPr>
      <w:r>
        <w:rPr>
          <w:rFonts w:ascii="Book Antiqua" w:hAnsi="Book Antiqua"/>
          <w:color w:val="000000" w:themeColor="text1"/>
          <w:lang w:val="es-PR"/>
        </w:rPr>
        <w:t xml:space="preserve">23 </w:t>
      </w:r>
      <w:r w:rsidR="003855A1" w:rsidRPr="003855A1">
        <w:rPr>
          <w:rFonts w:ascii="Book Antiqua" w:hAnsi="Book Antiqua"/>
          <w:color w:val="000000" w:themeColor="text1"/>
          <w:lang w:val="es-PR"/>
        </w:rPr>
        <w:t xml:space="preserve">DE SEPTIEMBRE DE </w:t>
      </w:r>
      <w:r w:rsidR="00950505" w:rsidRPr="001E649E">
        <w:rPr>
          <w:rFonts w:ascii="Book Antiqua" w:hAnsi="Book Antiqua"/>
          <w:color w:val="000000" w:themeColor="text1"/>
          <w:lang w:val="es-PR"/>
        </w:rPr>
        <w:t>2025</w:t>
      </w:r>
    </w:p>
    <w:p w14:paraId="1E7B6D3E" w14:textId="77777777" w:rsidR="00950505" w:rsidRPr="001E649E" w:rsidRDefault="00950505" w:rsidP="00950505">
      <w:pPr>
        <w:jc w:val="center"/>
        <w:rPr>
          <w:rFonts w:ascii="Book Antiqua" w:hAnsi="Book Antiqua"/>
          <w:color w:val="000000" w:themeColor="text1"/>
          <w:lang w:val="es-PR"/>
        </w:rPr>
      </w:pPr>
    </w:p>
    <w:p w14:paraId="001AA10B" w14:textId="3F2729D8" w:rsidR="00950505" w:rsidRPr="001E649E" w:rsidRDefault="00950505" w:rsidP="00B00227">
      <w:pPr>
        <w:ind w:left="810" w:hanging="810"/>
        <w:jc w:val="both"/>
        <w:rPr>
          <w:rFonts w:ascii="Book Antiqua" w:eastAsia="Aptos" w:hAnsi="Book Antiqua"/>
          <w:i/>
          <w:iCs/>
          <w:color w:val="000000" w:themeColor="text1"/>
          <w:kern w:val="2"/>
          <w:lang w:val="es-ES"/>
          <w14:ligatures w14:val="standardContextual"/>
        </w:rPr>
      </w:pPr>
      <w:r w:rsidRPr="001E649E">
        <w:rPr>
          <w:rFonts w:ascii="Book Antiqua" w:hAnsi="Book Antiqua"/>
          <w:color w:val="000000" w:themeColor="text1"/>
          <w:lang w:val="es-PR"/>
        </w:rPr>
        <w:t xml:space="preserve">Presentado </w:t>
      </w:r>
      <w:r w:rsidR="00B02CD9" w:rsidRPr="001E649E">
        <w:rPr>
          <w:rFonts w:ascii="Book Antiqua" w:eastAsia="Book Antiqua" w:hAnsi="Book Antiqua" w:cs="Book Antiqua"/>
          <w:color w:val="000000" w:themeColor="text1"/>
          <w:lang w:val="es-PR"/>
        </w:rPr>
        <w:t xml:space="preserve">por </w:t>
      </w:r>
      <w:r w:rsidR="00B02CD9" w:rsidRPr="001E649E">
        <w:rPr>
          <w:rFonts w:ascii="Book Antiqua" w:hAnsi="Book Antiqua"/>
          <w:color w:val="000000" w:themeColor="text1"/>
          <w:lang w:val="es-ES"/>
        </w:rPr>
        <w:t xml:space="preserve">el representante </w:t>
      </w:r>
      <w:r w:rsidR="00B02CD9" w:rsidRPr="001E649E">
        <w:rPr>
          <w:rFonts w:ascii="Book Antiqua" w:hAnsi="Book Antiqua"/>
          <w:i/>
          <w:iCs/>
          <w:color w:val="000000" w:themeColor="text1"/>
          <w:lang w:val="es-PR"/>
        </w:rPr>
        <w:t xml:space="preserve">Méndez Núñez; </w:t>
      </w:r>
      <w:r w:rsidR="00B02CD9" w:rsidRPr="001E649E">
        <w:rPr>
          <w:rFonts w:ascii="Book Antiqua" w:eastAsia="Aptos" w:hAnsi="Book Antiqua"/>
          <w:color w:val="000000" w:themeColor="text1"/>
          <w:kern w:val="2"/>
          <w:lang w:val="es-ES"/>
          <w14:ligatures w14:val="standardContextual"/>
        </w:rPr>
        <w:t>la representante</w:t>
      </w:r>
      <w:r w:rsidR="00B02CD9" w:rsidRPr="001E649E">
        <w:rPr>
          <w:rFonts w:ascii="Book Antiqua" w:eastAsia="Aptos" w:hAnsi="Book Antiqua"/>
          <w:i/>
          <w:iCs/>
          <w:color w:val="000000" w:themeColor="text1"/>
          <w:kern w:val="2"/>
          <w:lang w:val="es-ES"/>
          <w14:ligatures w14:val="standardContextual"/>
        </w:rPr>
        <w:t xml:space="preserve"> Lebrón Rodríguez; </w:t>
      </w:r>
      <w:r w:rsidR="00B02CD9" w:rsidRPr="001E649E">
        <w:rPr>
          <w:rFonts w:ascii="Book Antiqua" w:eastAsia="Aptos" w:hAnsi="Book Antiqua"/>
          <w:color w:val="000000" w:themeColor="text1"/>
          <w:kern w:val="2"/>
          <w:lang w:val="es-ES"/>
          <w14:ligatures w14:val="standardContextual"/>
        </w:rPr>
        <w:t>los representantes</w:t>
      </w:r>
      <w:r w:rsidR="00B02CD9" w:rsidRPr="001E649E">
        <w:rPr>
          <w:rFonts w:ascii="Book Antiqua" w:eastAsia="Aptos" w:hAnsi="Book Antiqua"/>
          <w:i/>
          <w:iCs/>
          <w:color w:val="000000" w:themeColor="text1"/>
          <w:kern w:val="2"/>
          <w:lang w:val="es-ES"/>
          <w14:ligatures w14:val="standardContextual"/>
        </w:rPr>
        <w:t xml:space="preserve"> Peña Ramírez, Torres Zamora, Román López, Aponte Hernández, Carlo Acosta, Charbonier Chinea, Colón Rodríguez; </w:t>
      </w:r>
      <w:r w:rsidR="00B02CD9" w:rsidRPr="001E649E">
        <w:rPr>
          <w:rFonts w:ascii="Book Antiqua" w:eastAsia="Aptos" w:hAnsi="Book Antiqua"/>
          <w:color w:val="000000" w:themeColor="text1"/>
          <w:kern w:val="2"/>
          <w:lang w:val="es-ES"/>
          <w14:ligatures w14:val="standardContextual"/>
        </w:rPr>
        <w:t>la representante</w:t>
      </w:r>
      <w:r w:rsidR="00B02CD9" w:rsidRPr="001E649E">
        <w:rPr>
          <w:rFonts w:ascii="Book Antiqua" w:eastAsia="Aptos" w:hAnsi="Book Antiqua"/>
          <w:i/>
          <w:iCs/>
          <w:color w:val="000000" w:themeColor="text1"/>
          <w:kern w:val="2"/>
          <w:lang w:val="es-ES"/>
          <w14:ligatures w14:val="standardContextual"/>
        </w:rPr>
        <w:t xml:space="preserve"> del Valle Correa; </w:t>
      </w:r>
      <w:r w:rsidR="00B02CD9" w:rsidRPr="001E649E">
        <w:rPr>
          <w:rFonts w:ascii="Book Antiqua" w:eastAsia="Aptos" w:hAnsi="Book Antiqua"/>
          <w:color w:val="000000" w:themeColor="text1"/>
          <w:kern w:val="2"/>
          <w:lang w:val="es-ES"/>
          <w14:ligatures w14:val="standardContextual"/>
        </w:rPr>
        <w:t>los representantes</w:t>
      </w:r>
      <w:r w:rsidR="00B02CD9" w:rsidRPr="001E649E">
        <w:rPr>
          <w:rFonts w:ascii="Book Antiqua" w:eastAsia="Aptos" w:hAnsi="Book Antiqua"/>
          <w:i/>
          <w:iCs/>
          <w:color w:val="000000" w:themeColor="text1"/>
          <w:kern w:val="2"/>
          <w:lang w:val="es-ES"/>
          <w14:ligatures w14:val="standardContextual"/>
        </w:rPr>
        <w:t xml:space="preserve"> Estévez Vélez, Franqui </w:t>
      </w:r>
      <w:proofErr w:type="spellStart"/>
      <w:r w:rsidR="00B02CD9" w:rsidRPr="001E649E">
        <w:rPr>
          <w:rFonts w:ascii="Book Antiqua" w:eastAsia="Aptos" w:hAnsi="Book Antiqua"/>
          <w:i/>
          <w:iCs/>
          <w:color w:val="000000" w:themeColor="text1"/>
          <w:kern w:val="2"/>
          <w:lang w:val="es-ES"/>
          <w14:ligatures w14:val="standardContextual"/>
        </w:rPr>
        <w:t>Atiles</w:t>
      </w:r>
      <w:proofErr w:type="spellEnd"/>
      <w:r w:rsidR="00B02CD9" w:rsidRPr="001E649E">
        <w:rPr>
          <w:rFonts w:ascii="Book Antiqua" w:eastAsia="Aptos" w:hAnsi="Book Antiqua"/>
          <w:i/>
          <w:iCs/>
          <w:color w:val="000000" w:themeColor="text1"/>
          <w:kern w:val="2"/>
          <w:lang w:val="es-ES"/>
          <w14:ligatures w14:val="standardContextual"/>
        </w:rPr>
        <w:t xml:space="preserve">; </w:t>
      </w:r>
      <w:r w:rsidR="00B02CD9" w:rsidRPr="001E649E">
        <w:rPr>
          <w:rFonts w:ascii="Book Antiqua" w:eastAsia="Aptos" w:hAnsi="Book Antiqua"/>
          <w:color w:val="000000" w:themeColor="text1"/>
          <w:kern w:val="2"/>
          <w:lang w:val="es-ES"/>
          <w14:ligatures w14:val="standardContextual"/>
        </w:rPr>
        <w:t>las representantes</w:t>
      </w:r>
      <w:r w:rsidR="00B02CD9" w:rsidRPr="001E649E">
        <w:rPr>
          <w:rFonts w:ascii="Book Antiqua" w:eastAsia="Aptos" w:hAnsi="Book Antiqua"/>
          <w:i/>
          <w:iCs/>
          <w:color w:val="000000" w:themeColor="text1"/>
          <w:kern w:val="2"/>
          <w:lang w:val="es-ES"/>
          <w14:ligatures w14:val="standardContextual"/>
        </w:rPr>
        <w:t xml:space="preserve"> González Aguayo, González </w:t>
      </w:r>
      <w:proofErr w:type="spellStart"/>
      <w:r w:rsidR="00B02CD9" w:rsidRPr="001E649E">
        <w:rPr>
          <w:rFonts w:ascii="Book Antiqua" w:eastAsia="Aptos" w:hAnsi="Book Antiqua"/>
          <w:i/>
          <w:iCs/>
          <w:color w:val="000000" w:themeColor="text1"/>
          <w:kern w:val="2"/>
          <w:lang w:val="es-ES"/>
          <w14:ligatures w14:val="standardContextual"/>
        </w:rPr>
        <w:t>González</w:t>
      </w:r>
      <w:proofErr w:type="spellEnd"/>
      <w:r w:rsidR="00B02CD9" w:rsidRPr="001E649E">
        <w:rPr>
          <w:rFonts w:ascii="Book Antiqua" w:eastAsia="Aptos" w:hAnsi="Book Antiqua"/>
          <w:i/>
          <w:iCs/>
          <w:color w:val="000000" w:themeColor="text1"/>
          <w:kern w:val="2"/>
          <w:lang w:val="es-ES"/>
          <w14:ligatures w14:val="standardContextual"/>
        </w:rPr>
        <w:t xml:space="preserve">; </w:t>
      </w:r>
      <w:r w:rsidR="00B02CD9" w:rsidRPr="001E649E">
        <w:rPr>
          <w:rFonts w:ascii="Book Antiqua" w:eastAsia="Aptos" w:hAnsi="Book Antiqua"/>
          <w:color w:val="000000" w:themeColor="text1"/>
          <w:kern w:val="2"/>
          <w:lang w:val="es-ES"/>
          <w14:ligatures w14:val="standardContextual"/>
        </w:rPr>
        <w:t>los representantes</w:t>
      </w:r>
      <w:r w:rsidR="00B02CD9" w:rsidRPr="001E649E">
        <w:rPr>
          <w:rFonts w:ascii="Book Antiqua" w:eastAsia="Aptos" w:hAnsi="Book Antiqua"/>
          <w:i/>
          <w:iCs/>
          <w:color w:val="000000" w:themeColor="text1"/>
          <w:kern w:val="2"/>
          <w:lang w:val="es-ES"/>
          <w14:ligatures w14:val="standardContextual"/>
        </w:rPr>
        <w:t xml:space="preserve"> Hernández Concepción, Jiménez Torres; </w:t>
      </w:r>
      <w:r w:rsidR="00B02CD9" w:rsidRPr="001E649E">
        <w:rPr>
          <w:rFonts w:ascii="Book Antiqua" w:eastAsia="Aptos" w:hAnsi="Book Antiqua"/>
          <w:color w:val="000000" w:themeColor="text1"/>
          <w:kern w:val="2"/>
          <w:lang w:val="es-ES"/>
          <w14:ligatures w14:val="standardContextual"/>
        </w:rPr>
        <w:t>las representantes</w:t>
      </w:r>
      <w:r w:rsidR="00B02CD9" w:rsidRPr="001E649E">
        <w:rPr>
          <w:rFonts w:ascii="Book Antiqua" w:eastAsia="Aptos" w:hAnsi="Book Antiqua"/>
          <w:i/>
          <w:iCs/>
          <w:color w:val="000000" w:themeColor="text1"/>
          <w:kern w:val="2"/>
          <w:lang w:val="es-ES"/>
          <w14:ligatures w14:val="standardContextual"/>
        </w:rPr>
        <w:t xml:space="preserve"> Martínez Vázquez, Medina Calderón; </w:t>
      </w:r>
      <w:r w:rsidR="00B02CD9" w:rsidRPr="001E649E">
        <w:rPr>
          <w:rFonts w:ascii="Book Antiqua" w:eastAsia="Aptos" w:hAnsi="Book Antiqua"/>
          <w:color w:val="000000" w:themeColor="text1"/>
          <w:kern w:val="2"/>
          <w:lang w:val="es-ES"/>
          <w14:ligatures w14:val="standardContextual"/>
        </w:rPr>
        <w:t>los representantes</w:t>
      </w:r>
      <w:r w:rsidR="00B02CD9" w:rsidRPr="001E649E">
        <w:rPr>
          <w:rFonts w:ascii="Book Antiqua" w:eastAsia="Aptos" w:hAnsi="Book Antiqua"/>
          <w:i/>
          <w:iCs/>
          <w:color w:val="000000" w:themeColor="text1"/>
          <w:kern w:val="2"/>
          <w:lang w:val="es-ES"/>
          <w14:ligatures w14:val="standardContextual"/>
        </w:rPr>
        <w:t xml:space="preserve"> </w:t>
      </w:r>
      <w:proofErr w:type="spellStart"/>
      <w:r w:rsidR="00B02CD9" w:rsidRPr="001E649E">
        <w:rPr>
          <w:rFonts w:ascii="Book Antiqua" w:eastAsia="Aptos" w:hAnsi="Book Antiqua"/>
          <w:i/>
          <w:iCs/>
          <w:color w:val="000000" w:themeColor="text1"/>
          <w:kern w:val="2"/>
          <w:lang w:val="es-ES"/>
          <w14:ligatures w14:val="standardContextual"/>
        </w:rPr>
        <w:t>Morey</w:t>
      </w:r>
      <w:proofErr w:type="spellEnd"/>
      <w:r w:rsidR="00B02CD9" w:rsidRPr="001E649E">
        <w:rPr>
          <w:rFonts w:ascii="Book Antiqua" w:eastAsia="Aptos" w:hAnsi="Book Antiqua"/>
          <w:i/>
          <w:iCs/>
          <w:color w:val="000000" w:themeColor="text1"/>
          <w:kern w:val="2"/>
          <w:lang w:val="es-ES"/>
          <w14:ligatures w14:val="standardContextual"/>
        </w:rPr>
        <w:t xml:space="preserve"> Noble, Muriel Sánchez, Navarro Suárez, Nieves Rosario, Ocasio Ramos, Pacheco Burgos, Parés Otero; </w:t>
      </w:r>
      <w:r w:rsidR="00B02CD9" w:rsidRPr="001E649E">
        <w:rPr>
          <w:rFonts w:ascii="Book Antiqua" w:eastAsia="Aptos" w:hAnsi="Book Antiqua"/>
          <w:color w:val="000000" w:themeColor="text1"/>
          <w:kern w:val="2"/>
          <w:lang w:val="es-ES"/>
          <w14:ligatures w14:val="standardContextual"/>
        </w:rPr>
        <w:t>los representantes</w:t>
      </w:r>
      <w:r w:rsidR="00B02CD9" w:rsidRPr="001E649E">
        <w:rPr>
          <w:rFonts w:ascii="Book Antiqua" w:eastAsia="Aptos" w:hAnsi="Book Antiqua"/>
          <w:i/>
          <w:iCs/>
          <w:color w:val="000000" w:themeColor="text1"/>
          <w:kern w:val="2"/>
          <w:lang w:val="es-ES"/>
          <w14:ligatures w14:val="standardContextual"/>
        </w:rPr>
        <w:t xml:space="preserve"> Pérez Cordero, Pérez Ortiz; </w:t>
      </w:r>
      <w:r w:rsidR="00B02CD9" w:rsidRPr="001E649E">
        <w:rPr>
          <w:rFonts w:ascii="Book Antiqua" w:eastAsia="Aptos" w:hAnsi="Book Antiqua"/>
          <w:color w:val="000000" w:themeColor="text1"/>
          <w:kern w:val="2"/>
          <w:lang w:val="es-ES"/>
          <w14:ligatures w14:val="standardContextual"/>
        </w:rPr>
        <w:t>las representantes</w:t>
      </w:r>
      <w:r w:rsidR="00B02CD9" w:rsidRPr="001E649E">
        <w:rPr>
          <w:rFonts w:ascii="Book Antiqua" w:eastAsia="Aptos" w:hAnsi="Book Antiqua"/>
          <w:i/>
          <w:iCs/>
          <w:color w:val="000000" w:themeColor="text1"/>
          <w:kern w:val="2"/>
          <w:lang w:val="es-ES"/>
          <w14:ligatures w14:val="standardContextual"/>
        </w:rPr>
        <w:t xml:space="preserve"> Pérez Ramírez, Ramos Rivera; </w:t>
      </w:r>
      <w:r w:rsidR="00B02CD9" w:rsidRPr="001E649E">
        <w:rPr>
          <w:rFonts w:ascii="Book Antiqua" w:eastAsia="Aptos" w:hAnsi="Book Antiqua"/>
          <w:color w:val="000000" w:themeColor="text1"/>
          <w:kern w:val="2"/>
          <w:lang w:val="es-ES"/>
          <w14:ligatures w14:val="standardContextual"/>
        </w:rPr>
        <w:t>los representantes</w:t>
      </w:r>
      <w:r w:rsidR="00B02CD9" w:rsidRPr="001E649E">
        <w:rPr>
          <w:rFonts w:ascii="Book Antiqua" w:eastAsia="Aptos" w:hAnsi="Book Antiqua"/>
          <w:i/>
          <w:iCs/>
          <w:color w:val="000000" w:themeColor="text1"/>
          <w:kern w:val="2"/>
          <w:lang w:val="es-ES"/>
          <w14:ligatures w14:val="standardContextual"/>
        </w:rPr>
        <w:t xml:space="preserve"> Robles Rivera, Rodríguez Aguiló, Rodríguez Torres, Roque Gracia, Sanabria Colón </w:t>
      </w:r>
      <w:r w:rsidR="00B02CD9" w:rsidRPr="001E649E">
        <w:rPr>
          <w:rFonts w:ascii="Book Antiqua" w:eastAsia="Aptos" w:hAnsi="Book Antiqua"/>
          <w:color w:val="000000" w:themeColor="text1"/>
          <w:kern w:val="2"/>
          <w:lang w:val="es-ES"/>
          <w14:ligatures w14:val="standardContextual"/>
        </w:rPr>
        <w:t>y</w:t>
      </w:r>
      <w:r w:rsidR="00B02CD9" w:rsidRPr="001E649E">
        <w:rPr>
          <w:rFonts w:ascii="Book Antiqua" w:eastAsia="Aptos" w:hAnsi="Book Antiqua"/>
          <w:i/>
          <w:iCs/>
          <w:color w:val="000000" w:themeColor="text1"/>
          <w:kern w:val="2"/>
          <w:lang w:val="es-ES"/>
          <w14:ligatures w14:val="standardContextual"/>
        </w:rPr>
        <w:t xml:space="preserve"> Santiago Guzmán</w:t>
      </w:r>
    </w:p>
    <w:p w14:paraId="18A0DB58" w14:textId="77777777" w:rsidR="00950505" w:rsidRPr="001E649E" w:rsidRDefault="00950505" w:rsidP="00950505">
      <w:pPr>
        <w:jc w:val="center"/>
        <w:rPr>
          <w:rFonts w:ascii="Book Antiqua" w:hAnsi="Book Antiqua"/>
          <w:color w:val="000000" w:themeColor="text1"/>
          <w:lang w:val="es-PR"/>
        </w:rPr>
      </w:pPr>
    </w:p>
    <w:p w14:paraId="6E0B8939" w14:textId="08E0D9BA" w:rsidR="00950505" w:rsidRPr="001E649E" w:rsidRDefault="00950505" w:rsidP="00950505">
      <w:pPr>
        <w:jc w:val="center"/>
        <w:rPr>
          <w:rFonts w:ascii="Book Antiqua" w:hAnsi="Book Antiqua"/>
          <w:color w:val="000000" w:themeColor="text1"/>
          <w:lang w:val="es-PR"/>
        </w:rPr>
      </w:pPr>
      <w:r w:rsidRPr="001E649E">
        <w:rPr>
          <w:rFonts w:ascii="Book Antiqua" w:hAnsi="Book Antiqua"/>
          <w:color w:val="000000" w:themeColor="text1"/>
          <w:lang w:val="es-PR"/>
        </w:rPr>
        <w:t>Referido a</w:t>
      </w:r>
      <w:r w:rsidR="006D37F1">
        <w:rPr>
          <w:rFonts w:ascii="Book Antiqua" w:hAnsi="Book Antiqua"/>
          <w:color w:val="000000" w:themeColor="text1"/>
          <w:lang w:val="es-PR"/>
        </w:rPr>
        <w:t xml:space="preserve"> la Comisión de Salud</w:t>
      </w:r>
    </w:p>
    <w:p w14:paraId="4B9C3823" w14:textId="77777777" w:rsidR="00950505" w:rsidRPr="001E649E" w:rsidRDefault="00950505" w:rsidP="00950505">
      <w:pPr>
        <w:jc w:val="both"/>
        <w:rPr>
          <w:rFonts w:ascii="Book Antiqua" w:hAnsi="Book Antiqua"/>
          <w:color w:val="000000" w:themeColor="text1"/>
          <w:lang w:val="es-PR"/>
        </w:rPr>
      </w:pPr>
    </w:p>
    <w:p w14:paraId="43228070" w14:textId="77777777" w:rsidR="00950505" w:rsidRPr="001E649E" w:rsidRDefault="00950505" w:rsidP="00950505">
      <w:pPr>
        <w:jc w:val="center"/>
        <w:rPr>
          <w:rFonts w:ascii="Book Antiqua" w:hAnsi="Book Antiqua"/>
          <w:b/>
          <w:color w:val="000000" w:themeColor="text1"/>
          <w:sz w:val="28"/>
          <w:lang w:val="es-PR"/>
        </w:rPr>
      </w:pPr>
      <w:r w:rsidRPr="001E649E">
        <w:rPr>
          <w:rFonts w:ascii="Book Antiqua" w:hAnsi="Book Antiqua"/>
          <w:b/>
          <w:color w:val="000000" w:themeColor="text1"/>
          <w:sz w:val="28"/>
          <w:lang w:val="es-PR"/>
        </w:rPr>
        <w:t>LEY</w:t>
      </w:r>
    </w:p>
    <w:p w14:paraId="79550663" w14:textId="77777777" w:rsidR="00FF2214" w:rsidRPr="001E649E" w:rsidRDefault="00FF2214">
      <w:pPr>
        <w:jc w:val="both"/>
        <w:rPr>
          <w:rFonts w:ascii="Book Antiqua" w:eastAsia="Book Antiqua" w:hAnsi="Book Antiqua" w:cs="Book Antiqua"/>
          <w:color w:val="000000" w:themeColor="text1"/>
          <w:lang w:val="es-PR"/>
        </w:rPr>
      </w:pPr>
    </w:p>
    <w:p w14:paraId="2743FF50" w14:textId="1411F79C" w:rsidR="00FF50BE" w:rsidRDefault="00850770" w:rsidP="009D6908">
      <w:pPr>
        <w:suppressLineNumbers/>
        <w:ind w:left="270" w:hanging="270"/>
        <w:jc w:val="both"/>
        <w:rPr>
          <w:rFonts w:ascii="Book Antiqua" w:hAnsi="Book Antiqua"/>
          <w:lang w:val="es-PR"/>
        </w:rPr>
      </w:pPr>
      <w:r w:rsidRPr="001E649E">
        <w:rPr>
          <w:rFonts w:ascii="Book Antiqua" w:eastAsia="Book Antiqua" w:hAnsi="Book Antiqua" w:cs="Book Antiqua"/>
          <w:color w:val="000000" w:themeColor="text1"/>
          <w:lang w:val="es-PR"/>
        </w:rPr>
        <w:t>Para</w:t>
      </w:r>
      <w:r w:rsidR="00E45E9B" w:rsidRPr="001E649E">
        <w:rPr>
          <w:rFonts w:ascii="Book Antiqua" w:eastAsia="Book Antiqua" w:hAnsi="Book Antiqua" w:cs="Book Antiqua"/>
          <w:color w:val="000000" w:themeColor="text1"/>
          <w:lang w:val="es-PR"/>
        </w:rPr>
        <w:t xml:space="preserve"> </w:t>
      </w:r>
      <w:r w:rsidR="00B4099C" w:rsidRPr="001E649E">
        <w:rPr>
          <w:rFonts w:ascii="Book Antiqua" w:hAnsi="Book Antiqua"/>
          <w:color w:val="000000" w:themeColor="text1"/>
          <w:lang w:val="es-PR"/>
        </w:rPr>
        <w:t xml:space="preserve">enmendar </w:t>
      </w:r>
      <w:r w:rsidR="00D54537" w:rsidRPr="00157A8F">
        <w:rPr>
          <w:rFonts w:ascii="Book Antiqua" w:hAnsi="Book Antiqua"/>
          <w:lang w:val="es-PR"/>
        </w:rPr>
        <w:t xml:space="preserve">los </w:t>
      </w:r>
      <w:r w:rsidR="000F6EC7">
        <w:rPr>
          <w:rFonts w:ascii="Book Antiqua" w:hAnsi="Book Antiqua"/>
          <w:lang w:val="es-PR"/>
        </w:rPr>
        <w:t>A</w:t>
      </w:r>
      <w:r w:rsidR="00D54537" w:rsidRPr="00157A8F">
        <w:rPr>
          <w:rFonts w:ascii="Book Antiqua" w:hAnsi="Book Antiqua"/>
          <w:lang w:val="es-PR"/>
        </w:rPr>
        <w:t>rtículos 1 y 2</w:t>
      </w:r>
      <w:r w:rsidR="000F6EC7">
        <w:rPr>
          <w:rFonts w:ascii="Book Antiqua" w:hAnsi="Book Antiqua"/>
          <w:lang w:val="es-PR"/>
        </w:rPr>
        <w:t xml:space="preserve">; </w:t>
      </w:r>
      <w:r w:rsidR="00D54537" w:rsidRPr="00157A8F">
        <w:rPr>
          <w:rFonts w:ascii="Book Antiqua" w:hAnsi="Book Antiqua"/>
          <w:lang w:val="es-PR"/>
        </w:rPr>
        <w:t xml:space="preserve">añadir los nuevos incisos </w:t>
      </w:r>
      <w:r w:rsidR="00D54537">
        <w:rPr>
          <w:rFonts w:ascii="Book Antiqua" w:hAnsi="Book Antiqua"/>
          <w:lang w:val="es-PR"/>
        </w:rPr>
        <w:t>(</w:t>
      </w:r>
      <w:r w:rsidR="00D54537" w:rsidRPr="00157A8F">
        <w:rPr>
          <w:rFonts w:ascii="Book Antiqua" w:hAnsi="Book Antiqua"/>
          <w:lang w:val="es-PR"/>
        </w:rPr>
        <w:t>d</w:t>
      </w:r>
      <w:r w:rsidR="00D54537">
        <w:rPr>
          <w:rFonts w:ascii="Book Antiqua" w:hAnsi="Book Antiqua"/>
          <w:lang w:val="es-PR"/>
        </w:rPr>
        <w:t>)</w:t>
      </w:r>
      <w:r w:rsidR="00D54537" w:rsidRPr="00157A8F">
        <w:rPr>
          <w:rFonts w:ascii="Book Antiqua" w:hAnsi="Book Antiqua"/>
          <w:lang w:val="es-PR"/>
        </w:rPr>
        <w:t xml:space="preserve">, </w:t>
      </w:r>
      <w:r w:rsidR="00D54537">
        <w:rPr>
          <w:rFonts w:ascii="Book Antiqua" w:hAnsi="Book Antiqua"/>
          <w:lang w:val="es-PR"/>
        </w:rPr>
        <w:t>(</w:t>
      </w:r>
      <w:r w:rsidR="00D54537" w:rsidRPr="00157A8F">
        <w:rPr>
          <w:rFonts w:ascii="Book Antiqua" w:hAnsi="Book Antiqua"/>
          <w:lang w:val="es-PR"/>
        </w:rPr>
        <w:t>e</w:t>
      </w:r>
      <w:r w:rsidR="00D54537">
        <w:rPr>
          <w:rFonts w:ascii="Book Antiqua" w:hAnsi="Book Antiqua"/>
          <w:lang w:val="es-PR"/>
        </w:rPr>
        <w:t>)</w:t>
      </w:r>
      <w:r w:rsidR="00D54537" w:rsidRPr="00157A8F">
        <w:rPr>
          <w:rFonts w:ascii="Book Antiqua" w:hAnsi="Book Antiqua"/>
          <w:lang w:val="es-PR"/>
        </w:rPr>
        <w:t xml:space="preserve"> y </w:t>
      </w:r>
      <w:r w:rsidR="00D54537">
        <w:rPr>
          <w:rFonts w:ascii="Book Antiqua" w:hAnsi="Book Antiqua"/>
          <w:lang w:val="es-PR"/>
        </w:rPr>
        <w:t>(</w:t>
      </w:r>
      <w:r w:rsidR="00D54537" w:rsidRPr="00157A8F">
        <w:rPr>
          <w:rFonts w:ascii="Book Antiqua" w:hAnsi="Book Antiqua"/>
          <w:lang w:val="es-PR"/>
        </w:rPr>
        <w:t>f</w:t>
      </w:r>
      <w:r w:rsidR="00D54537">
        <w:rPr>
          <w:rFonts w:ascii="Book Antiqua" w:hAnsi="Book Antiqua"/>
          <w:lang w:val="es-PR"/>
        </w:rPr>
        <w:t>)</w:t>
      </w:r>
      <w:r w:rsidR="00D54537" w:rsidRPr="00157A8F">
        <w:rPr>
          <w:rFonts w:ascii="Book Antiqua" w:hAnsi="Book Antiqua"/>
          <w:lang w:val="es-PR"/>
        </w:rPr>
        <w:t xml:space="preserve"> y reenumerar los actuales incisos </w:t>
      </w:r>
      <w:r w:rsidR="00D54537">
        <w:rPr>
          <w:rFonts w:ascii="Book Antiqua" w:hAnsi="Book Antiqua"/>
          <w:lang w:val="es-PR"/>
        </w:rPr>
        <w:t>(</w:t>
      </w:r>
      <w:r w:rsidR="00D54537" w:rsidRPr="00157A8F">
        <w:rPr>
          <w:rFonts w:ascii="Book Antiqua" w:hAnsi="Book Antiqua"/>
          <w:lang w:val="es-PR"/>
        </w:rPr>
        <w:t>d</w:t>
      </w:r>
      <w:r w:rsidR="00D54537">
        <w:rPr>
          <w:rFonts w:ascii="Book Antiqua" w:hAnsi="Book Antiqua"/>
          <w:lang w:val="es-PR"/>
        </w:rPr>
        <w:t>)</w:t>
      </w:r>
      <w:r w:rsidR="00D54537" w:rsidRPr="00157A8F">
        <w:rPr>
          <w:rFonts w:ascii="Book Antiqua" w:hAnsi="Book Antiqua"/>
          <w:lang w:val="es-PR"/>
        </w:rPr>
        <w:t xml:space="preserve">, </w:t>
      </w:r>
      <w:r w:rsidR="00D54537">
        <w:rPr>
          <w:rFonts w:ascii="Book Antiqua" w:hAnsi="Book Antiqua"/>
          <w:lang w:val="es-PR"/>
        </w:rPr>
        <w:t>(</w:t>
      </w:r>
      <w:r w:rsidR="00D54537" w:rsidRPr="00157A8F">
        <w:rPr>
          <w:rFonts w:ascii="Book Antiqua" w:hAnsi="Book Antiqua"/>
          <w:lang w:val="es-PR"/>
        </w:rPr>
        <w:t>e</w:t>
      </w:r>
      <w:r w:rsidR="00D54537">
        <w:rPr>
          <w:rFonts w:ascii="Book Antiqua" w:hAnsi="Book Antiqua"/>
          <w:lang w:val="es-PR"/>
        </w:rPr>
        <w:t>)</w:t>
      </w:r>
      <w:r w:rsidR="00D54537" w:rsidRPr="00157A8F">
        <w:rPr>
          <w:rFonts w:ascii="Book Antiqua" w:hAnsi="Book Antiqua"/>
          <w:lang w:val="es-PR"/>
        </w:rPr>
        <w:t xml:space="preserve">, </w:t>
      </w:r>
      <w:r w:rsidR="00D54537">
        <w:rPr>
          <w:rFonts w:ascii="Book Antiqua" w:hAnsi="Book Antiqua"/>
          <w:lang w:val="es-PR"/>
        </w:rPr>
        <w:t>(</w:t>
      </w:r>
      <w:r w:rsidR="00D54537" w:rsidRPr="00157A8F">
        <w:rPr>
          <w:rFonts w:ascii="Book Antiqua" w:hAnsi="Book Antiqua"/>
          <w:lang w:val="es-PR"/>
        </w:rPr>
        <w:t>f</w:t>
      </w:r>
      <w:r w:rsidR="00D54537">
        <w:rPr>
          <w:rFonts w:ascii="Book Antiqua" w:hAnsi="Book Antiqua"/>
          <w:lang w:val="es-PR"/>
        </w:rPr>
        <w:t>)</w:t>
      </w:r>
      <w:r w:rsidR="00D54537" w:rsidRPr="00157A8F">
        <w:rPr>
          <w:rFonts w:ascii="Book Antiqua" w:hAnsi="Book Antiqua"/>
          <w:lang w:val="es-PR"/>
        </w:rPr>
        <w:t xml:space="preserve">, </w:t>
      </w:r>
      <w:r w:rsidR="00D54537">
        <w:rPr>
          <w:rFonts w:ascii="Book Antiqua" w:hAnsi="Book Antiqua"/>
          <w:lang w:val="es-PR"/>
        </w:rPr>
        <w:t>(</w:t>
      </w:r>
      <w:r w:rsidR="00D54537" w:rsidRPr="00157A8F">
        <w:rPr>
          <w:rFonts w:ascii="Book Antiqua" w:hAnsi="Book Antiqua"/>
          <w:lang w:val="es-PR"/>
        </w:rPr>
        <w:t>g</w:t>
      </w:r>
      <w:r w:rsidR="00D54537">
        <w:rPr>
          <w:rFonts w:ascii="Book Antiqua" w:hAnsi="Book Antiqua"/>
          <w:lang w:val="es-PR"/>
        </w:rPr>
        <w:t>)</w:t>
      </w:r>
      <w:r w:rsidR="00D54537" w:rsidRPr="00157A8F">
        <w:rPr>
          <w:rFonts w:ascii="Book Antiqua" w:hAnsi="Book Antiqua"/>
          <w:lang w:val="es-PR"/>
        </w:rPr>
        <w:t xml:space="preserve"> y </w:t>
      </w:r>
      <w:r w:rsidR="00D54537">
        <w:rPr>
          <w:rFonts w:ascii="Book Antiqua" w:hAnsi="Book Antiqua"/>
          <w:lang w:val="es-PR"/>
        </w:rPr>
        <w:t>(</w:t>
      </w:r>
      <w:r w:rsidR="00D54537" w:rsidRPr="00157A8F">
        <w:rPr>
          <w:rFonts w:ascii="Book Antiqua" w:hAnsi="Book Antiqua"/>
          <w:lang w:val="es-PR"/>
        </w:rPr>
        <w:t>h</w:t>
      </w:r>
      <w:r w:rsidR="00D54537">
        <w:rPr>
          <w:rFonts w:ascii="Book Antiqua" w:hAnsi="Book Antiqua"/>
          <w:lang w:val="es-PR"/>
        </w:rPr>
        <w:t>)</w:t>
      </w:r>
      <w:r w:rsidR="00D54537" w:rsidRPr="00157A8F">
        <w:rPr>
          <w:rFonts w:ascii="Book Antiqua" w:hAnsi="Book Antiqua"/>
          <w:lang w:val="es-PR"/>
        </w:rPr>
        <w:t xml:space="preserve"> como los nuevos incisos </w:t>
      </w:r>
      <w:r w:rsidR="00D54537">
        <w:rPr>
          <w:rFonts w:ascii="Book Antiqua" w:hAnsi="Book Antiqua"/>
          <w:lang w:val="es-PR"/>
        </w:rPr>
        <w:t>(</w:t>
      </w:r>
      <w:r w:rsidR="00D54537" w:rsidRPr="00157A8F">
        <w:rPr>
          <w:rFonts w:ascii="Book Antiqua" w:hAnsi="Book Antiqua"/>
          <w:lang w:val="es-PR"/>
        </w:rPr>
        <w:t>g</w:t>
      </w:r>
      <w:r w:rsidR="00D54537">
        <w:rPr>
          <w:rFonts w:ascii="Book Antiqua" w:hAnsi="Book Antiqua"/>
          <w:lang w:val="es-PR"/>
        </w:rPr>
        <w:t>)</w:t>
      </w:r>
      <w:r w:rsidR="00D54537" w:rsidRPr="00157A8F">
        <w:rPr>
          <w:rFonts w:ascii="Book Antiqua" w:hAnsi="Book Antiqua"/>
          <w:lang w:val="es-PR"/>
        </w:rPr>
        <w:t xml:space="preserve">, </w:t>
      </w:r>
      <w:r w:rsidR="00D54537">
        <w:rPr>
          <w:rFonts w:ascii="Book Antiqua" w:hAnsi="Book Antiqua"/>
          <w:lang w:val="es-PR"/>
        </w:rPr>
        <w:t>(</w:t>
      </w:r>
      <w:r w:rsidR="00D54537" w:rsidRPr="00157A8F">
        <w:rPr>
          <w:rFonts w:ascii="Book Antiqua" w:hAnsi="Book Antiqua"/>
          <w:lang w:val="es-PR"/>
        </w:rPr>
        <w:t>h</w:t>
      </w:r>
      <w:r w:rsidR="00D54537">
        <w:rPr>
          <w:rFonts w:ascii="Book Antiqua" w:hAnsi="Book Antiqua"/>
          <w:lang w:val="es-PR"/>
        </w:rPr>
        <w:t>)</w:t>
      </w:r>
      <w:r w:rsidR="00D54537" w:rsidRPr="00157A8F">
        <w:rPr>
          <w:rFonts w:ascii="Book Antiqua" w:hAnsi="Book Antiqua"/>
          <w:lang w:val="es-PR"/>
        </w:rPr>
        <w:t xml:space="preserve">, </w:t>
      </w:r>
      <w:r w:rsidR="00D54537">
        <w:rPr>
          <w:rFonts w:ascii="Book Antiqua" w:hAnsi="Book Antiqua"/>
          <w:lang w:val="es-PR"/>
        </w:rPr>
        <w:t>(</w:t>
      </w:r>
      <w:r w:rsidR="00D54537" w:rsidRPr="00157A8F">
        <w:rPr>
          <w:rFonts w:ascii="Book Antiqua" w:hAnsi="Book Antiqua"/>
          <w:lang w:val="es-PR"/>
        </w:rPr>
        <w:t>i</w:t>
      </w:r>
      <w:r w:rsidR="00D54537">
        <w:rPr>
          <w:rFonts w:ascii="Book Antiqua" w:hAnsi="Book Antiqua"/>
          <w:lang w:val="es-PR"/>
        </w:rPr>
        <w:t>)</w:t>
      </w:r>
      <w:r w:rsidR="00D54537" w:rsidRPr="00157A8F">
        <w:rPr>
          <w:rFonts w:ascii="Book Antiqua" w:hAnsi="Book Antiqua"/>
          <w:lang w:val="es-PR"/>
        </w:rPr>
        <w:t xml:space="preserve">, </w:t>
      </w:r>
      <w:r w:rsidR="00D54537">
        <w:rPr>
          <w:rFonts w:ascii="Book Antiqua" w:hAnsi="Book Antiqua"/>
          <w:lang w:val="es-PR"/>
        </w:rPr>
        <w:t>(</w:t>
      </w:r>
      <w:r w:rsidR="00D54537" w:rsidRPr="00157A8F">
        <w:rPr>
          <w:rFonts w:ascii="Book Antiqua" w:hAnsi="Book Antiqua"/>
          <w:lang w:val="es-PR"/>
        </w:rPr>
        <w:t>j</w:t>
      </w:r>
      <w:r w:rsidR="00D54537">
        <w:rPr>
          <w:rFonts w:ascii="Book Antiqua" w:hAnsi="Book Antiqua"/>
          <w:lang w:val="es-PR"/>
        </w:rPr>
        <w:t>)</w:t>
      </w:r>
      <w:r w:rsidR="00D54537" w:rsidRPr="00157A8F">
        <w:rPr>
          <w:rFonts w:ascii="Book Antiqua" w:hAnsi="Book Antiqua"/>
          <w:lang w:val="es-PR"/>
        </w:rPr>
        <w:t xml:space="preserve"> y </w:t>
      </w:r>
      <w:r w:rsidR="00D54537">
        <w:rPr>
          <w:rFonts w:ascii="Book Antiqua" w:hAnsi="Book Antiqua"/>
          <w:lang w:val="es-PR"/>
        </w:rPr>
        <w:t>(</w:t>
      </w:r>
      <w:r w:rsidR="00D54537" w:rsidRPr="00157A8F">
        <w:rPr>
          <w:rFonts w:ascii="Book Antiqua" w:hAnsi="Book Antiqua"/>
          <w:lang w:val="es-PR"/>
        </w:rPr>
        <w:t>k</w:t>
      </w:r>
      <w:r w:rsidR="00D54537">
        <w:rPr>
          <w:rFonts w:ascii="Book Antiqua" w:hAnsi="Book Antiqua"/>
          <w:lang w:val="es-PR"/>
        </w:rPr>
        <w:t>)</w:t>
      </w:r>
      <w:r w:rsidR="00D54537" w:rsidRPr="00157A8F">
        <w:rPr>
          <w:rFonts w:ascii="Book Antiqua" w:hAnsi="Book Antiqua"/>
          <w:lang w:val="es-PR"/>
        </w:rPr>
        <w:t xml:space="preserve"> del Artículo 3</w:t>
      </w:r>
      <w:r w:rsidR="000F6EC7">
        <w:rPr>
          <w:rFonts w:ascii="Book Antiqua" w:hAnsi="Book Antiqua"/>
          <w:lang w:val="es-PR"/>
        </w:rPr>
        <w:t xml:space="preserve">; </w:t>
      </w:r>
      <w:r w:rsidR="00D54537" w:rsidRPr="00157A8F">
        <w:rPr>
          <w:rFonts w:ascii="Book Antiqua" w:hAnsi="Book Antiqua"/>
          <w:lang w:val="es-PR"/>
        </w:rPr>
        <w:t xml:space="preserve">añadir un nuevo inciso </w:t>
      </w:r>
      <w:r w:rsidR="00D54537">
        <w:rPr>
          <w:rFonts w:ascii="Book Antiqua" w:hAnsi="Book Antiqua"/>
          <w:lang w:val="es-PR"/>
        </w:rPr>
        <w:t>(</w:t>
      </w:r>
      <w:r w:rsidR="00D54537" w:rsidRPr="00157A8F">
        <w:rPr>
          <w:rFonts w:ascii="Book Antiqua" w:hAnsi="Book Antiqua"/>
          <w:lang w:val="es-PR"/>
        </w:rPr>
        <w:t>d</w:t>
      </w:r>
      <w:r w:rsidR="00D54537">
        <w:rPr>
          <w:rFonts w:ascii="Book Antiqua" w:hAnsi="Book Antiqua"/>
          <w:lang w:val="es-PR"/>
        </w:rPr>
        <w:t>)</w:t>
      </w:r>
      <w:r w:rsidR="00D54537" w:rsidRPr="00157A8F">
        <w:rPr>
          <w:rFonts w:ascii="Book Antiqua" w:hAnsi="Book Antiqua"/>
          <w:lang w:val="es-PR"/>
        </w:rPr>
        <w:t xml:space="preserve"> y reenumerar el actual inciso </w:t>
      </w:r>
      <w:r w:rsidR="00D54537">
        <w:rPr>
          <w:rFonts w:ascii="Book Antiqua" w:hAnsi="Book Antiqua"/>
          <w:lang w:val="es-PR"/>
        </w:rPr>
        <w:t>(</w:t>
      </w:r>
      <w:r w:rsidR="00D54537" w:rsidRPr="00157A8F">
        <w:rPr>
          <w:rFonts w:ascii="Book Antiqua" w:hAnsi="Book Antiqua"/>
          <w:lang w:val="es-PR"/>
        </w:rPr>
        <w:t>d</w:t>
      </w:r>
      <w:r w:rsidR="00D54537">
        <w:rPr>
          <w:rFonts w:ascii="Book Antiqua" w:hAnsi="Book Antiqua"/>
          <w:lang w:val="es-PR"/>
        </w:rPr>
        <w:t>)</w:t>
      </w:r>
      <w:r w:rsidR="00D54537" w:rsidRPr="00157A8F">
        <w:rPr>
          <w:rFonts w:ascii="Book Antiqua" w:hAnsi="Book Antiqua"/>
          <w:lang w:val="es-PR"/>
        </w:rPr>
        <w:t xml:space="preserve"> como el nuevo inciso </w:t>
      </w:r>
      <w:r w:rsidR="00D54537">
        <w:rPr>
          <w:rFonts w:ascii="Book Antiqua" w:hAnsi="Book Antiqua"/>
          <w:lang w:val="es-PR"/>
        </w:rPr>
        <w:t>(</w:t>
      </w:r>
      <w:r w:rsidR="00D54537" w:rsidRPr="00157A8F">
        <w:rPr>
          <w:rFonts w:ascii="Book Antiqua" w:hAnsi="Book Antiqua"/>
          <w:lang w:val="es-PR"/>
        </w:rPr>
        <w:t>e</w:t>
      </w:r>
      <w:r w:rsidR="00D54537">
        <w:rPr>
          <w:rFonts w:ascii="Book Antiqua" w:hAnsi="Book Antiqua"/>
          <w:lang w:val="es-PR"/>
        </w:rPr>
        <w:t>)</w:t>
      </w:r>
      <w:r w:rsidR="00D54537" w:rsidRPr="00157A8F">
        <w:rPr>
          <w:rFonts w:ascii="Book Antiqua" w:hAnsi="Book Antiqua"/>
          <w:lang w:val="es-PR"/>
        </w:rPr>
        <w:t xml:space="preserve"> del Artículo 4 de la Ley </w:t>
      </w:r>
      <w:bookmarkStart w:id="0" w:name="_Hlk196919242"/>
      <w:r w:rsidR="00D54537" w:rsidRPr="00157A8F">
        <w:rPr>
          <w:rFonts w:ascii="Book Antiqua" w:hAnsi="Book Antiqua"/>
          <w:lang w:val="es-PR"/>
        </w:rPr>
        <w:t xml:space="preserve">130-2008, </w:t>
      </w:r>
      <w:bookmarkEnd w:id="0"/>
      <w:r w:rsidR="00D54537" w:rsidRPr="00157A8F">
        <w:rPr>
          <w:rFonts w:ascii="Book Antiqua" w:hAnsi="Book Antiqua"/>
          <w:lang w:val="es-PR"/>
        </w:rPr>
        <w:t xml:space="preserve">mejor conocida como “Ley para el Ofrecimiento de Pruebas Rápidas para la Detección del Virus de Inmunodeficiencia Humana”, para autorizar el ofrecimiento de pruebas rápidas exentas para el </w:t>
      </w:r>
      <w:proofErr w:type="spellStart"/>
      <w:r w:rsidR="00D54537" w:rsidRPr="00157A8F">
        <w:rPr>
          <w:rFonts w:ascii="Book Antiqua" w:hAnsi="Book Antiqua"/>
          <w:lang w:val="es-PR"/>
        </w:rPr>
        <w:t>cernimiento</w:t>
      </w:r>
      <w:proofErr w:type="spellEnd"/>
      <w:r w:rsidR="00D54537" w:rsidRPr="00157A8F">
        <w:rPr>
          <w:rFonts w:ascii="Book Antiqua" w:hAnsi="Book Antiqua"/>
          <w:lang w:val="es-PR"/>
        </w:rPr>
        <w:t xml:space="preserve"> de infecciones de transmisión sexual y hepatitis virales; y para otros fines relacionados.  </w:t>
      </w:r>
    </w:p>
    <w:p w14:paraId="0A3A32E9" w14:textId="702B79AA" w:rsidR="000B0E9A" w:rsidRPr="001E649E" w:rsidRDefault="000B0E9A" w:rsidP="009D6908">
      <w:pPr>
        <w:jc w:val="both"/>
        <w:rPr>
          <w:rFonts w:ascii="Book Antiqua" w:hAnsi="Book Antiqua"/>
          <w:color w:val="000000" w:themeColor="text1"/>
          <w:lang w:val="es-PR"/>
        </w:rPr>
      </w:pPr>
    </w:p>
    <w:p w14:paraId="7B50644C" w14:textId="3B97F98C" w:rsidR="002858DD" w:rsidRDefault="00850770" w:rsidP="009D6908">
      <w:pPr>
        <w:ind w:left="540" w:hanging="540"/>
        <w:jc w:val="center"/>
        <w:rPr>
          <w:rFonts w:ascii="Book Antiqua" w:eastAsia="Book Antiqua" w:hAnsi="Book Antiqua" w:cs="Book Antiqua"/>
          <w:bCs/>
          <w:color w:val="000000" w:themeColor="text1"/>
          <w:lang w:val="es-PR"/>
        </w:rPr>
      </w:pPr>
      <w:r w:rsidRPr="001E649E">
        <w:rPr>
          <w:rFonts w:ascii="Book Antiqua" w:eastAsia="Book Antiqua" w:hAnsi="Book Antiqua" w:cs="Book Antiqua"/>
          <w:bCs/>
          <w:color w:val="000000" w:themeColor="text1"/>
          <w:lang w:val="es-PR"/>
        </w:rPr>
        <w:t>EXPOSICIÓN DE MOTIVOS</w:t>
      </w:r>
    </w:p>
    <w:p w14:paraId="3CB2D07F" w14:textId="77777777" w:rsidR="00FF50BE" w:rsidRPr="00FF50BE" w:rsidRDefault="00FF50BE" w:rsidP="009D6908">
      <w:pPr>
        <w:ind w:left="540" w:hanging="540"/>
        <w:jc w:val="center"/>
        <w:rPr>
          <w:rFonts w:ascii="Book Antiqua" w:eastAsia="Book Antiqua" w:hAnsi="Book Antiqua" w:cs="Book Antiqua"/>
          <w:bCs/>
          <w:color w:val="000000" w:themeColor="text1"/>
          <w:lang w:val="es-PR"/>
        </w:rPr>
      </w:pPr>
    </w:p>
    <w:p w14:paraId="3B195B65" w14:textId="619DBC5F" w:rsidR="00D54537" w:rsidRDefault="00D54537" w:rsidP="009D6908">
      <w:pPr>
        <w:suppressLineNumbers/>
        <w:ind w:firstLine="540"/>
        <w:jc w:val="both"/>
        <w:rPr>
          <w:rFonts w:ascii="Book Antiqua" w:hAnsi="Book Antiqua"/>
          <w:lang w:val="es-PR" w:eastAsia="es-PR"/>
        </w:rPr>
      </w:pPr>
      <w:bookmarkStart w:id="1" w:name="_Hlk206435441"/>
      <w:r w:rsidRPr="00157A8F">
        <w:rPr>
          <w:rFonts w:ascii="Book Antiqua" w:hAnsi="Book Antiqua"/>
          <w:lang w:val="es-PR" w:eastAsia="es-PR"/>
        </w:rPr>
        <w:t xml:space="preserve">El Departamento de Salud fue establecido conforme a lo dispuesto en la Ley Núm. 81 del 14 de marzo de 1912, según enmendada, y elevado a rango constitucional el 25 de julio de 1952, de acuerdo con lo que establece el Artículo IV, Sección 6 de la Constitución de Puerto Rico. Por lo tanto, a nivel constitucional, es la única agencia cuya obligación </w:t>
      </w:r>
      <w:r w:rsidRPr="00157A8F">
        <w:rPr>
          <w:rFonts w:ascii="Book Antiqua" w:hAnsi="Book Antiqua"/>
          <w:lang w:val="es-PR" w:eastAsia="es-PR"/>
        </w:rPr>
        <w:lastRenderedPageBreak/>
        <w:t>ineludible es garantizar la salud de toda la población y tiene la responsabilidad de establecer los objetivos de salud y desarrollar estrategias para proteger la salud del pueblo puertorriqueño. El Secretario de Salud es el encargado constitucional de implementar mecanismos eficaces para proporcionar los servicios de salud de manera inmediata, con el fin de preservar la vida de los puertorriqueños. Esta responsabilidad se lleva a cabo no solo a través de sus hospitales y Centros de Diagnóstico y Tratamiento (</w:t>
      </w:r>
      <w:proofErr w:type="spellStart"/>
      <w:r w:rsidRPr="00157A8F">
        <w:rPr>
          <w:rFonts w:ascii="Book Antiqua" w:hAnsi="Book Antiqua"/>
          <w:lang w:val="es-PR" w:eastAsia="es-PR"/>
        </w:rPr>
        <w:t>CDT’s</w:t>
      </w:r>
      <w:proofErr w:type="spellEnd"/>
      <w:r w:rsidRPr="00157A8F">
        <w:rPr>
          <w:rFonts w:ascii="Book Antiqua" w:hAnsi="Book Antiqua"/>
          <w:lang w:val="es-PR" w:eastAsia="es-PR"/>
        </w:rPr>
        <w:t>) con sus salas de emergencia, sino también mediante los diversos programas de servicios a la población, incluyendo aquellos enfocados en prevenir la infección por el virus de inmunodeficiencia humana (VIH), hepatitis virales y otras infecciones de transmisión sexual (ITS) en Puerto Rico.</w:t>
      </w:r>
    </w:p>
    <w:p w14:paraId="58AD725B" w14:textId="77777777" w:rsidR="009D6908" w:rsidRPr="00157A8F" w:rsidRDefault="009D6908" w:rsidP="009D6908">
      <w:pPr>
        <w:suppressLineNumbers/>
        <w:ind w:firstLine="540"/>
        <w:jc w:val="both"/>
        <w:rPr>
          <w:rFonts w:ascii="Book Antiqua" w:hAnsi="Book Antiqua"/>
          <w:lang w:val="es-PR" w:eastAsia="es-PR"/>
        </w:rPr>
      </w:pPr>
    </w:p>
    <w:p w14:paraId="56D4144C" w14:textId="77777777" w:rsidR="00D54537" w:rsidRDefault="00D54537" w:rsidP="009D6908">
      <w:pPr>
        <w:suppressLineNumbers/>
        <w:ind w:firstLine="720"/>
        <w:jc w:val="both"/>
        <w:rPr>
          <w:rFonts w:ascii="Book Antiqua" w:hAnsi="Book Antiqua"/>
          <w:lang w:val="es-PR" w:eastAsia="es-PR"/>
        </w:rPr>
      </w:pPr>
      <w:r w:rsidRPr="00157A8F">
        <w:rPr>
          <w:rFonts w:ascii="Book Antiqua" w:hAnsi="Book Antiqua"/>
          <w:lang w:val="es-PR" w:eastAsia="es-PR"/>
        </w:rPr>
        <w:t xml:space="preserve">Las infecciones de transmisión sexual (ITS), el VIH y las hepatitis virales siguen siendo un desafío importante para la salud pública tanto en los Estados Unidos como en Puerto Rico. Según los Centros para el Control y la Prevención de Enfermedades (CDC, por sus siglas en inglés), en 2023 se reportaron más de 2.4 millones de casos de clamidia, gonorrea y sífilis en los Estados Unidos. Aproximadamente el 50% de estas infecciones ocurrieron en personas entre los 15 y 24 años, evidenciando una carga desproporcionada en adolescentes y adultos jóvenes. Durante el año 2024, se reportaron aproximadamente 7,869 casos de infecciones de transmisión sexual (ITS) en Puerto Rico, distribuidos en 5,023 casos de clamidia, 1,229 de gonorrea y 1,617 de sífilis. El 73.8% de los casos de clamidia reportados correspondieron a mujeres, siendo el grupo de edad más afectado el de 20 a 24 años. La región metropolitana registró la mayor incidencia de casos de ITS. La sífilis en mujeres en edad reproductiva (15 a 44 años) mostró un incremento significativo, con un aumento del 71.9% en los casos reportados durante 2024. </w:t>
      </w:r>
    </w:p>
    <w:p w14:paraId="464A585A" w14:textId="77777777" w:rsidR="009D6908" w:rsidRPr="00157A8F" w:rsidRDefault="009D6908" w:rsidP="009D6908">
      <w:pPr>
        <w:suppressLineNumbers/>
        <w:ind w:firstLine="720"/>
        <w:jc w:val="both"/>
        <w:rPr>
          <w:rFonts w:ascii="Book Antiqua" w:hAnsi="Book Antiqua"/>
          <w:lang w:val="es-PR" w:eastAsia="es-PR"/>
        </w:rPr>
      </w:pPr>
    </w:p>
    <w:p w14:paraId="211B82F3" w14:textId="77777777" w:rsidR="00D54537" w:rsidRDefault="00D54537" w:rsidP="009D6908">
      <w:pPr>
        <w:suppressLineNumbers/>
        <w:ind w:firstLine="720"/>
        <w:jc w:val="both"/>
        <w:rPr>
          <w:rFonts w:ascii="Book Antiqua" w:hAnsi="Book Antiqua"/>
          <w:lang w:val="es-PR" w:eastAsia="es-PR"/>
        </w:rPr>
      </w:pPr>
      <w:r w:rsidRPr="00157A8F">
        <w:rPr>
          <w:rFonts w:ascii="Book Antiqua" w:hAnsi="Book Antiqua"/>
          <w:lang w:val="es-PR" w:eastAsia="es-PR"/>
        </w:rPr>
        <w:t xml:space="preserve">De hecho, según los CDC, se estima que 1.2 millones de personas vivían con VIH en los Estados Unidos en 2022, y las infecciones por VIH disminuyeron un 12% a nivel nacional entre 2018 y 2022. En Puerto Rico, hasta diciembre de 2024, las regiones con el mayor número de personas viviendo con VIH fueron San Juan, Metro y Caguas. Los factores de riesgo más comunes incluyen el uso de drogas inyectables, el contacto sexual heterosexual y las relaciones sexuales entre hombres que tienen sexo con hombres (HSH), siendo los grupos de edad más afectados los de 25 a 34 años y 35 a 44 años. </w:t>
      </w:r>
    </w:p>
    <w:p w14:paraId="16CCDBBE" w14:textId="77777777" w:rsidR="009D6908" w:rsidRPr="00157A8F" w:rsidRDefault="009D6908" w:rsidP="009D6908">
      <w:pPr>
        <w:suppressLineNumbers/>
        <w:ind w:firstLine="720"/>
        <w:jc w:val="both"/>
        <w:rPr>
          <w:rFonts w:ascii="Book Antiqua" w:hAnsi="Book Antiqua"/>
          <w:lang w:val="es-PR" w:eastAsia="es-PR"/>
        </w:rPr>
      </w:pPr>
    </w:p>
    <w:p w14:paraId="377B67DD" w14:textId="77777777" w:rsidR="00D54537" w:rsidRDefault="00D54537" w:rsidP="009D6908">
      <w:pPr>
        <w:suppressLineNumbers/>
        <w:ind w:firstLine="720"/>
        <w:jc w:val="both"/>
        <w:rPr>
          <w:rFonts w:ascii="Book Antiqua" w:hAnsi="Book Antiqua"/>
          <w:lang w:val="es-PR" w:eastAsia="es-PR"/>
        </w:rPr>
      </w:pPr>
      <w:r w:rsidRPr="00157A8F">
        <w:rPr>
          <w:rFonts w:ascii="Book Antiqua" w:hAnsi="Book Antiqua"/>
          <w:lang w:val="es-PR" w:eastAsia="es-PR"/>
        </w:rPr>
        <w:t xml:space="preserve">La hepatitis C (VHC), de otra parte, ha emergido como una de las infecciones virales crónicas más preocupantes. En los Estados Unidos, los CDC estimaron aproximadamente 69,800 nuevas infecciones por VHC en 2023, donde el uso de drogas inyectables fue la transmisión principal. En Puerto Rico, hasta octubre de 2024, se habían reportado 4,219 casos de VHC al Departamento de Salud. Los datos revelan que el 75.2% de los casos ocurrieron en personas cuyo sexo asignado al nacer fue masculino. Afecta al grupo de edad de 55 a 64 años, representando el 28.6% de los casos. Las infecciones se detectaron en todos los municipios y regiones de salud de Puerto Rico, con la región metropolitana reportando el 20.2% de los casos. Los factores de riesgo más comunes </w:t>
      </w:r>
      <w:r w:rsidRPr="00157A8F">
        <w:rPr>
          <w:rFonts w:ascii="Book Antiqua" w:hAnsi="Book Antiqua"/>
          <w:lang w:val="es-PR" w:eastAsia="es-PR"/>
        </w:rPr>
        <w:lastRenderedPageBreak/>
        <w:t xml:space="preserve">fueron el uso de drogas inyectables y el historial de encarcelamiento, junto con una alta prevalencia en personas nacidas entre 1945 y 1965 (“baby </w:t>
      </w:r>
      <w:proofErr w:type="spellStart"/>
      <w:r w:rsidRPr="00157A8F">
        <w:rPr>
          <w:rFonts w:ascii="Book Antiqua" w:hAnsi="Book Antiqua"/>
          <w:lang w:val="es-PR" w:eastAsia="es-PR"/>
        </w:rPr>
        <w:t>boomers</w:t>
      </w:r>
      <w:proofErr w:type="spellEnd"/>
      <w:r w:rsidRPr="00157A8F">
        <w:rPr>
          <w:rFonts w:ascii="Book Antiqua" w:hAnsi="Book Antiqua"/>
          <w:lang w:val="es-PR" w:eastAsia="es-PR"/>
        </w:rPr>
        <w:t>”).</w:t>
      </w:r>
    </w:p>
    <w:p w14:paraId="771C1A44" w14:textId="77777777" w:rsidR="009D6908" w:rsidRPr="00157A8F" w:rsidRDefault="009D6908" w:rsidP="009D6908">
      <w:pPr>
        <w:suppressLineNumbers/>
        <w:ind w:firstLine="720"/>
        <w:jc w:val="both"/>
        <w:rPr>
          <w:rFonts w:ascii="Book Antiqua" w:hAnsi="Book Antiqua"/>
          <w:lang w:val="es-PR" w:eastAsia="es-PR"/>
        </w:rPr>
      </w:pPr>
    </w:p>
    <w:p w14:paraId="144C5CFC" w14:textId="77777777" w:rsidR="00D54537" w:rsidRDefault="00D54537" w:rsidP="009D6908">
      <w:pPr>
        <w:suppressLineNumbers/>
        <w:ind w:firstLine="720"/>
        <w:jc w:val="both"/>
        <w:rPr>
          <w:rFonts w:ascii="Book Antiqua" w:hAnsi="Book Antiqua"/>
          <w:lang w:val="es-PR" w:eastAsia="es-PR"/>
        </w:rPr>
      </w:pPr>
      <w:r w:rsidRPr="00157A8F">
        <w:rPr>
          <w:rFonts w:ascii="Book Antiqua" w:hAnsi="Book Antiqua"/>
          <w:lang w:val="es-PR" w:eastAsia="es-PR"/>
        </w:rPr>
        <w:t>Las pruebas rápidas, muchas de ellas exentas de complejidad técnica, pueden ser administradas fuera de laboratorios tradicionales, en escenarios no clínicos, con certificación CLIA</w:t>
      </w:r>
      <w:r w:rsidRPr="00157A8F">
        <w:rPr>
          <w:rStyle w:val="FootnoteReference"/>
          <w:rFonts w:ascii="Book Antiqua" w:hAnsi="Book Antiqua"/>
          <w:lang w:val="es-PR" w:eastAsia="es-PR"/>
        </w:rPr>
        <w:footnoteReference w:id="2"/>
      </w:r>
      <w:r w:rsidRPr="00157A8F">
        <w:rPr>
          <w:rFonts w:ascii="Book Antiqua" w:hAnsi="Book Antiqua"/>
          <w:lang w:val="es-PR" w:eastAsia="es-PR"/>
        </w:rPr>
        <w:t xml:space="preserve"> y capacitación proporcionada por el manufacturero. Esto significa que no se requiere la intervención directa de un tecnólogo médico, ya que el manejo de la prueba es sencillo y el riesgo de exposición es mínimo. La mayoría de estas pruebas ofrecen resultados en menos de 20 minutos, lo que posibilita la orientación, el </w:t>
      </w:r>
      <w:proofErr w:type="spellStart"/>
      <w:r w:rsidRPr="00157A8F">
        <w:rPr>
          <w:rFonts w:ascii="Book Antiqua" w:hAnsi="Book Antiqua"/>
          <w:lang w:val="es-PR" w:eastAsia="es-PR"/>
        </w:rPr>
        <w:t>cernimiento</w:t>
      </w:r>
      <w:proofErr w:type="spellEnd"/>
      <w:r w:rsidRPr="00157A8F">
        <w:rPr>
          <w:rFonts w:ascii="Book Antiqua" w:hAnsi="Book Antiqua"/>
          <w:lang w:val="es-PR" w:eastAsia="es-PR"/>
        </w:rPr>
        <w:t xml:space="preserve"> temprano y el enlace a servicios médicos en una sola visita. Las pruebas rápidas permiten identificar infecciones de manera inmediata, facilitando una respuesta rápida y reduciendo la progresión y transmisión de estas enfermedades. Estas tecnologías permiten la detección temprana, reducen barreras al cuidado y contribuyen significativamente al logro de las metas locales y nacionales de eliminación de las ITS y las hepatitis virales.</w:t>
      </w:r>
    </w:p>
    <w:p w14:paraId="3D0EAFB7" w14:textId="77777777" w:rsidR="009D6908" w:rsidRPr="00157A8F" w:rsidRDefault="009D6908" w:rsidP="009D6908">
      <w:pPr>
        <w:suppressLineNumbers/>
        <w:ind w:firstLine="720"/>
        <w:jc w:val="both"/>
        <w:rPr>
          <w:rFonts w:ascii="Book Antiqua" w:hAnsi="Book Antiqua"/>
          <w:lang w:val="es-PR" w:eastAsia="es-PR"/>
        </w:rPr>
      </w:pPr>
    </w:p>
    <w:p w14:paraId="6122DF45" w14:textId="6EC473FC" w:rsidR="004C1C7C" w:rsidRDefault="00D54537" w:rsidP="009D6908">
      <w:pPr>
        <w:suppressLineNumbers/>
        <w:ind w:firstLine="720"/>
        <w:jc w:val="both"/>
        <w:rPr>
          <w:rFonts w:ascii="Book Antiqua" w:hAnsi="Book Antiqua"/>
          <w:lang w:val="es-PR" w:eastAsia="es-PR"/>
        </w:rPr>
      </w:pPr>
      <w:r w:rsidRPr="00157A8F">
        <w:rPr>
          <w:rFonts w:ascii="Book Antiqua" w:hAnsi="Book Antiqua"/>
          <w:lang w:val="es-PR" w:eastAsia="es-PR"/>
        </w:rPr>
        <w:t xml:space="preserve">Esta Asamblea Legislativa, comprometida con la salud del pueblo de Puerto Rico y teniendo en cuenta la responsabilidad constitucional del Departamento de Salud, considera esencial implementar las enmiendas a la Ley 130-2008, </w:t>
      </w:r>
      <w:r w:rsidRPr="00157A8F">
        <w:rPr>
          <w:rFonts w:ascii="Book Antiqua" w:hAnsi="Book Antiqua"/>
          <w:i/>
          <w:iCs/>
          <w:lang w:val="es-PR" w:eastAsia="es-PR"/>
        </w:rPr>
        <w:t>supra,</w:t>
      </w:r>
      <w:r w:rsidRPr="00157A8F">
        <w:rPr>
          <w:rFonts w:ascii="Book Antiqua" w:hAnsi="Book Antiqua"/>
          <w:lang w:val="es-PR" w:eastAsia="es-PR"/>
        </w:rPr>
        <w:t xml:space="preserve"> con el fin de garantizar una respuesta rápida y reducir la progresión y transmisión de estas infecciones, en pro de la salud del pueblo de Puerto Rico.</w:t>
      </w:r>
      <w:bookmarkEnd w:id="1"/>
    </w:p>
    <w:p w14:paraId="4DB33B1F" w14:textId="77777777" w:rsidR="009D6908" w:rsidRPr="00AF1BD7" w:rsidRDefault="009D6908" w:rsidP="009D6908">
      <w:pPr>
        <w:suppressLineNumbers/>
        <w:ind w:firstLine="720"/>
        <w:jc w:val="both"/>
        <w:rPr>
          <w:rFonts w:ascii="Book Antiqua" w:hAnsi="Book Antiqua"/>
          <w:lang w:val="es-PR" w:eastAsia="es-PR"/>
        </w:rPr>
      </w:pPr>
    </w:p>
    <w:p w14:paraId="7955066D" w14:textId="77777777" w:rsidR="00FF2214" w:rsidRPr="001E649E" w:rsidRDefault="00850770" w:rsidP="009D6908">
      <w:pPr>
        <w:spacing w:line="480" w:lineRule="auto"/>
        <w:jc w:val="both"/>
        <w:rPr>
          <w:rFonts w:ascii="Book Antiqua" w:eastAsia="Book Antiqua" w:hAnsi="Book Antiqua" w:cs="Book Antiqua"/>
          <w:i/>
          <w:color w:val="000000" w:themeColor="text1"/>
          <w:lang w:val="es-PR"/>
        </w:rPr>
        <w:sectPr w:rsidR="00FF2214" w:rsidRPr="001E649E">
          <w:headerReference w:type="default" r:id="rId8"/>
          <w:footerReference w:type="default" r:id="rId9"/>
          <w:headerReference w:type="first" r:id="rId10"/>
          <w:footerReference w:type="first" r:id="rId11"/>
          <w:pgSz w:w="12240" w:h="15840"/>
          <w:pgMar w:top="1440" w:right="1440" w:bottom="1440" w:left="1440" w:header="720" w:footer="720" w:gutter="0"/>
          <w:pgNumType w:start="1"/>
          <w:cols w:space="720"/>
          <w:titlePg/>
        </w:sectPr>
      </w:pPr>
      <w:r w:rsidRPr="001E649E">
        <w:rPr>
          <w:rFonts w:ascii="Book Antiqua" w:eastAsia="Book Antiqua" w:hAnsi="Book Antiqua" w:cs="Book Antiqua"/>
          <w:i/>
          <w:color w:val="000000" w:themeColor="text1"/>
          <w:lang w:val="es-PR"/>
        </w:rPr>
        <w:t>DECRÉTASE POR LA ASAMBLEA LEGISLATIVA DE PUERTO RICO:</w:t>
      </w:r>
    </w:p>
    <w:p w14:paraId="5CBF0AF1" w14:textId="77777777" w:rsidR="00D54537" w:rsidRPr="00157A8F" w:rsidRDefault="00D54537" w:rsidP="00D54537">
      <w:pPr>
        <w:spacing w:line="480" w:lineRule="auto"/>
        <w:ind w:firstLine="720"/>
        <w:jc w:val="both"/>
        <w:rPr>
          <w:rFonts w:ascii="Book Antiqua" w:hAnsi="Book Antiqua"/>
          <w:lang w:val="es-PR" w:eastAsia="es-PR"/>
        </w:rPr>
      </w:pPr>
      <w:bookmarkStart w:id="2" w:name="_Hlk206435502"/>
      <w:bookmarkStart w:id="3" w:name="_Hlk133500654"/>
      <w:r w:rsidRPr="00157A8F">
        <w:rPr>
          <w:rFonts w:ascii="Book Antiqua" w:hAnsi="Book Antiqua"/>
          <w:lang w:val="es-PR" w:eastAsia="es-PR"/>
        </w:rPr>
        <w:t>Sección 1.- Se enmienda el Artículo 1 de la Ley 130-2008, mejor conocida como “Ley para el Ofrecimiento de Pruebas Rápidas para la Detección del Virus de Inmunodeficiencia Humana”, para que lea como sigue:</w:t>
      </w:r>
    </w:p>
    <w:p w14:paraId="2813B93C" w14:textId="77777777" w:rsidR="00D54537" w:rsidRPr="00157A8F" w:rsidRDefault="00D54537" w:rsidP="00D54537">
      <w:pPr>
        <w:spacing w:line="480" w:lineRule="auto"/>
        <w:ind w:firstLine="720"/>
        <w:jc w:val="both"/>
        <w:rPr>
          <w:rFonts w:ascii="Book Antiqua" w:hAnsi="Book Antiqua"/>
          <w:i/>
          <w:iCs/>
          <w:lang w:val="es-PR" w:eastAsia="es-PR"/>
        </w:rPr>
      </w:pPr>
      <w:r w:rsidRPr="00157A8F">
        <w:rPr>
          <w:rFonts w:ascii="Book Antiqua" w:hAnsi="Book Antiqua"/>
          <w:lang w:val="es-PR" w:eastAsia="es-PR"/>
        </w:rPr>
        <w:t xml:space="preserve">“Artículo 1.- </w:t>
      </w:r>
      <w:r w:rsidRPr="00157A8F">
        <w:rPr>
          <w:rFonts w:ascii="Book Antiqua" w:hAnsi="Book Antiqua"/>
          <w:i/>
          <w:iCs/>
          <w:lang w:val="es-PR" w:eastAsia="es-PR"/>
        </w:rPr>
        <w:t>Título</w:t>
      </w:r>
    </w:p>
    <w:p w14:paraId="17B60C0A" w14:textId="77777777" w:rsidR="00D54537" w:rsidRPr="00157A8F" w:rsidRDefault="00D54537" w:rsidP="00D54537">
      <w:pPr>
        <w:spacing w:line="480" w:lineRule="auto"/>
        <w:ind w:firstLine="720"/>
        <w:jc w:val="both"/>
        <w:rPr>
          <w:rFonts w:ascii="Book Antiqua" w:hAnsi="Book Antiqua"/>
          <w:lang w:val="es-PR" w:eastAsia="es-PR"/>
        </w:rPr>
      </w:pPr>
      <w:r w:rsidRPr="00157A8F">
        <w:rPr>
          <w:rFonts w:ascii="Book Antiqua" w:hAnsi="Book Antiqua"/>
          <w:lang w:val="es-PR" w:eastAsia="es-PR"/>
        </w:rPr>
        <w:t>Esta Ley se conocerá como la “Ley para el Ofrecimiento de Pruebas Rápidas</w:t>
      </w:r>
      <w:r w:rsidRPr="00157A8F">
        <w:rPr>
          <w:rFonts w:ascii="Book Antiqua" w:hAnsi="Book Antiqua"/>
          <w:i/>
          <w:iCs/>
          <w:lang w:val="es-PR" w:eastAsia="es-PR"/>
        </w:rPr>
        <w:t xml:space="preserve"> Exentas</w:t>
      </w:r>
      <w:r w:rsidRPr="00157A8F">
        <w:rPr>
          <w:rFonts w:ascii="Book Antiqua" w:hAnsi="Book Antiqua"/>
          <w:lang w:val="es-PR" w:eastAsia="es-PR"/>
        </w:rPr>
        <w:t xml:space="preserve"> para </w:t>
      </w:r>
      <w:r w:rsidRPr="00157A8F">
        <w:rPr>
          <w:rFonts w:ascii="Book Antiqua" w:hAnsi="Book Antiqua"/>
          <w:b/>
          <w:bCs/>
          <w:lang w:val="es-PR" w:eastAsia="es-PR"/>
        </w:rPr>
        <w:t>[la Detección]</w:t>
      </w:r>
      <w:r w:rsidRPr="00157A8F">
        <w:rPr>
          <w:rFonts w:ascii="Book Antiqua" w:hAnsi="Book Antiqua"/>
          <w:lang w:val="es-PR" w:eastAsia="es-PR"/>
        </w:rPr>
        <w:t xml:space="preserve"> </w:t>
      </w:r>
      <w:r w:rsidRPr="00157A8F">
        <w:rPr>
          <w:rFonts w:ascii="Book Antiqua" w:hAnsi="Book Antiqua"/>
          <w:i/>
          <w:iCs/>
          <w:lang w:val="es-PR" w:eastAsia="es-PR"/>
        </w:rPr>
        <w:t xml:space="preserve">el </w:t>
      </w:r>
      <w:proofErr w:type="spellStart"/>
      <w:r w:rsidRPr="00157A8F">
        <w:rPr>
          <w:rFonts w:ascii="Book Antiqua" w:hAnsi="Book Antiqua"/>
          <w:i/>
          <w:iCs/>
          <w:lang w:val="es-PR" w:eastAsia="es-PR"/>
        </w:rPr>
        <w:t>Cernimiento</w:t>
      </w:r>
      <w:proofErr w:type="spellEnd"/>
      <w:r w:rsidRPr="00157A8F">
        <w:rPr>
          <w:rFonts w:ascii="Book Antiqua" w:hAnsi="Book Antiqua"/>
          <w:lang w:val="es-PR" w:eastAsia="es-PR"/>
        </w:rPr>
        <w:t xml:space="preserve"> del Virus de Inmunodeficiencia Humana</w:t>
      </w:r>
      <w:r w:rsidRPr="00157A8F">
        <w:rPr>
          <w:rFonts w:ascii="Book Antiqua" w:hAnsi="Book Antiqua"/>
          <w:i/>
          <w:iCs/>
          <w:lang w:val="es-PR" w:eastAsia="es-PR"/>
        </w:rPr>
        <w:t>, Infecciones de Transmisión Sexual y Hepatitis Virales</w:t>
      </w:r>
      <w:r w:rsidRPr="00157A8F">
        <w:rPr>
          <w:rFonts w:ascii="Book Antiqua" w:hAnsi="Book Antiqua"/>
          <w:lang w:val="es-PR" w:eastAsia="es-PR"/>
        </w:rPr>
        <w:t>”.”</w:t>
      </w:r>
    </w:p>
    <w:p w14:paraId="3DF89BEC" w14:textId="77777777" w:rsidR="00D54537" w:rsidRPr="00157A8F" w:rsidRDefault="00D54537" w:rsidP="00D54537">
      <w:pPr>
        <w:spacing w:line="480" w:lineRule="auto"/>
        <w:jc w:val="both"/>
        <w:rPr>
          <w:rFonts w:ascii="Book Antiqua" w:hAnsi="Book Antiqua"/>
          <w:lang w:val="es-PR" w:eastAsia="es-PR"/>
        </w:rPr>
      </w:pPr>
      <w:r w:rsidRPr="00157A8F">
        <w:rPr>
          <w:rFonts w:ascii="Book Antiqua" w:hAnsi="Book Antiqua"/>
          <w:lang w:val="es-PR" w:eastAsia="es-PR"/>
        </w:rPr>
        <w:lastRenderedPageBreak/>
        <w:tab/>
        <w:t>Sección 2.- Se enmienda el Artículo 2 de la Ley 130-2008, mejor conocida como “Ley para el Ofrecimiento de Pruebas Rápidas para la Detección del Virus de Inmunodeficiencia Humana”, para que lea como sigue:</w:t>
      </w:r>
    </w:p>
    <w:p w14:paraId="058280BC" w14:textId="77777777" w:rsidR="00D54537" w:rsidRPr="00157A8F" w:rsidRDefault="00D54537" w:rsidP="00D54537">
      <w:pPr>
        <w:spacing w:line="480" w:lineRule="auto"/>
        <w:jc w:val="both"/>
        <w:rPr>
          <w:rFonts w:ascii="Book Antiqua" w:hAnsi="Book Antiqua"/>
          <w:lang w:val="es-PR" w:eastAsia="es-PR"/>
        </w:rPr>
      </w:pPr>
      <w:r w:rsidRPr="00157A8F">
        <w:rPr>
          <w:rFonts w:ascii="Book Antiqua" w:hAnsi="Book Antiqua"/>
          <w:lang w:val="es-PR" w:eastAsia="es-PR"/>
        </w:rPr>
        <w:tab/>
        <w:t>“Artículo 2.- Política Pública</w:t>
      </w:r>
    </w:p>
    <w:p w14:paraId="7A915129" w14:textId="77777777" w:rsidR="00D54537" w:rsidRPr="00157A8F" w:rsidRDefault="00D54537" w:rsidP="00D54537">
      <w:pPr>
        <w:spacing w:line="480" w:lineRule="auto"/>
        <w:ind w:firstLine="720"/>
        <w:jc w:val="both"/>
        <w:rPr>
          <w:rFonts w:ascii="Book Antiqua" w:hAnsi="Book Antiqua"/>
          <w:lang w:val="es-PR" w:eastAsia="es-PR"/>
        </w:rPr>
      </w:pPr>
      <w:r w:rsidRPr="00157A8F">
        <w:rPr>
          <w:rFonts w:ascii="Book Antiqua" w:hAnsi="Book Antiqua"/>
          <w:lang w:val="es-PR" w:eastAsia="es-PR"/>
        </w:rPr>
        <w:t xml:space="preserve">Es la Política Pública del </w:t>
      </w:r>
      <w:r w:rsidRPr="00157A8F">
        <w:rPr>
          <w:rFonts w:ascii="Book Antiqua" w:hAnsi="Book Antiqua"/>
          <w:b/>
          <w:bCs/>
          <w:lang w:val="es-PR" w:eastAsia="es-PR"/>
        </w:rPr>
        <w:t>[Estado Libre Asociado]</w:t>
      </w:r>
      <w:r w:rsidRPr="00157A8F">
        <w:rPr>
          <w:rFonts w:ascii="Book Antiqua" w:hAnsi="Book Antiqua"/>
          <w:lang w:val="es-PR" w:eastAsia="es-PR"/>
        </w:rPr>
        <w:t xml:space="preserve"> </w:t>
      </w:r>
      <w:r w:rsidRPr="00157A8F">
        <w:rPr>
          <w:rFonts w:ascii="Book Antiqua" w:hAnsi="Book Antiqua"/>
          <w:i/>
          <w:iCs/>
          <w:lang w:val="es-PR" w:eastAsia="es-PR"/>
        </w:rPr>
        <w:t>del Gobierno de Puerto Rico</w:t>
      </w:r>
      <w:r w:rsidRPr="00157A8F">
        <w:rPr>
          <w:rFonts w:ascii="Book Antiqua" w:hAnsi="Book Antiqua"/>
          <w:lang w:val="es-PR" w:eastAsia="es-PR"/>
        </w:rPr>
        <w:t xml:space="preserve"> que el mayor número posible de personas puedan realizarse la</w:t>
      </w:r>
      <w:r w:rsidRPr="00157A8F">
        <w:rPr>
          <w:rFonts w:ascii="Book Antiqua" w:hAnsi="Book Antiqua"/>
          <w:i/>
          <w:iCs/>
          <w:lang w:val="es-PR" w:eastAsia="es-PR"/>
        </w:rPr>
        <w:t>s</w:t>
      </w:r>
      <w:r w:rsidRPr="00157A8F">
        <w:rPr>
          <w:rFonts w:ascii="Book Antiqua" w:hAnsi="Book Antiqua"/>
          <w:lang w:val="es-PR" w:eastAsia="es-PR"/>
        </w:rPr>
        <w:t xml:space="preserve"> prueba</w:t>
      </w:r>
      <w:r w:rsidRPr="00157A8F">
        <w:rPr>
          <w:rFonts w:ascii="Book Antiqua" w:hAnsi="Book Antiqua"/>
          <w:i/>
          <w:iCs/>
          <w:lang w:val="es-PR" w:eastAsia="es-PR"/>
        </w:rPr>
        <w:t>s rápidas exentas</w:t>
      </w:r>
      <w:r w:rsidRPr="00157A8F">
        <w:rPr>
          <w:rFonts w:ascii="Book Antiqua" w:hAnsi="Book Antiqua"/>
          <w:lang w:val="es-PR" w:eastAsia="es-PR"/>
        </w:rPr>
        <w:t xml:space="preserve"> para detectar el Virus de Inmunodeficiencia Humana, </w:t>
      </w:r>
      <w:r w:rsidRPr="00157A8F">
        <w:rPr>
          <w:rFonts w:ascii="Book Antiqua" w:hAnsi="Book Antiqua"/>
          <w:i/>
          <w:iCs/>
          <w:lang w:val="es-PR" w:eastAsia="es-PR"/>
        </w:rPr>
        <w:t xml:space="preserve">Infecciones de Transmisión Sexual y Hepatitis Virales </w:t>
      </w:r>
      <w:r w:rsidRPr="00157A8F">
        <w:rPr>
          <w:rFonts w:ascii="Book Antiqua" w:hAnsi="Book Antiqua"/>
          <w:lang w:val="es-PR" w:eastAsia="es-PR"/>
        </w:rPr>
        <w:t xml:space="preserve">de una manera segura, expedita y gratuita. </w:t>
      </w:r>
    </w:p>
    <w:p w14:paraId="33E379D2" w14:textId="77777777" w:rsidR="00D54537" w:rsidRPr="00157A8F" w:rsidRDefault="00D54537" w:rsidP="00D54537">
      <w:pPr>
        <w:spacing w:line="480" w:lineRule="auto"/>
        <w:ind w:firstLine="720"/>
        <w:jc w:val="both"/>
        <w:rPr>
          <w:rFonts w:ascii="Book Antiqua" w:hAnsi="Book Antiqua"/>
          <w:lang w:val="es-PR" w:eastAsia="es-PR"/>
        </w:rPr>
      </w:pPr>
      <w:r w:rsidRPr="00157A8F">
        <w:rPr>
          <w:rFonts w:ascii="Book Antiqua" w:hAnsi="Book Antiqua"/>
          <w:lang w:val="es-PR" w:eastAsia="es-PR"/>
        </w:rPr>
        <w:t xml:space="preserve">Para ello, se permitirá que las organizaciones de base comunitaria y las instituciones de salud pública, a través de personas debidamente autorizadas, administren Pruebas Rápidas </w:t>
      </w:r>
      <w:r w:rsidRPr="00157A8F">
        <w:rPr>
          <w:rFonts w:ascii="Book Antiqua" w:hAnsi="Book Antiqua"/>
          <w:i/>
          <w:iCs/>
          <w:lang w:val="es-PR" w:eastAsia="es-PR"/>
        </w:rPr>
        <w:t xml:space="preserve">Exentas </w:t>
      </w:r>
      <w:r w:rsidRPr="00157A8F">
        <w:rPr>
          <w:rFonts w:ascii="Book Antiqua" w:hAnsi="Book Antiqua"/>
          <w:lang w:val="es-PR" w:eastAsia="es-PR"/>
        </w:rPr>
        <w:t xml:space="preserve">para </w:t>
      </w:r>
      <w:r w:rsidRPr="00157A8F">
        <w:rPr>
          <w:rFonts w:ascii="Book Antiqua" w:hAnsi="Book Antiqua"/>
          <w:b/>
          <w:bCs/>
          <w:lang w:val="es-PR" w:eastAsia="es-PR"/>
        </w:rPr>
        <w:t>[la Detección]</w:t>
      </w:r>
      <w:r w:rsidRPr="00157A8F">
        <w:rPr>
          <w:rFonts w:ascii="Book Antiqua" w:hAnsi="Book Antiqua"/>
          <w:i/>
          <w:iCs/>
          <w:lang w:val="es-PR" w:eastAsia="es-PR"/>
        </w:rPr>
        <w:t xml:space="preserve"> el </w:t>
      </w:r>
      <w:proofErr w:type="spellStart"/>
      <w:r w:rsidRPr="00157A8F">
        <w:rPr>
          <w:rFonts w:ascii="Book Antiqua" w:hAnsi="Book Antiqua"/>
          <w:i/>
          <w:iCs/>
          <w:lang w:val="es-PR" w:eastAsia="es-PR"/>
        </w:rPr>
        <w:t>Cernimiento</w:t>
      </w:r>
      <w:proofErr w:type="spellEnd"/>
      <w:r w:rsidRPr="00157A8F">
        <w:rPr>
          <w:rFonts w:ascii="Book Antiqua" w:hAnsi="Book Antiqua"/>
          <w:lang w:val="es-PR" w:eastAsia="es-PR"/>
        </w:rPr>
        <w:t xml:space="preserve"> del VIH, </w:t>
      </w:r>
      <w:r w:rsidRPr="00157A8F">
        <w:rPr>
          <w:rFonts w:ascii="Book Antiqua" w:hAnsi="Book Antiqua"/>
          <w:i/>
          <w:iCs/>
          <w:lang w:val="es-PR" w:eastAsia="es-PR"/>
        </w:rPr>
        <w:t>Infecciones de Transmisión Sexual y Hepatitis Virales</w:t>
      </w:r>
      <w:r w:rsidRPr="00157A8F">
        <w:rPr>
          <w:rFonts w:ascii="Book Antiqua" w:hAnsi="Book Antiqua"/>
          <w:lang w:val="es-PR" w:eastAsia="es-PR"/>
        </w:rPr>
        <w:t xml:space="preserve"> sin la necesidad de contar con un tecnólogo médico, siempre y cuando las personas que toman las muestras y administran la prueba cumplan con las disposiciones de esta Ley y del reglamento que a su amparo se apruebe, y las Pruebas sean ofrecidas sin costo alguno para las personas que se la hagan.”</w:t>
      </w:r>
    </w:p>
    <w:p w14:paraId="38C544BB" w14:textId="050E1853" w:rsidR="00D54537" w:rsidRPr="00157A8F" w:rsidRDefault="00D54537" w:rsidP="00D54537">
      <w:pPr>
        <w:spacing w:line="480" w:lineRule="auto"/>
        <w:jc w:val="both"/>
        <w:rPr>
          <w:rFonts w:ascii="Book Antiqua" w:hAnsi="Book Antiqua"/>
          <w:lang w:val="es-PR" w:eastAsia="es-PR"/>
        </w:rPr>
      </w:pPr>
      <w:r w:rsidRPr="00157A8F">
        <w:rPr>
          <w:rFonts w:ascii="Book Antiqua" w:hAnsi="Book Antiqua"/>
          <w:lang w:val="es-PR" w:eastAsia="es-PR"/>
        </w:rPr>
        <w:tab/>
        <w:t xml:space="preserve">Sección 3.- Se enmienda el Artículo 3 de la Ley 130-2008, mejor conocida como “Ley para el Ofrecimiento de Pruebas Rápidas para la Detección del Virus de Inmunodeficiencia Humana”, para que </w:t>
      </w:r>
      <w:r>
        <w:rPr>
          <w:rFonts w:ascii="Book Antiqua" w:hAnsi="Book Antiqua"/>
          <w:lang w:val="es-PR" w:eastAsia="es-PR"/>
        </w:rPr>
        <w:t xml:space="preserve">se </w:t>
      </w:r>
      <w:r w:rsidRPr="00157A8F">
        <w:rPr>
          <w:rFonts w:ascii="Book Antiqua" w:hAnsi="Book Antiqua"/>
          <w:lang w:val="es-PR" w:eastAsia="es-PR"/>
        </w:rPr>
        <w:t>lea como sigue:</w:t>
      </w:r>
    </w:p>
    <w:p w14:paraId="02EA92CD" w14:textId="77777777" w:rsidR="00D54537" w:rsidRPr="00157A8F" w:rsidRDefault="00D54537" w:rsidP="00D54537">
      <w:pPr>
        <w:spacing w:line="480" w:lineRule="auto"/>
        <w:jc w:val="both"/>
        <w:rPr>
          <w:rFonts w:ascii="Book Antiqua" w:hAnsi="Book Antiqua"/>
          <w:lang w:val="es-PR" w:eastAsia="es-PR"/>
        </w:rPr>
      </w:pPr>
      <w:r w:rsidRPr="00157A8F">
        <w:rPr>
          <w:rFonts w:ascii="Book Antiqua" w:hAnsi="Book Antiqua"/>
          <w:lang w:val="es-PR" w:eastAsia="es-PR"/>
        </w:rPr>
        <w:tab/>
        <w:t>“Artículo 3.- Definiciones</w:t>
      </w:r>
    </w:p>
    <w:p w14:paraId="7C0E8648" w14:textId="77777777" w:rsidR="00D54537" w:rsidRPr="00157A8F" w:rsidRDefault="00D54537" w:rsidP="00D54537">
      <w:pPr>
        <w:spacing w:line="480" w:lineRule="auto"/>
        <w:ind w:firstLine="720"/>
        <w:jc w:val="both"/>
        <w:rPr>
          <w:rFonts w:ascii="Book Antiqua" w:hAnsi="Book Antiqua"/>
          <w:lang w:val="es-PR" w:eastAsia="es-PR"/>
        </w:rPr>
      </w:pPr>
      <w:r w:rsidRPr="00157A8F">
        <w:rPr>
          <w:rFonts w:ascii="Book Antiqua" w:hAnsi="Book Antiqua"/>
          <w:lang w:val="es-PR" w:eastAsia="es-PR"/>
        </w:rPr>
        <w:lastRenderedPageBreak/>
        <w:t>Para propósitos de esta Ley, los siguientes términos tendrán el significado que a continuación se expresa:</w:t>
      </w:r>
    </w:p>
    <w:p w14:paraId="544260C2" w14:textId="77777777" w:rsidR="00D54537" w:rsidRPr="00157A8F" w:rsidRDefault="00D54537" w:rsidP="00D54537">
      <w:pPr>
        <w:pStyle w:val="ListParagraph"/>
        <w:numPr>
          <w:ilvl w:val="0"/>
          <w:numId w:val="23"/>
        </w:numPr>
        <w:spacing w:line="480" w:lineRule="auto"/>
        <w:jc w:val="both"/>
        <w:rPr>
          <w:rFonts w:ascii="Book Antiqua" w:hAnsi="Book Antiqua"/>
          <w:lang w:val="es-PR" w:eastAsia="es-PR"/>
        </w:rPr>
      </w:pPr>
      <w:r w:rsidRPr="00157A8F">
        <w:rPr>
          <w:rFonts w:ascii="Book Antiqua" w:hAnsi="Book Antiqua"/>
          <w:lang w:val="es-PR" w:eastAsia="es-PR"/>
        </w:rPr>
        <w:t>…</w:t>
      </w:r>
    </w:p>
    <w:p w14:paraId="1186D2EA" w14:textId="77777777" w:rsidR="00D54537" w:rsidRPr="00157A8F" w:rsidRDefault="00D54537" w:rsidP="00D54537">
      <w:pPr>
        <w:spacing w:line="480" w:lineRule="auto"/>
        <w:ind w:left="1080"/>
        <w:jc w:val="both"/>
        <w:rPr>
          <w:rFonts w:ascii="Book Antiqua" w:hAnsi="Book Antiqua"/>
          <w:lang w:val="es-PR" w:eastAsia="es-PR"/>
        </w:rPr>
      </w:pPr>
      <w:r w:rsidRPr="00157A8F">
        <w:rPr>
          <w:rFonts w:ascii="Book Antiqua" w:hAnsi="Book Antiqua"/>
          <w:lang w:val="es-PR" w:eastAsia="es-PR"/>
        </w:rPr>
        <w:t>…</w:t>
      </w:r>
    </w:p>
    <w:p w14:paraId="7C5605B7" w14:textId="77777777" w:rsidR="00D54537" w:rsidRPr="00157A8F" w:rsidRDefault="00D54537" w:rsidP="00D54537">
      <w:pPr>
        <w:spacing w:line="480" w:lineRule="auto"/>
        <w:ind w:left="1080"/>
        <w:jc w:val="both"/>
        <w:rPr>
          <w:rFonts w:ascii="Book Antiqua" w:hAnsi="Book Antiqua"/>
          <w:i/>
          <w:iCs/>
          <w:lang w:val="es-PR" w:eastAsia="es-PR"/>
        </w:rPr>
      </w:pPr>
      <w:r w:rsidRPr="00157A8F">
        <w:rPr>
          <w:rFonts w:ascii="Book Antiqua" w:hAnsi="Book Antiqua"/>
          <w:i/>
          <w:iCs/>
          <w:lang w:val="es-PR" w:eastAsia="es-PR"/>
        </w:rPr>
        <w:t>d) HV – Hepatitis Virales</w:t>
      </w:r>
    </w:p>
    <w:p w14:paraId="0B262BDA" w14:textId="77777777" w:rsidR="00D54537" w:rsidRPr="00157A8F" w:rsidRDefault="00D54537" w:rsidP="00D54537">
      <w:pPr>
        <w:spacing w:line="480" w:lineRule="auto"/>
        <w:ind w:left="1080"/>
        <w:jc w:val="both"/>
        <w:rPr>
          <w:rFonts w:ascii="Book Antiqua" w:hAnsi="Book Antiqua"/>
          <w:i/>
          <w:iCs/>
          <w:lang w:val="es-PR" w:eastAsia="es-PR"/>
        </w:rPr>
      </w:pPr>
      <w:r w:rsidRPr="00157A8F">
        <w:rPr>
          <w:rFonts w:ascii="Book Antiqua" w:hAnsi="Book Antiqua"/>
          <w:i/>
          <w:iCs/>
          <w:lang w:val="es-PR" w:eastAsia="es-PR"/>
        </w:rPr>
        <w:t>e) ITS – Infecciones de Transmisión Sexual</w:t>
      </w:r>
    </w:p>
    <w:p w14:paraId="526D131A" w14:textId="77777777" w:rsidR="00D54537" w:rsidRPr="00157A8F" w:rsidRDefault="00D54537" w:rsidP="00D54537">
      <w:pPr>
        <w:pStyle w:val="ListParagraph"/>
        <w:tabs>
          <w:tab w:val="left" w:pos="270"/>
          <w:tab w:val="left" w:pos="540"/>
          <w:tab w:val="left" w:pos="720"/>
          <w:tab w:val="left" w:pos="1420"/>
          <w:tab w:val="left" w:pos="1421"/>
        </w:tabs>
        <w:spacing w:line="480" w:lineRule="auto"/>
        <w:ind w:left="1080"/>
        <w:jc w:val="both"/>
        <w:rPr>
          <w:rFonts w:ascii="Book Antiqua" w:hAnsi="Book Antiqua"/>
          <w:i/>
          <w:iCs/>
          <w:lang w:val="es-PR"/>
        </w:rPr>
      </w:pPr>
      <w:r w:rsidRPr="00157A8F">
        <w:rPr>
          <w:rFonts w:ascii="Book Antiqua" w:hAnsi="Book Antiqua"/>
          <w:i/>
          <w:iCs/>
          <w:lang w:val="es-PR" w:eastAsia="es-PR"/>
        </w:rPr>
        <w:t>f) Muestra capilar</w:t>
      </w:r>
      <w:r w:rsidRPr="00157A8F">
        <w:rPr>
          <w:rFonts w:ascii="Book Antiqua" w:hAnsi="Book Antiqua"/>
          <w:i/>
          <w:iCs/>
          <w:lang w:val="es-PR"/>
        </w:rPr>
        <w:t xml:space="preserve"> – es una pequeña cantidad de sangre recolectada a través de un pinchazo en la piel, generalmente en un dedo (punción capilar)</w:t>
      </w:r>
      <w:r w:rsidRPr="00157A8F">
        <w:rPr>
          <w:rFonts w:ascii="Book Antiqua" w:hAnsi="Book Antiqua"/>
          <w:lang w:val="es-PR"/>
        </w:rPr>
        <w:t xml:space="preserve"> </w:t>
      </w:r>
      <w:r w:rsidRPr="00157A8F">
        <w:rPr>
          <w:rFonts w:ascii="Book Antiqua" w:hAnsi="Book Antiqua"/>
          <w:i/>
          <w:iCs/>
          <w:lang w:val="es-PR"/>
        </w:rPr>
        <w:t>para realizar la prueba rápida para la detección del Virus de Inmunodeficiencia Humana, Infecciones de Transmisión Sexual y Hepatitis Virales.</w:t>
      </w:r>
    </w:p>
    <w:p w14:paraId="3D829C2B" w14:textId="77777777" w:rsidR="00D54537" w:rsidRPr="00157A8F" w:rsidRDefault="00D54537" w:rsidP="00D54537">
      <w:pPr>
        <w:pStyle w:val="ListParagraph"/>
        <w:tabs>
          <w:tab w:val="left" w:pos="270"/>
          <w:tab w:val="left" w:pos="540"/>
          <w:tab w:val="left" w:pos="720"/>
          <w:tab w:val="left" w:pos="1420"/>
          <w:tab w:val="left" w:pos="1421"/>
        </w:tabs>
        <w:spacing w:line="480" w:lineRule="auto"/>
        <w:ind w:left="1080"/>
        <w:jc w:val="both"/>
        <w:rPr>
          <w:rFonts w:ascii="Book Antiqua" w:hAnsi="Book Antiqua"/>
          <w:lang w:val="es-PR"/>
        </w:rPr>
      </w:pPr>
      <w:r w:rsidRPr="00157A8F">
        <w:rPr>
          <w:rFonts w:ascii="Book Antiqua" w:hAnsi="Book Antiqua"/>
          <w:b/>
          <w:bCs/>
          <w:lang w:val="es-PR"/>
        </w:rPr>
        <w:t>[d]</w:t>
      </w:r>
      <w:r w:rsidRPr="00157A8F">
        <w:rPr>
          <w:rFonts w:ascii="Book Antiqua" w:hAnsi="Book Antiqua"/>
          <w:lang w:val="es-PR"/>
        </w:rPr>
        <w:t xml:space="preserve"> </w:t>
      </w:r>
      <w:r w:rsidRPr="00157A8F">
        <w:rPr>
          <w:rFonts w:ascii="Book Antiqua" w:hAnsi="Book Antiqua"/>
          <w:i/>
          <w:iCs/>
          <w:lang w:val="es-PR"/>
        </w:rPr>
        <w:t>g</w:t>
      </w:r>
      <w:r w:rsidRPr="00157A8F">
        <w:rPr>
          <w:rFonts w:ascii="Book Antiqua" w:hAnsi="Book Antiqua"/>
          <w:lang w:val="es-PR"/>
        </w:rPr>
        <w:t xml:space="preserve">) Muestra oral – Muestra de fluidos orales </w:t>
      </w:r>
      <w:r w:rsidRPr="00157A8F">
        <w:rPr>
          <w:rFonts w:ascii="Book Antiqua" w:hAnsi="Book Antiqua"/>
          <w:b/>
          <w:bCs/>
          <w:lang w:val="es-PR"/>
        </w:rPr>
        <w:t>[necesaria]</w:t>
      </w:r>
      <w:r w:rsidRPr="00157A8F">
        <w:rPr>
          <w:rFonts w:ascii="Book Antiqua" w:hAnsi="Book Antiqua"/>
          <w:lang w:val="es-PR"/>
        </w:rPr>
        <w:t xml:space="preserve"> </w:t>
      </w:r>
      <w:r w:rsidRPr="00157A8F">
        <w:rPr>
          <w:rFonts w:ascii="Book Antiqua" w:hAnsi="Book Antiqua"/>
          <w:i/>
          <w:iCs/>
          <w:lang w:val="es-PR"/>
        </w:rPr>
        <w:t xml:space="preserve">mediante una técnica no invasiva para obtener células del interior de la boca, generalmente de las mejillas, para su análisis utilizada </w:t>
      </w:r>
      <w:r w:rsidRPr="00157A8F">
        <w:rPr>
          <w:rFonts w:ascii="Book Antiqua" w:hAnsi="Book Antiqua"/>
          <w:lang w:val="es-PR"/>
        </w:rPr>
        <w:t>para realizar la prueba rápida para la detección del Virus de Inmunodeficiencia Humana</w:t>
      </w:r>
      <w:r w:rsidRPr="00157A8F">
        <w:rPr>
          <w:rFonts w:ascii="Book Antiqua" w:hAnsi="Book Antiqua"/>
          <w:i/>
          <w:iCs/>
          <w:lang w:val="es-PR"/>
        </w:rPr>
        <w:t>, Infecciones de Transmisión Sexual y Hepatitis Virales</w:t>
      </w:r>
      <w:r w:rsidRPr="00157A8F">
        <w:rPr>
          <w:rFonts w:ascii="Book Antiqua" w:hAnsi="Book Antiqua"/>
          <w:lang w:val="es-PR"/>
        </w:rPr>
        <w:t>.</w:t>
      </w:r>
    </w:p>
    <w:p w14:paraId="56AE01A6" w14:textId="77777777" w:rsidR="00D54537" w:rsidRPr="00157A8F" w:rsidRDefault="00D54537" w:rsidP="00D54537">
      <w:pPr>
        <w:spacing w:line="480" w:lineRule="auto"/>
        <w:ind w:left="1080"/>
        <w:jc w:val="both"/>
        <w:rPr>
          <w:rFonts w:ascii="Book Antiqua" w:hAnsi="Book Antiqua"/>
          <w:lang w:val="es-PR" w:eastAsia="es-PR"/>
        </w:rPr>
      </w:pPr>
      <w:r w:rsidRPr="00157A8F">
        <w:rPr>
          <w:rFonts w:ascii="Book Antiqua" w:hAnsi="Book Antiqua"/>
          <w:b/>
          <w:bCs/>
          <w:lang w:val="es-PR" w:eastAsia="es-PR"/>
        </w:rPr>
        <w:t xml:space="preserve">[e] </w:t>
      </w:r>
      <w:r w:rsidRPr="00157A8F">
        <w:rPr>
          <w:rFonts w:ascii="Book Antiqua" w:hAnsi="Book Antiqua"/>
          <w:i/>
          <w:iCs/>
          <w:lang w:val="es-PR" w:eastAsia="es-PR"/>
        </w:rPr>
        <w:t>h</w:t>
      </w:r>
      <w:r w:rsidRPr="00157A8F">
        <w:rPr>
          <w:rFonts w:ascii="Book Antiqua" w:hAnsi="Book Antiqua"/>
          <w:lang w:val="es-PR" w:eastAsia="es-PR"/>
        </w:rPr>
        <w:t xml:space="preserve">) Permiso especial – Permiso otorgado por el Departamento de Salud del </w:t>
      </w:r>
      <w:r w:rsidRPr="00157A8F">
        <w:rPr>
          <w:rFonts w:ascii="Book Antiqua" w:hAnsi="Book Antiqua"/>
          <w:b/>
          <w:bCs/>
          <w:lang w:val="es-PR" w:eastAsia="es-PR"/>
        </w:rPr>
        <w:t>[Estado Libre Asociado]</w:t>
      </w:r>
      <w:r w:rsidRPr="00157A8F">
        <w:rPr>
          <w:rFonts w:ascii="Book Antiqua" w:hAnsi="Book Antiqua"/>
          <w:lang w:val="es-PR" w:eastAsia="es-PR"/>
        </w:rPr>
        <w:t xml:space="preserve"> </w:t>
      </w:r>
      <w:r w:rsidRPr="00157A8F">
        <w:rPr>
          <w:rFonts w:ascii="Book Antiqua" w:hAnsi="Book Antiqua"/>
          <w:i/>
          <w:iCs/>
          <w:lang w:val="es-PR" w:eastAsia="es-PR"/>
        </w:rPr>
        <w:t>Gobierno</w:t>
      </w:r>
      <w:r w:rsidRPr="00157A8F">
        <w:rPr>
          <w:rFonts w:ascii="Book Antiqua" w:hAnsi="Book Antiqua"/>
          <w:lang w:val="es-PR" w:eastAsia="es-PR"/>
        </w:rPr>
        <w:t xml:space="preserve"> de Puerto Rico, a tenor con los requisitos dispuestos por esta Ley, para tomar la muestra de fluidos orales necesaria para realizar la prueba rápida </w:t>
      </w:r>
      <w:r w:rsidRPr="00157A8F">
        <w:rPr>
          <w:rFonts w:ascii="Book Antiqua" w:hAnsi="Book Antiqua"/>
          <w:i/>
          <w:iCs/>
          <w:lang w:val="es-PR" w:eastAsia="es-PR"/>
        </w:rPr>
        <w:t xml:space="preserve">exenta </w:t>
      </w:r>
      <w:r w:rsidRPr="00157A8F">
        <w:rPr>
          <w:rFonts w:ascii="Book Antiqua" w:hAnsi="Book Antiqua"/>
          <w:lang w:val="es-PR" w:eastAsia="es-PR"/>
        </w:rPr>
        <w:t xml:space="preserve">para </w:t>
      </w:r>
      <w:r w:rsidRPr="00157A8F">
        <w:rPr>
          <w:rFonts w:ascii="Book Antiqua" w:hAnsi="Book Antiqua"/>
          <w:b/>
          <w:bCs/>
          <w:lang w:val="es-PR" w:eastAsia="es-PR"/>
        </w:rPr>
        <w:t>[la detección]</w:t>
      </w:r>
      <w:r w:rsidRPr="00157A8F">
        <w:rPr>
          <w:rFonts w:ascii="Book Antiqua" w:hAnsi="Book Antiqua"/>
          <w:lang w:val="es-PR" w:eastAsia="es-PR"/>
        </w:rPr>
        <w:t xml:space="preserve"> </w:t>
      </w:r>
      <w:r w:rsidRPr="00157A8F">
        <w:rPr>
          <w:rFonts w:ascii="Book Antiqua" w:hAnsi="Book Antiqua"/>
          <w:i/>
          <w:iCs/>
          <w:lang w:val="es-PR" w:eastAsia="es-PR"/>
        </w:rPr>
        <w:t xml:space="preserve">el </w:t>
      </w:r>
      <w:proofErr w:type="spellStart"/>
      <w:r w:rsidRPr="00157A8F">
        <w:rPr>
          <w:rFonts w:ascii="Book Antiqua" w:hAnsi="Book Antiqua"/>
          <w:i/>
          <w:iCs/>
          <w:lang w:val="es-PR" w:eastAsia="es-PR"/>
        </w:rPr>
        <w:t>cernimiento</w:t>
      </w:r>
      <w:proofErr w:type="spellEnd"/>
      <w:r w:rsidRPr="00157A8F">
        <w:rPr>
          <w:rFonts w:ascii="Book Antiqua" w:hAnsi="Book Antiqua"/>
          <w:lang w:val="es-PR" w:eastAsia="es-PR"/>
        </w:rPr>
        <w:t xml:space="preserve"> del Virus de Inmunodeficiencia Humana</w:t>
      </w:r>
      <w:r w:rsidRPr="00157A8F">
        <w:rPr>
          <w:rFonts w:ascii="Book Antiqua" w:hAnsi="Book Antiqua"/>
          <w:i/>
          <w:iCs/>
          <w:lang w:val="es-PR" w:eastAsia="es-PR"/>
        </w:rPr>
        <w:t>, Infecciones de Transmisión Sexual y Hepatitis Virales</w:t>
      </w:r>
      <w:r w:rsidRPr="00157A8F">
        <w:rPr>
          <w:rFonts w:ascii="Book Antiqua" w:hAnsi="Book Antiqua"/>
          <w:lang w:val="es-PR" w:eastAsia="es-PR"/>
        </w:rPr>
        <w:t>.</w:t>
      </w:r>
    </w:p>
    <w:p w14:paraId="6C8229F3" w14:textId="77777777" w:rsidR="00D54537" w:rsidRPr="00157A8F" w:rsidRDefault="00D54537" w:rsidP="00D54537">
      <w:pPr>
        <w:spacing w:line="480" w:lineRule="auto"/>
        <w:ind w:left="1080"/>
        <w:jc w:val="both"/>
        <w:rPr>
          <w:rFonts w:ascii="Book Antiqua" w:hAnsi="Book Antiqua"/>
          <w:lang w:val="es-PR" w:eastAsia="es-PR"/>
        </w:rPr>
      </w:pPr>
      <w:r w:rsidRPr="00157A8F">
        <w:rPr>
          <w:rFonts w:ascii="Book Antiqua" w:hAnsi="Book Antiqua"/>
          <w:lang w:val="es-PR" w:eastAsia="es-PR"/>
        </w:rPr>
        <w:t xml:space="preserve">[f] </w:t>
      </w:r>
      <w:r w:rsidRPr="00157A8F">
        <w:rPr>
          <w:rFonts w:ascii="Book Antiqua" w:hAnsi="Book Antiqua"/>
          <w:i/>
          <w:iCs/>
          <w:lang w:val="es-PR" w:eastAsia="es-PR"/>
        </w:rPr>
        <w:t>i</w:t>
      </w:r>
      <w:r w:rsidRPr="00157A8F">
        <w:rPr>
          <w:rFonts w:ascii="Book Antiqua" w:hAnsi="Book Antiqua"/>
          <w:lang w:val="es-PR" w:eastAsia="es-PR"/>
        </w:rPr>
        <w:t xml:space="preserve">) Persona autorizada a tomar la muestra – Toda persona que tenga </w:t>
      </w:r>
      <w:r w:rsidRPr="00157A8F">
        <w:rPr>
          <w:rFonts w:ascii="Book Antiqua" w:hAnsi="Book Antiqua"/>
          <w:b/>
          <w:bCs/>
          <w:lang w:val="es-PR" w:eastAsia="es-PR"/>
        </w:rPr>
        <w:t>[el permiso especial]</w:t>
      </w:r>
      <w:r w:rsidRPr="00157A8F">
        <w:rPr>
          <w:rFonts w:ascii="Book Antiqua" w:hAnsi="Book Antiqua"/>
          <w:lang w:val="es-PR" w:eastAsia="es-PR"/>
        </w:rPr>
        <w:t xml:space="preserve"> </w:t>
      </w:r>
      <w:r w:rsidRPr="00157A8F">
        <w:rPr>
          <w:rFonts w:ascii="Book Antiqua" w:hAnsi="Book Antiqua"/>
          <w:i/>
          <w:iCs/>
          <w:lang w:val="es-PR" w:eastAsia="es-PR"/>
        </w:rPr>
        <w:t>la Certificación de Técnico de Prueba Rápida Exenta</w:t>
      </w:r>
      <w:r w:rsidRPr="00157A8F">
        <w:rPr>
          <w:rFonts w:ascii="Book Antiqua" w:hAnsi="Book Antiqua"/>
          <w:lang w:val="es-PR" w:eastAsia="es-PR"/>
        </w:rPr>
        <w:t xml:space="preserve"> para tomar </w:t>
      </w:r>
      <w:r w:rsidRPr="00157A8F">
        <w:rPr>
          <w:rFonts w:ascii="Book Antiqua" w:hAnsi="Book Antiqua"/>
          <w:lang w:val="es-PR" w:eastAsia="es-PR"/>
        </w:rPr>
        <w:lastRenderedPageBreak/>
        <w:t xml:space="preserve">la muestra </w:t>
      </w:r>
      <w:r w:rsidRPr="00157A8F">
        <w:rPr>
          <w:rFonts w:ascii="Book Antiqua" w:hAnsi="Book Antiqua"/>
          <w:b/>
          <w:bCs/>
          <w:lang w:val="es-PR" w:eastAsia="es-PR"/>
        </w:rPr>
        <w:t>[de fluidos orales]</w:t>
      </w:r>
      <w:r w:rsidRPr="00157A8F">
        <w:rPr>
          <w:rFonts w:ascii="Book Antiqua" w:hAnsi="Book Antiqua"/>
          <w:lang w:val="es-PR" w:eastAsia="es-PR"/>
        </w:rPr>
        <w:t xml:space="preserve"> necesaria para realizar la prueba rápida del Virus de Inmunodeficiencia Humana</w:t>
      </w:r>
      <w:r w:rsidRPr="00157A8F">
        <w:rPr>
          <w:rFonts w:ascii="Book Antiqua" w:hAnsi="Book Antiqua"/>
          <w:i/>
          <w:iCs/>
          <w:lang w:val="es-PR" w:eastAsia="es-PR"/>
        </w:rPr>
        <w:t>, Infecciones de Transmisión Sexual y Hepatitis Virales</w:t>
      </w:r>
      <w:r w:rsidRPr="00157A8F">
        <w:rPr>
          <w:rFonts w:ascii="Book Antiqua" w:hAnsi="Book Antiqua"/>
          <w:lang w:val="es-PR" w:eastAsia="es-PR"/>
        </w:rPr>
        <w:t>.</w:t>
      </w:r>
    </w:p>
    <w:p w14:paraId="589037A7" w14:textId="77777777" w:rsidR="00D54537" w:rsidRPr="00157A8F" w:rsidRDefault="00D54537" w:rsidP="00D54537">
      <w:pPr>
        <w:spacing w:line="480" w:lineRule="auto"/>
        <w:ind w:left="1080"/>
        <w:jc w:val="both"/>
        <w:rPr>
          <w:rFonts w:ascii="Book Antiqua" w:hAnsi="Book Antiqua"/>
          <w:lang w:val="es-PR" w:eastAsia="es-PR"/>
        </w:rPr>
      </w:pPr>
      <w:r w:rsidRPr="00157A8F">
        <w:rPr>
          <w:rFonts w:ascii="Book Antiqua" w:hAnsi="Book Antiqua"/>
          <w:b/>
          <w:bCs/>
          <w:lang w:val="es-PR" w:eastAsia="es-PR"/>
        </w:rPr>
        <w:t>[g]</w:t>
      </w:r>
      <w:r w:rsidRPr="00157A8F">
        <w:rPr>
          <w:rFonts w:ascii="Book Antiqua" w:hAnsi="Book Antiqua"/>
          <w:lang w:val="es-PR" w:eastAsia="es-PR"/>
        </w:rPr>
        <w:t xml:space="preserve"> </w:t>
      </w:r>
      <w:r w:rsidRPr="00157A8F">
        <w:rPr>
          <w:rFonts w:ascii="Book Antiqua" w:hAnsi="Book Antiqua"/>
          <w:i/>
          <w:iCs/>
          <w:lang w:val="es-PR" w:eastAsia="es-PR"/>
        </w:rPr>
        <w:t>j</w:t>
      </w:r>
      <w:r w:rsidRPr="00157A8F">
        <w:rPr>
          <w:rFonts w:ascii="Book Antiqua" w:hAnsi="Book Antiqua"/>
          <w:lang w:val="es-PR" w:eastAsia="es-PR"/>
        </w:rPr>
        <w:t xml:space="preserve">) Prueba rápida </w:t>
      </w:r>
      <w:r w:rsidRPr="00157A8F">
        <w:rPr>
          <w:rFonts w:ascii="Book Antiqua" w:hAnsi="Book Antiqua"/>
          <w:i/>
          <w:iCs/>
          <w:lang w:val="es-PR" w:eastAsia="es-PR"/>
        </w:rPr>
        <w:t xml:space="preserve">exenta </w:t>
      </w:r>
      <w:r w:rsidRPr="00157A8F">
        <w:rPr>
          <w:rFonts w:ascii="Book Antiqua" w:hAnsi="Book Antiqua"/>
          <w:lang w:val="es-PR" w:eastAsia="es-PR"/>
        </w:rPr>
        <w:t xml:space="preserve">para </w:t>
      </w:r>
      <w:r w:rsidRPr="00157A8F">
        <w:rPr>
          <w:rFonts w:ascii="Book Antiqua" w:hAnsi="Book Antiqua"/>
          <w:b/>
          <w:bCs/>
          <w:lang w:val="es-PR" w:eastAsia="es-PR"/>
        </w:rPr>
        <w:t>[la detección]</w:t>
      </w:r>
      <w:r w:rsidRPr="00157A8F">
        <w:rPr>
          <w:rFonts w:ascii="Book Antiqua" w:hAnsi="Book Antiqua"/>
          <w:lang w:val="es-PR" w:eastAsia="es-PR"/>
        </w:rPr>
        <w:t xml:space="preserve"> </w:t>
      </w:r>
      <w:r w:rsidRPr="00157A8F">
        <w:rPr>
          <w:rFonts w:ascii="Book Antiqua" w:hAnsi="Book Antiqua"/>
          <w:i/>
          <w:iCs/>
          <w:lang w:val="es-PR" w:eastAsia="es-PR"/>
        </w:rPr>
        <w:t xml:space="preserve">el </w:t>
      </w:r>
      <w:proofErr w:type="spellStart"/>
      <w:r w:rsidRPr="00157A8F">
        <w:rPr>
          <w:rFonts w:ascii="Book Antiqua" w:hAnsi="Book Antiqua"/>
          <w:i/>
          <w:iCs/>
          <w:lang w:val="es-PR" w:eastAsia="es-PR"/>
        </w:rPr>
        <w:t>cernimiento</w:t>
      </w:r>
      <w:proofErr w:type="spellEnd"/>
      <w:r w:rsidRPr="00157A8F">
        <w:rPr>
          <w:rFonts w:ascii="Book Antiqua" w:hAnsi="Book Antiqua"/>
          <w:i/>
          <w:iCs/>
          <w:lang w:val="es-PR" w:eastAsia="es-PR"/>
        </w:rPr>
        <w:t xml:space="preserve"> </w:t>
      </w:r>
      <w:r w:rsidRPr="00157A8F">
        <w:rPr>
          <w:rFonts w:ascii="Book Antiqua" w:hAnsi="Book Antiqua"/>
          <w:lang w:val="es-PR" w:eastAsia="es-PR"/>
        </w:rPr>
        <w:t>del Virus de Inmunodeficiencia Humana</w:t>
      </w:r>
      <w:r w:rsidRPr="00157A8F">
        <w:rPr>
          <w:rFonts w:ascii="Book Antiqua" w:hAnsi="Book Antiqua"/>
          <w:i/>
          <w:iCs/>
          <w:lang w:val="es-PR" w:eastAsia="es-PR"/>
        </w:rPr>
        <w:t>, Infecciones de Transmisión Sexual y Hepatitis Virales</w:t>
      </w:r>
      <w:r w:rsidRPr="00157A8F">
        <w:rPr>
          <w:rFonts w:ascii="Book Antiqua" w:hAnsi="Book Antiqua"/>
          <w:lang w:val="es-PR" w:eastAsia="es-PR"/>
        </w:rPr>
        <w:t xml:space="preserve"> – Prueba para detectar anticuerpos al Virus de Inmunodeficiencia Humana, </w:t>
      </w:r>
      <w:r w:rsidRPr="00157A8F">
        <w:rPr>
          <w:rFonts w:ascii="Book Antiqua" w:hAnsi="Book Antiqua"/>
          <w:i/>
          <w:iCs/>
          <w:lang w:val="es-PR" w:eastAsia="es-PR"/>
        </w:rPr>
        <w:t xml:space="preserve">Infecciones de Transmisión Sexual y Hepatitis Virales, </w:t>
      </w:r>
      <w:r w:rsidRPr="00157A8F">
        <w:rPr>
          <w:rFonts w:ascii="Book Antiqua" w:hAnsi="Book Antiqua"/>
          <w:lang w:val="es-PR" w:eastAsia="es-PR"/>
        </w:rPr>
        <w:t xml:space="preserve">aprobada por la FDA, cuya muestra sea tomada a base de fluidos orales </w:t>
      </w:r>
      <w:r w:rsidRPr="00157A8F">
        <w:rPr>
          <w:rFonts w:ascii="Book Antiqua" w:hAnsi="Book Antiqua"/>
          <w:i/>
          <w:iCs/>
          <w:lang w:val="es-PR" w:eastAsia="es-PR"/>
        </w:rPr>
        <w:t>o por punción capilar</w:t>
      </w:r>
      <w:r w:rsidRPr="00157A8F">
        <w:rPr>
          <w:rFonts w:ascii="Book Antiqua" w:hAnsi="Book Antiqua"/>
          <w:lang w:val="es-PR" w:eastAsia="es-PR"/>
        </w:rPr>
        <w:t xml:space="preserve"> y sus resultados conocidos en un período no mayor de una hora, luego de tomada la muestra.</w:t>
      </w:r>
    </w:p>
    <w:p w14:paraId="2FB3DC8F" w14:textId="77777777" w:rsidR="00D54537" w:rsidRPr="00157A8F" w:rsidRDefault="00D54537" w:rsidP="00D54537">
      <w:pPr>
        <w:spacing w:line="480" w:lineRule="auto"/>
        <w:ind w:left="1080"/>
        <w:jc w:val="both"/>
        <w:rPr>
          <w:rFonts w:ascii="Book Antiqua" w:hAnsi="Book Antiqua"/>
          <w:lang w:val="es-PR" w:eastAsia="es-PR"/>
        </w:rPr>
      </w:pPr>
      <w:r w:rsidRPr="00157A8F">
        <w:rPr>
          <w:rFonts w:ascii="Book Antiqua" w:hAnsi="Book Antiqua"/>
          <w:b/>
          <w:bCs/>
          <w:lang w:val="es-PR" w:eastAsia="es-PR"/>
        </w:rPr>
        <w:t>[h]</w:t>
      </w:r>
      <w:r w:rsidRPr="00157A8F">
        <w:rPr>
          <w:rFonts w:ascii="Book Antiqua" w:hAnsi="Book Antiqua"/>
          <w:lang w:val="es-PR" w:eastAsia="es-PR"/>
        </w:rPr>
        <w:t xml:space="preserve"> </w:t>
      </w:r>
      <w:r w:rsidRPr="00157A8F">
        <w:rPr>
          <w:rFonts w:ascii="Book Antiqua" w:hAnsi="Book Antiqua"/>
          <w:i/>
          <w:iCs/>
          <w:lang w:val="es-PR" w:eastAsia="es-PR"/>
        </w:rPr>
        <w:t>k</w:t>
      </w:r>
      <w:r w:rsidRPr="00157A8F">
        <w:rPr>
          <w:rFonts w:ascii="Book Antiqua" w:hAnsi="Book Antiqua"/>
          <w:lang w:val="es-PR" w:eastAsia="es-PR"/>
        </w:rPr>
        <w:t>) VIH – Virus de Inmunodeficiencia Humana.”</w:t>
      </w:r>
    </w:p>
    <w:p w14:paraId="22211A17" w14:textId="66167592" w:rsidR="00D54537" w:rsidRPr="00157A8F" w:rsidRDefault="00D54537" w:rsidP="00D54537">
      <w:pPr>
        <w:spacing w:line="480" w:lineRule="auto"/>
        <w:ind w:firstLine="720"/>
        <w:jc w:val="both"/>
        <w:rPr>
          <w:rFonts w:ascii="Book Antiqua" w:hAnsi="Book Antiqua"/>
          <w:lang w:val="es-PR" w:eastAsia="es-PR"/>
        </w:rPr>
      </w:pPr>
      <w:r w:rsidRPr="00157A8F">
        <w:rPr>
          <w:rFonts w:ascii="Book Antiqua" w:hAnsi="Book Antiqua"/>
          <w:lang w:val="es-PR" w:eastAsia="es-PR"/>
        </w:rPr>
        <w:t xml:space="preserve">Sección 4.- Se enmienda el Artículo 4 de la Ley 130-2008, mejor conocida como “Ley para el Ofrecimiento de Pruebas Rápidas para la Detección del Virus de Inmunodeficiencia Humana”, para que </w:t>
      </w:r>
      <w:r>
        <w:rPr>
          <w:rFonts w:ascii="Book Antiqua" w:hAnsi="Book Antiqua"/>
          <w:lang w:val="es-PR" w:eastAsia="es-PR"/>
        </w:rPr>
        <w:t xml:space="preserve">se </w:t>
      </w:r>
      <w:r w:rsidRPr="00157A8F">
        <w:rPr>
          <w:rFonts w:ascii="Book Antiqua" w:hAnsi="Book Antiqua"/>
          <w:lang w:val="es-PR" w:eastAsia="es-PR"/>
        </w:rPr>
        <w:t>lea como sigue:</w:t>
      </w:r>
    </w:p>
    <w:p w14:paraId="6AF2AA69" w14:textId="77777777" w:rsidR="00D54537" w:rsidRPr="00157A8F" w:rsidRDefault="00D54537" w:rsidP="00D54537">
      <w:pPr>
        <w:spacing w:line="480" w:lineRule="auto"/>
        <w:ind w:firstLine="720"/>
        <w:jc w:val="both"/>
        <w:rPr>
          <w:rFonts w:ascii="Book Antiqua" w:hAnsi="Book Antiqua"/>
          <w:lang w:val="es-PR" w:eastAsia="es-PR"/>
        </w:rPr>
      </w:pPr>
      <w:r w:rsidRPr="00157A8F">
        <w:rPr>
          <w:rFonts w:ascii="Book Antiqua" w:hAnsi="Book Antiqua"/>
          <w:lang w:val="es-PR" w:eastAsia="es-PR"/>
        </w:rPr>
        <w:t>“Artículo 4.- Autorización del Departamento de Salud</w:t>
      </w:r>
    </w:p>
    <w:p w14:paraId="7A8077FA" w14:textId="77777777" w:rsidR="00D54537" w:rsidRPr="00157A8F" w:rsidRDefault="00D54537" w:rsidP="00D54537">
      <w:pPr>
        <w:spacing w:line="480" w:lineRule="auto"/>
        <w:ind w:firstLine="720"/>
        <w:jc w:val="both"/>
        <w:rPr>
          <w:rFonts w:ascii="Book Antiqua" w:hAnsi="Book Antiqua"/>
          <w:lang w:val="es-PR" w:eastAsia="es-PR"/>
        </w:rPr>
      </w:pPr>
      <w:r w:rsidRPr="00157A8F">
        <w:rPr>
          <w:rFonts w:ascii="Book Antiqua" w:hAnsi="Book Antiqua"/>
          <w:lang w:val="es-PR" w:eastAsia="es-PR"/>
        </w:rPr>
        <w:t>Se autoriza al Departamento de Salud a establecer, mediante reglamento, un</w:t>
      </w:r>
      <w:r w:rsidRPr="00157A8F">
        <w:rPr>
          <w:rFonts w:ascii="Book Antiqua" w:hAnsi="Book Antiqua"/>
          <w:i/>
          <w:iCs/>
          <w:lang w:val="es-PR" w:eastAsia="es-PR"/>
        </w:rPr>
        <w:t>a</w:t>
      </w:r>
      <w:r w:rsidRPr="00157A8F">
        <w:rPr>
          <w:rFonts w:ascii="Book Antiqua" w:hAnsi="Book Antiqua"/>
          <w:lang w:val="es-PR" w:eastAsia="es-PR"/>
        </w:rPr>
        <w:t xml:space="preserve"> </w:t>
      </w:r>
      <w:r w:rsidRPr="00157A8F">
        <w:rPr>
          <w:rFonts w:ascii="Book Antiqua" w:hAnsi="Book Antiqua"/>
          <w:b/>
          <w:bCs/>
          <w:lang w:val="es-PR" w:eastAsia="es-PR"/>
        </w:rPr>
        <w:t>[permiso especial]</w:t>
      </w:r>
      <w:r w:rsidRPr="00157A8F">
        <w:rPr>
          <w:rFonts w:ascii="Book Antiqua" w:hAnsi="Book Antiqua"/>
          <w:lang w:val="es-PR" w:eastAsia="es-PR"/>
        </w:rPr>
        <w:t xml:space="preserve"> </w:t>
      </w:r>
      <w:r w:rsidRPr="00157A8F">
        <w:rPr>
          <w:rFonts w:ascii="Book Antiqua" w:hAnsi="Book Antiqua"/>
          <w:i/>
          <w:iCs/>
          <w:lang w:val="es-PR" w:eastAsia="es-PR"/>
        </w:rPr>
        <w:t>Certificación de Técnico de Prueba Rápida Exenta</w:t>
      </w:r>
      <w:r w:rsidRPr="00157A8F">
        <w:rPr>
          <w:rFonts w:ascii="Book Antiqua" w:hAnsi="Book Antiqua"/>
          <w:lang w:val="es-PR" w:eastAsia="es-PR"/>
        </w:rPr>
        <w:t xml:space="preserve"> para administrar la prueba rápida </w:t>
      </w:r>
      <w:r w:rsidRPr="00157A8F">
        <w:rPr>
          <w:rFonts w:ascii="Book Antiqua" w:hAnsi="Book Antiqua"/>
          <w:i/>
          <w:iCs/>
          <w:lang w:val="es-PR" w:eastAsia="es-PR"/>
        </w:rPr>
        <w:t xml:space="preserve">exenta </w:t>
      </w:r>
      <w:r w:rsidRPr="00157A8F">
        <w:rPr>
          <w:rFonts w:ascii="Book Antiqua" w:hAnsi="Book Antiqua"/>
          <w:lang w:val="es-PR" w:eastAsia="es-PR"/>
        </w:rPr>
        <w:t xml:space="preserve">para </w:t>
      </w:r>
      <w:r w:rsidRPr="00157A8F">
        <w:rPr>
          <w:rFonts w:ascii="Book Antiqua" w:hAnsi="Book Antiqua"/>
          <w:b/>
          <w:bCs/>
          <w:lang w:val="es-PR" w:eastAsia="es-PR"/>
        </w:rPr>
        <w:t>[la detección]</w:t>
      </w:r>
      <w:r w:rsidRPr="00157A8F">
        <w:rPr>
          <w:rFonts w:ascii="Book Antiqua" w:hAnsi="Book Antiqua"/>
          <w:lang w:val="es-PR" w:eastAsia="es-PR"/>
        </w:rPr>
        <w:t xml:space="preserve"> </w:t>
      </w:r>
      <w:r w:rsidRPr="00157A8F">
        <w:rPr>
          <w:rFonts w:ascii="Book Antiqua" w:hAnsi="Book Antiqua"/>
          <w:i/>
          <w:iCs/>
          <w:lang w:val="es-PR" w:eastAsia="es-PR"/>
        </w:rPr>
        <w:t xml:space="preserve">el </w:t>
      </w:r>
      <w:proofErr w:type="spellStart"/>
      <w:r w:rsidRPr="00157A8F">
        <w:rPr>
          <w:rFonts w:ascii="Book Antiqua" w:hAnsi="Book Antiqua"/>
          <w:i/>
          <w:iCs/>
          <w:lang w:val="es-PR" w:eastAsia="es-PR"/>
        </w:rPr>
        <w:t>cernimiento</w:t>
      </w:r>
      <w:proofErr w:type="spellEnd"/>
      <w:r w:rsidRPr="00157A8F">
        <w:rPr>
          <w:rFonts w:ascii="Book Antiqua" w:hAnsi="Book Antiqua"/>
          <w:lang w:val="es-PR" w:eastAsia="es-PR"/>
        </w:rPr>
        <w:t xml:space="preserve"> del Virus de Inmunodeficiencia Humana</w:t>
      </w:r>
      <w:r w:rsidRPr="00157A8F">
        <w:rPr>
          <w:rFonts w:ascii="Book Antiqua" w:hAnsi="Book Antiqua"/>
          <w:i/>
          <w:iCs/>
          <w:lang w:val="es-PR" w:eastAsia="es-PR"/>
        </w:rPr>
        <w:t>, Infecciones de Transmisión Sexual y Hepatitis Virales</w:t>
      </w:r>
      <w:r w:rsidRPr="00157A8F">
        <w:rPr>
          <w:rFonts w:ascii="Book Antiqua" w:hAnsi="Book Antiqua"/>
          <w:lang w:val="es-PR" w:eastAsia="es-PR"/>
        </w:rPr>
        <w:t>. Entre los requisitos que se dispongan, el reglamento deberá incluir los siguientes:</w:t>
      </w:r>
    </w:p>
    <w:p w14:paraId="2D879926" w14:textId="77777777" w:rsidR="00D54537" w:rsidRPr="00157A8F" w:rsidRDefault="00D54537" w:rsidP="00D54537">
      <w:pPr>
        <w:pStyle w:val="ListParagraph"/>
        <w:numPr>
          <w:ilvl w:val="0"/>
          <w:numId w:val="24"/>
        </w:numPr>
        <w:spacing w:line="480" w:lineRule="auto"/>
        <w:jc w:val="both"/>
        <w:rPr>
          <w:rFonts w:ascii="Book Antiqua" w:hAnsi="Book Antiqua"/>
          <w:lang w:val="es-PR" w:eastAsia="es-PR"/>
        </w:rPr>
      </w:pPr>
      <w:r w:rsidRPr="00157A8F">
        <w:rPr>
          <w:rFonts w:ascii="Book Antiqua" w:hAnsi="Book Antiqua"/>
          <w:lang w:val="es-PR" w:eastAsia="es-PR"/>
        </w:rPr>
        <w:t>…</w:t>
      </w:r>
    </w:p>
    <w:p w14:paraId="460B0CDD" w14:textId="77777777" w:rsidR="00D54537" w:rsidRPr="00157A8F" w:rsidRDefault="00D54537" w:rsidP="00D54537">
      <w:pPr>
        <w:spacing w:line="480" w:lineRule="auto"/>
        <w:ind w:left="1080"/>
        <w:jc w:val="both"/>
        <w:rPr>
          <w:rFonts w:ascii="Book Antiqua" w:hAnsi="Book Antiqua"/>
          <w:lang w:val="es-PR" w:eastAsia="es-PR"/>
        </w:rPr>
      </w:pPr>
      <w:r w:rsidRPr="00157A8F">
        <w:rPr>
          <w:rFonts w:ascii="Book Antiqua" w:hAnsi="Book Antiqua"/>
          <w:lang w:val="es-PR" w:eastAsia="es-PR"/>
        </w:rPr>
        <w:lastRenderedPageBreak/>
        <w:t>…</w:t>
      </w:r>
    </w:p>
    <w:p w14:paraId="30F94DC2" w14:textId="77777777" w:rsidR="00D54537" w:rsidRPr="00157A8F" w:rsidRDefault="00D54537" w:rsidP="00D54537">
      <w:pPr>
        <w:spacing w:line="480" w:lineRule="auto"/>
        <w:ind w:left="1080"/>
        <w:jc w:val="both"/>
        <w:rPr>
          <w:rFonts w:ascii="Book Antiqua" w:hAnsi="Book Antiqua"/>
          <w:i/>
          <w:iCs/>
          <w:lang w:val="es-PR" w:eastAsia="es-PR"/>
        </w:rPr>
      </w:pPr>
      <w:r w:rsidRPr="00157A8F">
        <w:rPr>
          <w:rFonts w:ascii="Book Antiqua" w:hAnsi="Book Antiqua"/>
          <w:i/>
          <w:iCs/>
          <w:lang w:val="es-PR" w:eastAsia="es-PR"/>
        </w:rPr>
        <w:t>d) Taller de Garantía de Calidad en los procesos del Servicio de la Prueba Rápida Exenta.</w:t>
      </w:r>
    </w:p>
    <w:p w14:paraId="6728CC4A" w14:textId="77777777" w:rsidR="00D54537" w:rsidRPr="00157A8F" w:rsidRDefault="00D54537" w:rsidP="00D54537">
      <w:pPr>
        <w:spacing w:line="480" w:lineRule="auto"/>
        <w:ind w:left="1080"/>
        <w:jc w:val="both"/>
        <w:rPr>
          <w:rFonts w:ascii="Book Antiqua" w:hAnsi="Book Antiqua"/>
          <w:lang w:val="es-PR" w:eastAsia="es-PR"/>
        </w:rPr>
      </w:pPr>
      <w:r w:rsidRPr="00157A8F">
        <w:rPr>
          <w:rFonts w:ascii="Book Antiqua" w:hAnsi="Book Antiqua"/>
          <w:b/>
          <w:bCs/>
          <w:lang w:val="es-PR" w:eastAsia="es-PR"/>
        </w:rPr>
        <w:t>[d]</w:t>
      </w:r>
      <w:r w:rsidRPr="00157A8F">
        <w:rPr>
          <w:rFonts w:ascii="Book Antiqua" w:hAnsi="Book Antiqua"/>
          <w:lang w:val="es-PR" w:eastAsia="es-PR"/>
        </w:rPr>
        <w:t xml:space="preserve"> </w:t>
      </w:r>
      <w:r w:rsidRPr="00157A8F">
        <w:rPr>
          <w:rFonts w:ascii="Book Antiqua" w:hAnsi="Book Antiqua"/>
          <w:i/>
          <w:iCs/>
          <w:lang w:val="es-PR" w:eastAsia="es-PR"/>
        </w:rPr>
        <w:t>e</w:t>
      </w:r>
      <w:r w:rsidRPr="00157A8F">
        <w:rPr>
          <w:rFonts w:ascii="Book Antiqua" w:hAnsi="Book Antiqua"/>
          <w:lang w:val="es-PR" w:eastAsia="es-PR"/>
        </w:rPr>
        <w:t>) Cualquier otro requisito que el Departamento de Salud entienda necesario, de conformidad con la Política Pública de esta Ley.</w:t>
      </w:r>
    </w:p>
    <w:p w14:paraId="2332114B" w14:textId="77777777" w:rsidR="00D54537" w:rsidRPr="00157A8F" w:rsidRDefault="00D54537" w:rsidP="00D54537">
      <w:pPr>
        <w:spacing w:line="480" w:lineRule="auto"/>
        <w:ind w:firstLine="720"/>
        <w:jc w:val="both"/>
        <w:rPr>
          <w:rFonts w:ascii="Book Antiqua" w:hAnsi="Book Antiqua"/>
          <w:lang w:val="es-PR" w:eastAsia="es-PR"/>
        </w:rPr>
      </w:pPr>
      <w:r w:rsidRPr="00157A8F">
        <w:rPr>
          <w:rFonts w:ascii="Book Antiqua" w:hAnsi="Book Antiqua"/>
          <w:lang w:val="es-PR" w:eastAsia="es-PR"/>
        </w:rPr>
        <w:t xml:space="preserve">No se requerirá que las personas autorizadas cuenten con licencias, certificados o entrenamientos adicionales a los aquí dispuestos. El Departamento de Salud expedirá </w:t>
      </w:r>
      <w:r w:rsidRPr="00157A8F">
        <w:rPr>
          <w:rFonts w:ascii="Book Antiqua" w:hAnsi="Book Antiqua"/>
          <w:b/>
          <w:bCs/>
          <w:lang w:val="es-PR" w:eastAsia="es-PR"/>
        </w:rPr>
        <w:t>[el permiso especial]</w:t>
      </w:r>
      <w:r w:rsidRPr="00157A8F">
        <w:rPr>
          <w:rFonts w:ascii="Book Antiqua" w:hAnsi="Book Antiqua"/>
          <w:lang w:val="es-PR" w:eastAsia="es-PR"/>
        </w:rPr>
        <w:t xml:space="preserve"> </w:t>
      </w:r>
      <w:r w:rsidRPr="00157A8F">
        <w:rPr>
          <w:rFonts w:ascii="Book Antiqua" w:hAnsi="Book Antiqua"/>
          <w:i/>
          <w:iCs/>
          <w:lang w:val="es-PR" w:eastAsia="es-PR"/>
        </w:rPr>
        <w:t>la Certificación de Técnico de Prueba Rápida Exenta</w:t>
      </w:r>
      <w:r w:rsidRPr="00157A8F">
        <w:rPr>
          <w:rFonts w:ascii="Book Antiqua" w:hAnsi="Book Antiqua"/>
          <w:lang w:val="es-PR" w:eastAsia="es-PR"/>
        </w:rPr>
        <w:t xml:space="preserve"> para brindar la </w:t>
      </w:r>
      <w:r w:rsidRPr="00157A8F">
        <w:rPr>
          <w:rFonts w:ascii="Book Antiqua" w:hAnsi="Book Antiqua"/>
          <w:b/>
          <w:bCs/>
          <w:lang w:val="es-PR" w:eastAsia="es-PR"/>
        </w:rPr>
        <w:t>[Prueba Rápida]</w:t>
      </w:r>
      <w:r w:rsidRPr="00157A8F">
        <w:rPr>
          <w:rFonts w:ascii="Book Antiqua" w:hAnsi="Book Antiqua"/>
          <w:i/>
          <w:iCs/>
          <w:lang w:val="es-PR" w:eastAsia="es-PR"/>
        </w:rPr>
        <w:t xml:space="preserve"> prueba rápida exenta</w:t>
      </w:r>
      <w:r w:rsidRPr="00157A8F">
        <w:rPr>
          <w:rFonts w:ascii="Book Antiqua" w:hAnsi="Book Antiqua"/>
          <w:lang w:val="es-PR" w:eastAsia="es-PR"/>
        </w:rPr>
        <w:t xml:space="preserve"> para la Detección del Virus de Inmunodeficiencia Humana, </w:t>
      </w:r>
      <w:r w:rsidRPr="00157A8F">
        <w:rPr>
          <w:rFonts w:ascii="Book Antiqua" w:hAnsi="Book Antiqua"/>
          <w:i/>
          <w:iCs/>
          <w:lang w:val="es-PR" w:eastAsia="es-PR"/>
        </w:rPr>
        <w:t>Infecciones de Transmisión Sexual y Hepatitis Virales,</w:t>
      </w:r>
      <w:r w:rsidRPr="00157A8F">
        <w:rPr>
          <w:rFonts w:ascii="Book Antiqua" w:hAnsi="Book Antiqua"/>
          <w:lang w:val="es-PR" w:eastAsia="es-PR"/>
        </w:rPr>
        <w:t xml:space="preserve"> a todas las personas que cumplan con los requisitos que en esta Ley se establecen y los que por reglamento se dispongan, y que hagan uso de la facultad que se les confiere para administrar dichas pruebas sin costo alguno para la persona que la solicite.”</w:t>
      </w:r>
    </w:p>
    <w:p w14:paraId="52CE3EFD" w14:textId="77777777" w:rsidR="00D54537" w:rsidRPr="00157A8F" w:rsidRDefault="00D54537" w:rsidP="00D54537">
      <w:pPr>
        <w:spacing w:line="480" w:lineRule="auto"/>
        <w:jc w:val="both"/>
        <w:rPr>
          <w:rFonts w:ascii="Book Antiqua" w:hAnsi="Book Antiqua"/>
          <w:lang w:val="es-PR" w:eastAsia="es-PR"/>
        </w:rPr>
      </w:pPr>
      <w:r w:rsidRPr="00157A8F">
        <w:rPr>
          <w:rFonts w:ascii="Book Antiqua" w:hAnsi="Book Antiqua"/>
          <w:lang w:val="es-PR" w:eastAsia="es-PR"/>
        </w:rPr>
        <w:tab/>
        <w:t>Sección 5.- El Departamento de Salud adoptará la reglamentación necesaria dentro de un término de ciento veinte (120) días a partir de la aprobación de esta Ley.</w:t>
      </w:r>
    </w:p>
    <w:p w14:paraId="4D535A75" w14:textId="77777777" w:rsidR="00D54537" w:rsidRPr="00157A8F" w:rsidRDefault="00D54537" w:rsidP="00D54537">
      <w:pPr>
        <w:spacing w:line="480" w:lineRule="auto"/>
        <w:jc w:val="both"/>
        <w:rPr>
          <w:rFonts w:ascii="Book Antiqua" w:hAnsi="Book Antiqua"/>
          <w:lang w:val="es-PR" w:eastAsia="es-PR"/>
        </w:rPr>
      </w:pPr>
      <w:r w:rsidRPr="00157A8F">
        <w:rPr>
          <w:rFonts w:ascii="Book Antiqua" w:hAnsi="Book Antiqua"/>
          <w:lang w:val="es-PR" w:eastAsia="es-PR"/>
        </w:rPr>
        <w:tab/>
        <w:t>Sección 6.- Esta Ley comenzará a</w:t>
      </w:r>
      <w:r>
        <w:rPr>
          <w:rFonts w:ascii="Book Antiqua" w:hAnsi="Book Antiqua"/>
          <w:lang w:val="es-PR" w:eastAsia="es-PR"/>
        </w:rPr>
        <w:t xml:space="preserve"> regir inmediatamente después de su aprobación.</w:t>
      </w:r>
      <w:bookmarkEnd w:id="2"/>
      <w:bookmarkEnd w:id="3"/>
    </w:p>
    <w:sectPr w:rsidR="00D54537" w:rsidRPr="00157A8F" w:rsidSect="000B0E9A">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538F77" w14:textId="77777777" w:rsidR="00CB5269" w:rsidRDefault="00CB5269">
      <w:r>
        <w:separator/>
      </w:r>
    </w:p>
  </w:endnote>
  <w:endnote w:type="continuationSeparator" w:id="0">
    <w:p w14:paraId="2EC1CE2D" w14:textId="77777777" w:rsidR="00CB5269" w:rsidRDefault="00CB5269">
      <w:r>
        <w:continuationSeparator/>
      </w:r>
    </w:p>
  </w:endnote>
  <w:endnote w:type="continuationNotice" w:id="1">
    <w:p w14:paraId="551A4F18" w14:textId="77777777" w:rsidR="00CB5269" w:rsidRDefault="00CB526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embedRegular r:id="rId1" w:fontKey="{2FBFF10E-137E-4844-991F-89A151C4FFDC}"/>
    <w:embedBold r:id="rId2" w:fontKey="{9DEFDAD5-3D98-4C96-B81C-A2EDDC0D2698}"/>
    <w:embedItalic r:id="rId3" w:fontKey="{ED2AE93D-7DCB-48EC-A0CD-0F1D0523E158}"/>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4" w:fontKey="{368ECB11-9226-407B-8ECF-3E85F675F82A}"/>
  </w:font>
  <w:font w:name="Georgia">
    <w:panose1 w:val="02040502050405020303"/>
    <w:charset w:val="00"/>
    <w:family w:val="roman"/>
    <w:pitch w:val="variable"/>
    <w:sig w:usb0="00000287" w:usb1="00000000" w:usb2="00000000" w:usb3="00000000" w:csb0="0000009F" w:csb1="00000000"/>
    <w:embedRegular r:id="rId5" w:fontKey="{FFDBC7F1-EA45-4C9F-98EE-9083BC1D3581}"/>
    <w:embedItalic r:id="rId6" w:fontKey="{623AC3AC-BC79-4E87-AA36-6C7A3697F00D}"/>
  </w:font>
  <w:font w:name="DengXian">
    <w:altName w:val="等线"/>
    <w:panose1 w:val="02010600030101010101"/>
    <w:charset w:val="86"/>
    <w:family w:val="auto"/>
    <w:pitch w:val="variable"/>
    <w:sig w:usb0="A00002BF" w:usb1="38CF7CFA" w:usb2="00000016" w:usb3="00000000" w:csb0="0004000F" w:csb1="00000000"/>
  </w:font>
  <w:font w:name="DXANP N+ Serifa B T,">
    <w:altName w:val="Times New Roman"/>
    <w:charset w:val="00"/>
    <w:family w:val="auto"/>
    <w:pitch w:val="default"/>
  </w:font>
  <w:font w:name="Aptos">
    <w:charset w:val="00"/>
    <w:family w:val="swiss"/>
    <w:pitch w:val="variable"/>
    <w:sig w:usb0="20000287" w:usb1="00000003" w:usb2="00000000" w:usb3="00000000" w:csb0="0000019F" w:csb1="00000000"/>
    <w:embedRegular r:id="rId7" w:fontKey="{11A2FEA4-4B84-4DF0-9ED0-9BB83A7DFD83}"/>
    <w:embedItalic r:id="rId8" w:fontKey="{EE62403F-A865-4C3E-9B58-2093D3BD7CF6}"/>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embedRegular r:id="rId9" w:fontKey="{67FE77D6-C6CA-4F38-A075-4D72E997FED6}"/>
  </w:font>
  <w:font w:name="Calibri">
    <w:panose1 w:val="020F0502020204030204"/>
    <w:charset w:val="00"/>
    <w:family w:val="swiss"/>
    <w:pitch w:val="variable"/>
    <w:sig w:usb0="E4002EFF" w:usb1="C200247B" w:usb2="00000009" w:usb3="00000000" w:csb0="000001FF" w:csb1="00000000"/>
    <w:embedRegular r:id="rId10" w:fontKey="{32BE6639-E3E5-4B06-A1C8-EE5FCAF80514}"/>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B" w14:textId="77777777" w:rsidR="00FF2214" w:rsidRDefault="00FF2214">
    <w:pPr>
      <w:widowControl w:val="0"/>
      <w:spacing w:line="276" w:lineRule="auto"/>
      <w:rPr>
        <w:color w:val="000000"/>
      </w:rPr>
    </w:pPr>
  </w:p>
  <w:tbl>
    <w:tblPr>
      <w:tblStyle w:val="Style41"/>
      <w:tblW w:w="9360" w:type="dxa"/>
      <w:tblInd w:w="0" w:type="dxa"/>
      <w:tblLayout w:type="fixed"/>
      <w:tblLook w:val="04A0" w:firstRow="1" w:lastRow="0" w:firstColumn="1" w:lastColumn="0" w:noHBand="0" w:noVBand="1"/>
    </w:tblPr>
    <w:tblGrid>
      <w:gridCol w:w="3120"/>
      <w:gridCol w:w="3120"/>
      <w:gridCol w:w="3120"/>
    </w:tblGrid>
    <w:tr w:rsidR="00FF2214" w14:paraId="7955069F" w14:textId="77777777">
      <w:trPr>
        <w:trHeight w:val="300"/>
      </w:trPr>
      <w:tc>
        <w:tcPr>
          <w:tcW w:w="3120" w:type="dxa"/>
          <w:tcMar>
            <w:top w:w="0" w:type="dxa"/>
            <w:left w:w="108" w:type="dxa"/>
            <w:bottom w:w="0" w:type="dxa"/>
            <w:right w:w="108" w:type="dxa"/>
          </w:tcMar>
        </w:tcPr>
        <w:p w14:paraId="7955069C"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9D"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9E" w14:textId="77777777" w:rsidR="00FF2214" w:rsidRDefault="00FF2214">
          <w:pPr>
            <w:tabs>
              <w:tab w:val="center" w:pos="4320"/>
              <w:tab w:val="right" w:pos="8640"/>
            </w:tabs>
            <w:ind w:right="-115"/>
            <w:jc w:val="right"/>
            <w:rPr>
              <w:color w:val="000000"/>
            </w:rPr>
          </w:pPr>
        </w:p>
      </w:tc>
    </w:tr>
  </w:tbl>
  <w:p w14:paraId="795506A0" w14:textId="77777777" w:rsidR="00FF2214" w:rsidRDefault="00FF2214">
    <w:pP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3" w14:textId="77777777" w:rsidR="00FF2214" w:rsidRDefault="00FF2214">
    <w:pPr>
      <w:widowControl w:val="0"/>
      <w:spacing w:line="276" w:lineRule="auto"/>
      <w:rPr>
        <w:color w:val="000000"/>
      </w:rPr>
    </w:pPr>
  </w:p>
  <w:tbl>
    <w:tblPr>
      <w:tblStyle w:val="Style40"/>
      <w:tblW w:w="9360" w:type="dxa"/>
      <w:tblInd w:w="0" w:type="dxa"/>
      <w:tblLayout w:type="fixed"/>
      <w:tblLook w:val="04A0" w:firstRow="1" w:lastRow="0" w:firstColumn="1" w:lastColumn="0" w:noHBand="0" w:noVBand="1"/>
    </w:tblPr>
    <w:tblGrid>
      <w:gridCol w:w="3120"/>
      <w:gridCol w:w="3120"/>
      <w:gridCol w:w="3120"/>
    </w:tblGrid>
    <w:tr w:rsidR="00FF2214" w14:paraId="795506A7" w14:textId="77777777">
      <w:trPr>
        <w:trHeight w:val="300"/>
      </w:trPr>
      <w:tc>
        <w:tcPr>
          <w:tcW w:w="3120" w:type="dxa"/>
          <w:tcMar>
            <w:top w:w="0" w:type="dxa"/>
            <w:left w:w="108" w:type="dxa"/>
            <w:bottom w:w="0" w:type="dxa"/>
            <w:right w:w="108" w:type="dxa"/>
          </w:tcMar>
        </w:tcPr>
        <w:p w14:paraId="795506A4"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A5"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A6" w14:textId="77777777" w:rsidR="00FF2214" w:rsidRDefault="00FF2214">
          <w:pPr>
            <w:tabs>
              <w:tab w:val="center" w:pos="4320"/>
              <w:tab w:val="right" w:pos="8640"/>
            </w:tabs>
            <w:ind w:right="-115"/>
            <w:jc w:val="right"/>
            <w:rPr>
              <w:color w:val="000000"/>
            </w:rPr>
          </w:pPr>
        </w:p>
      </w:tc>
    </w:tr>
  </w:tbl>
  <w:p w14:paraId="795506A8" w14:textId="77777777" w:rsidR="00FF2214" w:rsidRDefault="00FF2214">
    <w:pP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FD135A" w14:textId="77777777" w:rsidR="00CB5269" w:rsidRDefault="00CB5269">
      <w:r>
        <w:separator/>
      </w:r>
    </w:p>
  </w:footnote>
  <w:footnote w:type="continuationSeparator" w:id="0">
    <w:p w14:paraId="3FC1EA04" w14:textId="77777777" w:rsidR="00CB5269" w:rsidRDefault="00CB5269">
      <w:r>
        <w:continuationSeparator/>
      </w:r>
    </w:p>
  </w:footnote>
  <w:footnote w:type="continuationNotice" w:id="1">
    <w:p w14:paraId="3C40993B" w14:textId="77777777" w:rsidR="00CB5269" w:rsidRDefault="00CB5269"/>
  </w:footnote>
  <w:footnote w:id="2">
    <w:p w14:paraId="6D4F15F6" w14:textId="77777777" w:rsidR="00D54537" w:rsidRPr="00C969BD" w:rsidRDefault="00D54537" w:rsidP="00D54537">
      <w:pPr>
        <w:pStyle w:val="FootnoteText"/>
        <w:rPr>
          <w:rFonts w:ascii="Book Antiqua" w:hAnsi="Book Antiqua"/>
        </w:rPr>
      </w:pPr>
      <w:r w:rsidRPr="00C969BD">
        <w:rPr>
          <w:rStyle w:val="FootnoteReference"/>
          <w:rFonts w:ascii="Book Antiqua" w:hAnsi="Book Antiqua"/>
        </w:rPr>
        <w:footnoteRef/>
      </w:r>
      <w:r w:rsidRPr="00C969BD">
        <w:rPr>
          <w:rFonts w:ascii="Book Antiqua" w:hAnsi="Book Antiqua"/>
        </w:rPr>
        <w:t xml:space="preserve"> “Clinical Laboratory Improvement Amendments of 1988” (CLIA)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A" w14:textId="77777777" w:rsidR="00FF2214" w:rsidRDefault="00850770">
    <w:pP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Pr>
        <w:color w:val="000000"/>
      </w:rPr>
      <w:t>2</w:t>
    </w:r>
    <w:r>
      <w:rPr>
        <w:color w:val="00000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1" w14:textId="5F6CED5B" w:rsidR="00FF2214" w:rsidRDefault="00850770">
    <w:pPr>
      <w:tabs>
        <w:tab w:val="center" w:pos="4320"/>
        <w:tab w:val="right" w:pos="8640"/>
      </w:tabs>
      <w:jc w:val="right"/>
      <w:rPr>
        <w:color w:val="000000"/>
      </w:rPr>
    </w:pPr>
    <w:r w:rsidRPr="00876144">
      <w:rPr>
        <w:color w:val="000000"/>
      </w:rPr>
      <w:t>A-0</w:t>
    </w:r>
    <w:r w:rsidR="007A5D66" w:rsidRPr="00876144">
      <w:rPr>
        <w:color w:val="000000"/>
      </w:rPr>
      <w:t>7</w:t>
    </w:r>
    <w:r w:rsidR="00AF1BD7">
      <w:rPr>
        <w:color w:val="000000"/>
      </w:rPr>
      <w:t>7</w:t>
    </w:r>
  </w:p>
  <w:p w14:paraId="795506A2" w14:textId="77777777" w:rsidR="00FF2214" w:rsidRDefault="00850770">
    <w:pPr>
      <w:tabs>
        <w:tab w:val="center" w:pos="4320"/>
        <w:tab w:val="right" w:pos="8640"/>
      </w:tabs>
      <w:rPr>
        <w:color w:val="000000"/>
      </w:rPr>
    </w:pPr>
    <w:r>
      <w:rPr>
        <w:color w:val="000000"/>
      </w:rPr>
      <w:tab/>
    </w:r>
    <w:r>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B5988"/>
    <w:multiLevelType w:val="hybridMultilevel"/>
    <w:tmpl w:val="2B4A0D34"/>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06163CD8"/>
    <w:multiLevelType w:val="hybridMultilevel"/>
    <w:tmpl w:val="8E4C5F0A"/>
    <w:lvl w:ilvl="0" w:tplc="117401D0">
      <w:start w:val="1"/>
      <w:numFmt w:val="decimal"/>
      <w:lvlText w:val="(%1)"/>
      <w:lvlJc w:val="left"/>
      <w:pPr>
        <w:ind w:left="1080" w:hanging="360"/>
      </w:pPr>
      <w:rPr>
        <w:rFonts w:ascii="Book Antiqua" w:eastAsia="Times New Roman" w:hAnsi="Book Antiqua" w:cs="Times New Roman"/>
      </w:rPr>
    </w:lvl>
    <w:lvl w:ilvl="1" w:tplc="9E7A13F2">
      <w:start w:val="1"/>
      <w:numFmt w:val="lowerLetter"/>
      <w:lvlText w:val="(%2)"/>
      <w:lvlJc w:val="left"/>
      <w:pPr>
        <w:ind w:left="1800" w:hanging="360"/>
      </w:pPr>
      <w:rPr>
        <w:rFonts w:ascii="Times New Roman" w:eastAsia="Times New Roman" w:hAnsi="Times New Roman" w:cs="Times New Roman"/>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60A2830"/>
    <w:multiLevelType w:val="hybridMultilevel"/>
    <w:tmpl w:val="5880A380"/>
    <w:lvl w:ilvl="0" w:tplc="58FAF124">
      <w:start w:val="9"/>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69C2689"/>
    <w:multiLevelType w:val="hybridMultilevel"/>
    <w:tmpl w:val="4DBEE06E"/>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17A82B8D"/>
    <w:multiLevelType w:val="multilevel"/>
    <w:tmpl w:val="17A82B8D"/>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1CFB7BCF"/>
    <w:multiLevelType w:val="hybridMultilevel"/>
    <w:tmpl w:val="03C26644"/>
    <w:lvl w:ilvl="0" w:tplc="C9D0C74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0510661"/>
    <w:multiLevelType w:val="hybridMultilevel"/>
    <w:tmpl w:val="BE1A9DF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47F5701"/>
    <w:multiLevelType w:val="hybridMultilevel"/>
    <w:tmpl w:val="18B085A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7331BF0"/>
    <w:multiLevelType w:val="hybridMultilevel"/>
    <w:tmpl w:val="1B2CB54E"/>
    <w:lvl w:ilvl="0" w:tplc="117401D0">
      <w:start w:val="1"/>
      <w:numFmt w:val="decimal"/>
      <w:lvlText w:val="(%1)"/>
      <w:lvlJc w:val="left"/>
      <w:pPr>
        <w:ind w:left="2160" w:hanging="360"/>
      </w:pPr>
      <w:rPr>
        <w:rFonts w:ascii="Book Antiqua" w:eastAsia="Times New Roman" w:hAnsi="Book Antiqua" w:cs="Times New Roman"/>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 w15:restartNumberingAfterBreak="0">
    <w:nsid w:val="31C81210"/>
    <w:multiLevelType w:val="hybridMultilevel"/>
    <w:tmpl w:val="3E827A0A"/>
    <w:lvl w:ilvl="0" w:tplc="CCDE0676">
      <w:start w:val="1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D1E78E5"/>
    <w:multiLevelType w:val="multilevel"/>
    <w:tmpl w:val="3D1E78E5"/>
    <w:lvl w:ilvl="0">
      <w:start w:val="1"/>
      <w:numFmt w:val="decimal"/>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7CB7FD8"/>
    <w:multiLevelType w:val="hybridMultilevel"/>
    <w:tmpl w:val="A2C621C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4AD04AE7"/>
    <w:multiLevelType w:val="hybridMultilevel"/>
    <w:tmpl w:val="83723F22"/>
    <w:lvl w:ilvl="0" w:tplc="65EEC5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B5F4170"/>
    <w:multiLevelType w:val="hybridMultilevel"/>
    <w:tmpl w:val="4B00B32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56AD76C4"/>
    <w:multiLevelType w:val="hybridMultilevel"/>
    <w:tmpl w:val="0652C932"/>
    <w:lvl w:ilvl="0" w:tplc="9BF0E63E">
      <w:start w:val="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766326D"/>
    <w:multiLevelType w:val="hybridMultilevel"/>
    <w:tmpl w:val="84C60B9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79116D4"/>
    <w:multiLevelType w:val="hybridMultilevel"/>
    <w:tmpl w:val="1076D370"/>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hint="default"/>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7" w15:restartNumberingAfterBreak="0">
    <w:nsid w:val="5C7C5688"/>
    <w:multiLevelType w:val="hybridMultilevel"/>
    <w:tmpl w:val="A95822D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601C5F7C"/>
    <w:multiLevelType w:val="hybridMultilevel"/>
    <w:tmpl w:val="0A828466"/>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9" w15:restartNumberingAfterBreak="0">
    <w:nsid w:val="6F7655D4"/>
    <w:multiLevelType w:val="hybridMultilevel"/>
    <w:tmpl w:val="1BB8AF14"/>
    <w:lvl w:ilvl="0" w:tplc="CACC835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6FA969C4"/>
    <w:multiLevelType w:val="hybridMultilevel"/>
    <w:tmpl w:val="0A828466"/>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713D090A"/>
    <w:multiLevelType w:val="hybridMultilevel"/>
    <w:tmpl w:val="36B06D64"/>
    <w:lvl w:ilvl="0" w:tplc="B268D3A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73C93809"/>
    <w:multiLevelType w:val="hybridMultilevel"/>
    <w:tmpl w:val="30F6AB7A"/>
    <w:lvl w:ilvl="0" w:tplc="FFFFFFFF">
      <w:start w:val="1"/>
      <w:numFmt w:val="lowerLetter"/>
      <w:lvlText w:val="(%1)"/>
      <w:lvlJc w:val="left"/>
      <w:pPr>
        <w:ind w:left="1080" w:hanging="360"/>
      </w:pPr>
      <w:rPr>
        <w:rFonts w:ascii="Book Antiqua" w:eastAsia="Times New Roman" w:hAnsi="Book Antiqua" w:cs="Times New Roman"/>
        <w:i w:val="0"/>
        <w:iCs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3" w15:restartNumberingAfterBreak="0">
    <w:nsid w:val="740E7E28"/>
    <w:multiLevelType w:val="hybridMultilevel"/>
    <w:tmpl w:val="1ADCE7FA"/>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981110799">
    <w:abstractNumId w:val="10"/>
  </w:num>
  <w:num w:numId="2" w16cid:durableId="1946107755">
    <w:abstractNumId w:val="4"/>
  </w:num>
  <w:num w:numId="3" w16cid:durableId="1842310179">
    <w:abstractNumId w:val="23"/>
  </w:num>
  <w:num w:numId="4" w16cid:durableId="1372917630">
    <w:abstractNumId w:val="15"/>
  </w:num>
  <w:num w:numId="5" w16cid:durableId="1291549968">
    <w:abstractNumId w:val="13"/>
  </w:num>
  <w:num w:numId="6" w16cid:durableId="2015497675">
    <w:abstractNumId w:val="1"/>
  </w:num>
  <w:num w:numId="7" w16cid:durableId="425271877">
    <w:abstractNumId w:val="16"/>
  </w:num>
  <w:num w:numId="8" w16cid:durableId="876048333">
    <w:abstractNumId w:val="0"/>
  </w:num>
  <w:num w:numId="9" w16cid:durableId="640887333">
    <w:abstractNumId w:val="3"/>
  </w:num>
  <w:num w:numId="10" w16cid:durableId="1632711699">
    <w:abstractNumId w:val="6"/>
  </w:num>
  <w:num w:numId="11" w16cid:durableId="278413875">
    <w:abstractNumId w:val="7"/>
  </w:num>
  <w:num w:numId="12" w16cid:durableId="701977579">
    <w:abstractNumId w:val="11"/>
  </w:num>
  <w:num w:numId="13" w16cid:durableId="1243104057">
    <w:abstractNumId w:val="9"/>
  </w:num>
  <w:num w:numId="14" w16cid:durableId="1191190671">
    <w:abstractNumId w:val="17"/>
  </w:num>
  <w:num w:numId="15" w16cid:durableId="536504484">
    <w:abstractNumId w:val="8"/>
  </w:num>
  <w:num w:numId="16" w16cid:durableId="1812016393">
    <w:abstractNumId w:val="22"/>
  </w:num>
  <w:num w:numId="17" w16cid:durableId="14888675">
    <w:abstractNumId w:val="2"/>
  </w:num>
  <w:num w:numId="18" w16cid:durableId="426080385">
    <w:abstractNumId w:val="5"/>
  </w:num>
  <w:num w:numId="19" w16cid:durableId="239217061">
    <w:abstractNumId w:val="12"/>
  </w:num>
  <w:num w:numId="20" w16cid:durableId="1327395457">
    <w:abstractNumId w:val="14"/>
  </w:num>
  <w:num w:numId="21" w16cid:durableId="107701913">
    <w:abstractNumId w:val="19"/>
  </w:num>
  <w:num w:numId="22" w16cid:durableId="1022825600">
    <w:abstractNumId w:val="21"/>
  </w:num>
  <w:num w:numId="23" w16cid:durableId="289871068">
    <w:abstractNumId w:val="20"/>
  </w:num>
  <w:num w:numId="24" w16cid:durableId="176934917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embedTrueTypeFonts/>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031"/>
    <w:rsid w:val="0000270F"/>
    <w:rsid w:val="00003E86"/>
    <w:rsid w:val="000069C8"/>
    <w:rsid w:val="0001054D"/>
    <w:rsid w:val="000107AB"/>
    <w:rsid w:val="00010836"/>
    <w:rsid w:val="0001793B"/>
    <w:rsid w:val="00022FC4"/>
    <w:rsid w:val="00027C66"/>
    <w:rsid w:val="000301E1"/>
    <w:rsid w:val="00031678"/>
    <w:rsid w:val="00032F6A"/>
    <w:rsid w:val="00040CAA"/>
    <w:rsid w:val="000421B4"/>
    <w:rsid w:val="0004254F"/>
    <w:rsid w:val="000502AE"/>
    <w:rsid w:val="0005178C"/>
    <w:rsid w:val="00056B77"/>
    <w:rsid w:val="00056D71"/>
    <w:rsid w:val="00057EF4"/>
    <w:rsid w:val="0007036F"/>
    <w:rsid w:val="000741B3"/>
    <w:rsid w:val="0008657D"/>
    <w:rsid w:val="00086AF8"/>
    <w:rsid w:val="00091F49"/>
    <w:rsid w:val="00093558"/>
    <w:rsid w:val="00094484"/>
    <w:rsid w:val="0009603C"/>
    <w:rsid w:val="000A1DC3"/>
    <w:rsid w:val="000A33B9"/>
    <w:rsid w:val="000B0E9A"/>
    <w:rsid w:val="000B33EC"/>
    <w:rsid w:val="000B757B"/>
    <w:rsid w:val="000B77A8"/>
    <w:rsid w:val="000C0F6A"/>
    <w:rsid w:val="000C5223"/>
    <w:rsid w:val="000C58FF"/>
    <w:rsid w:val="000C68E5"/>
    <w:rsid w:val="000C7E45"/>
    <w:rsid w:val="000D2EB5"/>
    <w:rsid w:val="000D30A4"/>
    <w:rsid w:val="000D5020"/>
    <w:rsid w:val="000D5037"/>
    <w:rsid w:val="000D7909"/>
    <w:rsid w:val="000E1B9F"/>
    <w:rsid w:val="000E515E"/>
    <w:rsid w:val="000E6633"/>
    <w:rsid w:val="000F222B"/>
    <w:rsid w:val="000F22CC"/>
    <w:rsid w:val="000F4244"/>
    <w:rsid w:val="000F6EC7"/>
    <w:rsid w:val="00113415"/>
    <w:rsid w:val="001150B3"/>
    <w:rsid w:val="00115129"/>
    <w:rsid w:val="00115AD8"/>
    <w:rsid w:val="001216F2"/>
    <w:rsid w:val="0012419B"/>
    <w:rsid w:val="001255FB"/>
    <w:rsid w:val="001275A9"/>
    <w:rsid w:val="001336EE"/>
    <w:rsid w:val="00133D83"/>
    <w:rsid w:val="00133DFE"/>
    <w:rsid w:val="0013436E"/>
    <w:rsid w:val="001433C2"/>
    <w:rsid w:val="00150C87"/>
    <w:rsid w:val="00152B9A"/>
    <w:rsid w:val="00157BB5"/>
    <w:rsid w:val="001613A5"/>
    <w:rsid w:val="001633E0"/>
    <w:rsid w:val="00164E97"/>
    <w:rsid w:val="001677A8"/>
    <w:rsid w:val="0017200D"/>
    <w:rsid w:val="0017795B"/>
    <w:rsid w:val="0018091C"/>
    <w:rsid w:val="00185EA9"/>
    <w:rsid w:val="00191362"/>
    <w:rsid w:val="001930DD"/>
    <w:rsid w:val="001932FA"/>
    <w:rsid w:val="00194A5E"/>
    <w:rsid w:val="00194D59"/>
    <w:rsid w:val="0019674C"/>
    <w:rsid w:val="001969E8"/>
    <w:rsid w:val="001A1EA2"/>
    <w:rsid w:val="001C05DD"/>
    <w:rsid w:val="001C1387"/>
    <w:rsid w:val="001C50A0"/>
    <w:rsid w:val="001C54A0"/>
    <w:rsid w:val="001C663D"/>
    <w:rsid w:val="001C7468"/>
    <w:rsid w:val="001D07B3"/>
    <w:rsid w:val="001D0FDF"/>
    <w:rsid w:val="001D1537"/>
    <w:rsid w:val="001D4BBB"/>
    <w:rsid w:val="001D54A8"/>
    <w:rsid w:val="001E1A20"/>
    <w:rsid w:val="001E649E"/>
    <w:rsid w:val="001E7704"/>
    <w:rsid w:val="001F0F16"/>
    <w:rsid w:val="001F3565"/>
    <w:rsid w:val="001F4366"/>
    <w:rsid w:val="001F4416"/>
    <w:rsid w:val="00203B18"/>
    <w:rsid w:val="0021009A"/>
    <w:rsid w:val="002121D5"/>
    <w:rsid w:val="002138BE"/>
    <w:rsid w:val="00215C12"/>
    <w:rsid w:val="00230215"/>
    <w:rsid w:val="002304C5"/>
    <w:rsid w:val="002318F0"/>
    <w:rsid w:val="00231C2C"/>
    <w:rsid w:val="00233635"/>
    <w:rsid w:val="0023393F"/>
    <w:rsid w:val="002429DB"/>
    <w:rsid w:val="002435A4"/>
    <w:rsid w:val="0024422E"/>
    <w:rsid w:val="00251AFB"/>
    <w:rsid w:val="00252646"/>
    <w:rsid w:val="00254DCC"/>
    <w:rsid w:val="002600AE"/>
    <w:rsid w:val="00260333"/>
    <w:rsid w:val="00260FC0"/>
    <w:rsid w:val="00261B4E"/>
    <w:rsid w:val="002646F8"/>
    <w:rsid w:val="00266688"/>
    <w:rsid w:val="00273031"/>
    <w:rsid w:val="0028048F"/>
    <w:rsid w:val="002820D1"/>
    <w:rsid w:val="002858DD"/>
    <w:rsid w:val="00285A15"/>
    <w:rsid w:val="0028794F"/>
    <w:rsid w:val="00291A4F"/>
    <w:rsid w:val="002A1D65"/>
    <w:rsid w:val="002A23EE"/>
    <w:rsid w:val="002A4F4F"/>
    <w:rsid w:val="002B181B"/>
    <w:rsid w:val="002B2FBB"/>
    <w:rsid w:val="002B5618"/>
    <w:rsid w:val="002B62EE"/>
    <w:rsid w:val="002B7906"/>
    <w:rsid w:val="002C1726"/>
    <w:rsid w:val="002C4585"/>
    <w:rsid w:val="002D1693"/>
    <w:rsid w:val="002D6159"/>
    <w:rsid w:val="002D75E1"/>
    <w:rsid w:val="002D7EFD"/>
    <w:rsid w:val="002E26F2"/>
    <w:rsid w:val="002E6D1F"/>
    <w:rsid w:val="002F21CF"/>
    <w:rsid w:val="002F48BA"/>
    <w:rsid w:val="002F5B16"/>
    <w:rsid w:val="00300479"/>
    <w:rsid w:val="00302F90"/>
    <w:rsid w:val="0030308D"/>
    <w:rsid w:val="003042C0"/>
    <w:rsid w:val="00310744"/>
    <w:rsid w:val="00310FDD"/>
    <w:rsid w:val="00312234"/>
    <w:rsid w:val="0031323F"/>
    <w:rsid w:val="00313C97"/>
    <w:rsid w:val="00314E6B"/>
    <w:rsid w:val="00321AB7"/>
    <w:rsid w:val="003224BD"/>
    <w:rsid w:val="0032794E"/>
    <w:rsid w:val="0033128E"/>
    <w:rsid w:val="00332E7A"/>
    <w:rsid w:val="00337D00"/>
    <w:rsid w:val="00340015"/>
    <w:rsid w:val="00343CBC"/>
    <w:rsid w:val="0034626A"/>
    <w:rsid w:val="00346582"/>
    <w:rsid w:val="003524D5"/>
    <w:rsid w:val="00356264"/>
    <w:rsid w:val="00356E97"/>
    <w:rsid w:val="00365FFA"/>
    <w:rsid w:val="00371D68"/>
    <w:rsid w:val="00372E7F"/>
    <w:rsid w:val="0037751A"/>
    <w:rsid w:val="00381E1D"/>
    <w:rsid w:val="003855A1"/>
    <w:rsid w:val="00391B13"/>
    <w:rsid w:val="00396D46"/>
    <w:rsid w:val="003A2100"/>
    <w:rsid w:val="003B17EE"/>
    <w:rsid w:val="003B2357"/>
    <w:rsid w:val="003B6F6C"/>
    <w:rsid w:val="003C53DB"/>
    <w:rsid w:val="003C79D6"/>
    <w:rsid w:val="003D3B08"/>
    <w:rsid w:val="003D42BF"/>
    <w:rsid w:val="003D4499"/>
    <w:rsid w:val="003E0CF2"/>
    <w:rsid w:val="003E2D11"/>
    <w:rsid w:val="003E30F3"/>
    <w:rsid w:val="003F18AA"/>
    <w:rsid w:val="003F352A"/>
    <w:rsid w:val="00402BD7"/>
    <w:rsid w:val="0040712C"/>
    <w:rsid w:val="00411B21"/>
    <w:rsid w:val="00411D69"/>
    <w:rsid w:val="004143E0"/>
    <w:rsid w:val="00415E5D"/>
    <w:rsid w:val="00416F13"/>
    <w:rsid w:val="004221C5"/>
    <w:rsid w:val="004246A8"/>
    <w:rsid w:val="00425710"/>
    <w:rsid w:val="0042619D"/>
    <w:rsid w:val="00432896"/>
    <w:rsid w:val="00437135"/>
    <w:rsid w:val="00437DC4"/>
    <w:rsid w:val="004403A8"/>
    <w:rsid w:val="0044065F"/>
    <w:rsid w:val="00444257"/>
    <w:rsid w:val="00452649"/>
    <w:rsid w:val="00461FBD"/>
    <w:rsid w:val="00462353"/>
    <w:rsid w:val="00462BEA"/>
    <w:rsid w:val="0046344B"/>
    <w:rsid w:val="00465256"/>
    <w:rsid w:val="004674AD"/>
    <w:rsid w:val="00475DF2"/>
    <w:rsid w:val="0048210C"/>
    <w:rsid w:val="0049425A"/>
    <w:rsid w:val="004A02A7"/>
    <w:rsid w:val="004A0EAF"/>
    <w:rsid w:val="004A5974"/>
    <w:rsid w:val="004A63FB"/>
    <w:rsid w:val="004A763E"/>
    <w:rsid w:val="004B290C"/>
    <w:rsid w:val="004B357F"/>
    <w:rsid w:val="004B3861"/>
    <w:rsid w:val="004C1C7C"/>
    <w:rsid w:val="004C411D"/>
    <w:rsid w:val="004C41AE"/>
    <w:rsid w:val="004C6236"/>
    <w:rsid w:val="004D03F5"/>
    <w:rsid w:val="004D0CDB"/>
    <w:rsid w:val="004D26B1"/>
    <w:rsid w:val="004D7071"/>
    <w:rsid w:val="004E04A9"/>
    <w:rsid w:val="004E21E2"/>
    <w:rsid w:val="004E6136"/>
    <w:rsid w:val="004F6B8B"/>
    <w:rsid w:val="005003F6"/>
    <w:rsid w:val="00500DD3"/>
    <w:rsid w:val="00502B14"/>
    <w:rsid w:val="00503836"/>
    <w:rsid w:val="00503C13"/>
    <w:rsid w:val="00504742"/>
    <w:rsid w:val="00506CA0"/>
    <w:rsid w:val="005075F3"/>
    <w:rsid w:val="00511693"/>
    <w:rsid w:val="00512086"/>
    <w:rsid w:val="00521CE8"/>
    <w:rsid w:val="005229AD"/>
    <w:rsid w:val="00522CA1"/>
    <w:rsid w:val="00524FBA"/>
    <w:rsid w:val="00526AC9"/>
    <w:rsid w:val="00527B13"/>
    <w:rsid w:val="00534596"/>
    <w:rsid w:val="005427F8"/>
    <w:rsid w:val="00543529"/>
    <w:rsid w:val="00545120"/>
    <w:rsid w:val="00546040"/>
    <w:rsid w:val="00550344"/>
    <w:rsid w:val="00552C7A"/>
    <w:rsid w:val="00556C43"/>
    <w:rsid w:val="005640D7"/>
    <w:rsid w:val="0056577A"/>
    <w:rsid w:val="00573345"/>
    <w:rsid w:val="0057336F"/>
    <w:rsid w:val="00573C36"/>
    <w:rsid w:val="0057614A"/>
    <w:rsid w:val="00576725"/>
    <w:rsid w:val="00576F23"/>
    <w:rsid w:val="00576F8E"/>
    <w:rsid w:val="00577130"/>
    <w:rsid w:val="00580739"/>
    <w:rsid w:val="005828BB"/>
    <w:rsid w:val="00585854"/>
    <w:rsid w:val="00585D7F"/>
    <w:rsid w:val="00591957"/>
    <w:rsid w:val="00591C09"/>
    <w:rsid w:val="00596E79"/>
    <w:rsid w:val="005A3527"/>
    <w:rsid w:val="005A5C2E"/>
    <w:rsid w:val="005B3512"/>
    <w:rsid w:val="005B3BBD"/>
    <w:rsid w:val="005B429E"/>
    <w:rsid w:val="005C3826"/>
    <w:rsid w:val="005C3AFC"/>
    <w:rsid w:val="005C7524"/>
    <w:rsid w:val="005C7ECE"/>
    <w:rsid w:val="005D3EB3"/>
    <w:rsid w:val="005E3602"/>
    <w:rsid w:val="005E3680"/>
    <w:rsid w:val="005E4152"/>
    <w:rsid w:val="005E63C3"/>
    <w:rsid w:val="005E7EC5"/>
    <w:rsid w:val="005F0A2C"/>
    <w:rsid w:val="005F265C"/>
    <w:rsid w:val="005F2872"/>
    <w:rsid w:val="005F486E"/>
    <w:rsid w:val="006023F4"/>
    <w:rsid w:val="0060246B"/>
    <w:rsid w:val="00604DA6"/>
    <w:rsid w:val="006156E3"/>
    <w:rsid w:val="00615B4D"/>
    <w:rsid w:val="0061628B"/>
    <w:rsid w:val="0062471D"/>
    <w:rsid w:val="006414C7"/>
    <w:rsid w:val="00642C79"/>
    <w:rsid w:val="006430D0"/>
    <w:rsid w:val="00643733"/>
    <w:rsid w:val="00643F93"/>
    <w:rsid w:val="0064494E"/>
    <w:rsid w:val="006465F6"/>
    <w:rsid w:val="006473E3"/>
    <w:rsid w:val="00647846"/>
    <w:rsid w:val="00654571"/>
    <w:rsid w:val="00657A02"/>
    <w:rsid w:val="0066013A"/>
    <w:rsid w:val="00663D06"/>
    <w:rsid w:val="00670249"/>
    <w:rsid w:val="0067040F"/>
    <w:rsid w:val="00670CA7"/>
    <w:rsid w:val="006730F1"/>
    <w:rsid w:val="0068033E"/>
    <w:rsid w:val="0068065A"/>
    <w:rsid w:val="006819FE"/>
    <w:rsid w:val="006872C0"/>
    <w:rsid w:val="00694E17"/>
    <w:rsid w:val="006A05F0"/>
    <w:rsid w:val="006A1488"/>
    <w:rsid w:val="006B03E4"/>
    <w:rsid w:val="006B17C2"/>
    <w:rsid w:val="006B3A56"/>
    <w:rsid w:val="006B4228"/>
    <w:rsid w:val="006B78AD"/>
    <w:rsid w:val="006C4755"/>
    <w:rsid w:val="006C5540"/>
    <w:rsid w:val="006C6334"/>
    <w:rsid w:val="006D1974"/>
    <w:rsid w:val="006D37F1"/>
    <w:rsid w:val="006E1314"/>
    <w:rsid w:val="006E37D2"/>
    <w:rsid w:val="006E7A33"/>
    <w:rsid w:val="006F0B06"/>
    <w:rsid w:val="006F205C"/>
    <w:rsid w:val="006F6D54"/>
    <w:rsid w:val="006F7FEA"/>
    <w:rsid w:val="00702DBD"/>
    <w:rsid w:val="007164D0"/>
    <w:rsid w:val="007167E7"/>
    <w:rsid w:val="007255E2"/>
    <w:rsid w:val="00725A20"/>
    <w:rsid w:val="00730772"/>
    <w:rsid w:val="00731270"/>
    <w:rsid w:val="0073352B"/>
    <w:rsid w:val="00736EAA"/>
    <w:rsid w:val="00740BAC"/>
    <w:rsid w:val="00747D4F"/>
    <w:rsid w:val="00753E10"/>
    <w:rsid w:val="00755AEC"/>
    <w:rsid w:val="00755DDC"/>
    <w:rsid w:val="00760792"/>
    <w:rsid w:val="00763CE6"/>
    <w:rsid w:val="0077017C"/>
    <w:rsid w:val="00773ABA"/>
    <w:rsid w:val="0078017D"/>
    <w:rsid w:val="00781480"/>
    <w:rsid w:val="00791FA9"/>
    <w:rsid w:val="00795BD6"/>
    <w:rsid w:val="007A1A7B"/>
    <w:rsid w:val="007A346E"/>
    <w:rsid w:val="007A4745"/>
    <w:rsid w:val="007A5875"/>
    <w:rsid w:val="007A5D66"/>
    <w:rsid w:val="007B090C"/>
    <w:rsid w:val="007B6B38"/>
    <w:rsid w:val="007C7157"/>
    <w:rsid w:val="007D76E0"/>
    <w:rsid w:val="007E368D"/>
    <w:rsid w:val="007E4C22"/>
    <w:rsid w:val="007E64C0"/>
    <w:rsid w:val="007F1D2B"/>
    <w:rsid w:val="008005A4"/>
    <w:rsid w:val="00804D98"/>
    <w:rsid w:val="00805B64"/>
    <w:rsid w:val="00807CED"/>
    <w:rsid w:val="00812840"/>
    <w:rsid w:val="008132CD"/>
    <w:rsid w:val="008316F2"/>
    <w:rsid w:val="00831773"/>
    <w:rsid w:val="008337A4"/>
    <w:rsid w:val="00834801"/>
    <w:rsid w:val="00836115"/>
    <w:rsid w:val="00836710"/>
    <w:rsid w:val="008402C1"/>
    <w:rsid w:val="008450D8"/>
    <w:rsid w:val="00850770"/>
    <w:rsid w:val="00853ED6"/>
    <w:rsid w:val="008542F2"/>
    <w:rsid w:val="008574AE"/>
    <w:rsid w:val="008670BC"/>
    <w:rsid w:val="00876144"/>
    <w:rsid w:val="008863D7"/>
    <w:rsid w:val="0088798F"/>
    <w:rsid w:val="0089008A"/>
    <w:rsid w:val="00890C4D"/>
    <w:rsid w:val="00891773"/>
    <w:rsid w:val="008925BB"/>
    <w:rsid w:val="008A1828"/>
    <w:rsid w:val="008A1F5E"/>
    <w:rsid w:val="008A5641"/>
    <w:rsid w:val="008B3680"/>
    <w:rsid w:val="008C0934"/>
    <w:rsid w:val="008C2B44"/>
    <w:rsid w:val="008C7F05"/>
    <w:rsid w:val="008D172D"/>
    <w:rsid w:val="008D2008"/>
    <w:rsid w:val="008D5A27"/>
    <w:rsid w:val="008D5B00"/>
    <w:rsid w:val="008E23CC"/>
    <w:rsid w:val="008E3484"/>
    <w:rsid w:val="008E3AED"/>
    <w:rsid w:val="008E5542"/>
    <w:rsid w:val="008E5DA2"/>
    <w:rsid w:val="008F27E4"/>
    <w:rsid w:val="008F6FF2"/>
    <w:rsid w:val="008F7FC7"/>
    <w:rsid w:val="0090179D"/>
    <w:rsid w:val="009061B2"/>
    <w:rsid w:val="009063F6"/>
    <w:rsid w:val="00910CF1"/>
    <w:rsid w:val="009140BD"/>
    <w:rsid w:val="00916051"/>
    <w:rsid w:val="0091725F"/>
    <w:rsid w:val="00922818"/>
    <w:rsid w:val="00930E48"/>
    <w:rsid w:val="00932D39"/>
    <w:rsid w:val="0093314A"/>
    <w:rsid w:val="0093744C"/>
    <w:rsid w:val="00942E06"/>
    <w:rsid w:val="00950505"/>
    <w:rsid w:val="00950A46"/>
    <w:rsid w:val="009511D6"/>
    <w:rsid w:val="00952875"/>
    <w:rsid w:val="00954675"/>
    <w:rsid w:val="00955EB4"/>
    <w:rsid w:val="00961B21"/>
    <w:rsid w:val="00962C3E"/>
    <w:rsid w:val="00963E17"/>
    <w:rsid w:val="00965195"/>
    <w:rsid w:val="00970540"/>
    <w:rsid w:val="00975D82"/>
    <w:rsid w:val="00982DBF"/>
    <w:rsid w:val="009833D3"/>
    <w:rsid w:val="009927E5"/>
    <w:rsid w:val="009A0ED5"/>
    <w:rsid w:val="009B47BF"/>
    <w:rsid w:val="009D1C75"/>
    <w:rsid w:val="009D5726"/>
    <w:rsid w:val="009D61E3"/>
    <w:rsid w:val="009D6908"/>
    <w:rsid w:val="009D7450"/>
    <w:rsid w:val="009D79EC"/>
    <w:rsid w:val="009E36AA"/>
    <w:rsid w:val="009F15AE"/>
    <w:rsid w:val="009F5E7C"/>
    <w:rsid w:val="00A02203"/>
    <w:rsid w:val="00A04577"/>
    <w:rsid w:val="00A11BAB"/>
    <w:rsid w:val="00A1720E"/>
    <w:rsid w:val="00A22039"/>
    <w:rsid w:val="00A23051"/>
    <w:rsid w:val="00A23CBE"/>
    <w:rsid w:val="00A26252"/>
    <w:rsid w:val="00A26489"/>
    <w:rsid w:val="00A30925"/>
    <w:rsid w:val="00A3392B"/>
    <w:rsid w:val="00A41F69"/>
    <w:rsid w:val="00A44362"/>
    <w:rsid w:val="00A47378"/>
    <w:rsid w:val="00A47BDC"/>
    <w:rsid w:val="00A52322"/>
    <w:rsid w:val="00A52F9B"/>
    <w:rsid w:val="00A5416B"/>
    <w:rsid w:val="00A60426"/>
    <w:rsid w:val="00A62528"/>
    <w:rsid w:val="00A625D1"/>
    <w:rsid w:val="00A62ABA"/>
    <w:rsid w:val="00A646FD"/>
    <w:rsid w:val="00A67A3A"/>
    <w:rsid w:val="00A7289B"/>
    <w:rsid w:val="00A73425"/>
    <w:rsid w:val="00A770A7"/>
    <w:rsid w:val="00A7759E"/>
    <w:rsid w:val="00A8093F"/>
    <w:rsid w:val="00A860DC"/>
    <w:rsid w:val="00A92D34"/>
    <w:rsid w:val="00A94A37"/>
    <w:rsid w:val="00A9567F"/>
    <w:rsid w:val="00AA1BAB"/>
    <w:rsid w:val="00AB417C"/>
    <w:rsid w:val="00AB635B"/>
    <w:rsid w:val="00AB6B2F"/>
    <w:rsid w:val="00AC4491"/>
    <w:rsid w:val="00AC7A4D"/>
    <w:rsid w:val="00AD173C"/>
    <w:rsid w:val="00AD1CE3"/>
    <w:rsid w:val="00AD2586"/>
    <w:rsid w:val="00AD2768"/>
    <w:rsid w:val="00AD3CF8"/>
    <w:rsid w:val="00AD473B"/>
    <w:rsid w:val="00AD4C7D"/>
    <w:rsid w:val="00AE1FE1"/>
    <w:rsid w:val="00AE31EE"/>
    <w:rsid w:val="00AF19DC"/>
    <w:rsid w:val="00AF1BD7"/>
    <w:rsid w:val="00AF26DE"/>
    <w:rsid w:val="00B00227"/>
    <w:rsid w:val="00B01686"/>
    <w:rsid w:val="00B02CD9"/>
    <w:rsid w:val="00B03F2F"/>
    <w:rsid w:val="00B04A0B"/>
    <w:rsid w:val="00B06BD6"/>
    <w:rsid w:val="00B06EBD"/>
    <w:rsid w:val="00B12738"/>
    <w:rsid w:val="00B131DE"/>
    <w:rsid w:val="00B139D2"/>
    <w:rsid w:val="00B13D1B"/>
    <w:rsid w:val="00B14DA2"/>
    <w:rsid w:val="00B155EE"/>
    <w:rsid w:val="00B158BC"/>
    <w:rsid w:val="00B20626"/>
    <w:rsid w:val="00B231AC"/>
    <w:rsid w:val="00B23F46"/>
    <w:rsid w:val="00B24BAA"/>
    <w:rsid w:val="00B34886"/>
    <w:rsid w:val="00B34B9F"/>
    <w:rsid w:val="00B4099C"/>
    <w:rsid w:val="00B41851"/>
    <w:rsid w:val="00B51DBD"/>
    <w:rsid w:val="00B5375E"/>
    <w:rsid w:val="00B57F92"/>
    <w:rsid w:val="00B60014"/>
    <w:rsid w:val="00B60332"/>
    <w:rsid w:val="00B70822"/>
    <w:rsid w:val="00B70B63"/>
    <w:rsid w:val="00B72A6A"/>
    <w:rsid w:val="00B74EC0"/>
    <w:rsid w:val="00B81DD3"/>
    <w:rsid w:val="00B81E44"/>
    <w:rsid w:val="00B8278F"/>
    <w:rsid w:val="00B84666"/>
    <w:rsid w:val="00B84B1D"/>
    <w:rsid w:val="00B87A1C"/>
    <w:rsid w:val="00B87D3C"/>
    <w:rsid w:val="00B950B6"/>
    <w:rsid w:val="00BA3CB8"/>
    <w:rsid w:val="00BA70CD"/>
    <w:rsid w:val="00BB3314"/>
    <w:rsid w:val="00BB3C4F"/>
    <w:rsid w:val="00BB48CC"/>
    <w:rsid w:val="00BB4F4D"/>
    <w:rsid w:val="00BC1AD6"/>
    <w:rsid w:val="00BD11DE"/>
    <w:rsid w:val="00BD3985"/>
    <w:rsid w:val="00BD4F99"/>
    <w:rsid w:val="00BE4BBF"/>
    <w:rsid w:val="00BE55AC"/>
    <w:rsid w:val="00BE6A63"/>
    <w:rsid w:val="00BE7D02"/>
    <w:rsid w:val="00BF0204"/>
    <w:rsid w:val="00BF5673"/>
    <w:rsid w:val="00BF5A14"/>
    <w:rsid w:val="00BF5DE6"/>
    <w:rsid w:val="00C004A4"/>
    <w:rsid w:val="00C05E49"/>
    <w:rsid w:val="00C05E9D"/>
    <w:rsid w:val="00C06126"/>
    <w:rsid w:val="00C13DC9"/>
    <w:rsid w:val="00C2331C"/>
    <w:rsid w:val="00C25487"/>
    <w:rsid w:val="00C32AB8"/>
    <w:rsid w:val="00C32AF1"/>
    <w:rsid w:val="00C33CEB"/>
    <w:rsid w:val="00C361CD"/>
    <w:rsid w:val="00C400A1"/>
    <w:rsid w:val="00C42450"/>
    <w:rsid w:val="00C47E72"/>
    <w:rsid w:val="00C51B78"/>
    <w:rsid w:val="00C53079"/>
    <w:rsid w:val="00C56E4D"/>
    <w:rsid w:val="00C56ECB"/>
    <w:rsid w:val="00C57448"/>
    <w:rsid w:val="00C635EB"/>
    <w:rsid w:val="00C6494E"/>
    <w:rsid w:val="00C71782"/>
    <w:rsid w:val="00C7694F"/>
    <w:rsid w:val="00C8076C"/>
    <w:rsid w:val="00C81B02"/>
    <w:rsid w:val="00C87975"/>
    <w:rsid w:val="00C90DA0"/>
    <w:rsid w:val="00C93262"/>
    <w:rsid w:val="00C97C1A"/>
    <w:rsid w:val="00CA38D8"/>
    <w:rsid w:val="00CA3F74"/>
    <w:rsid w:val="00CA5BDF"/>
    <w:rsid w:val="00CB2AE9"/>
    <w:rsid w:val="00CB5269"/>
    <w:rsid w:val="00CB6810"/>
    <w:rsid w:val="00CC0DC1"/>
    <w:rsid w:val="00CC12B7"/>
    <w:rsid w:val="00CC16C2"/>
    <w:rsid w:val="00CC2987"/>
    <w:rsid w:val="00CC3134"/>
    <w:rsid w:val="00CC3852"/>
    <w:rsid w:val="00CC4EDC"/>
    <w:rsid w:val="00CC6A59"/>
    <w:rsid w:val="00CD0E6C"/>
    <w:rsid w:val="00CD7B56"/>
    <w:rsid w:val="00CE36C8"/>
    <w:rsid w:val="00CF3010"/>
    <w:rsid w:val="00CF4242"/>
    <w:rsid w:val="00CF70FE"/>
    <w:rsid w:val="00D00EE1"/>
    <w:rsid w:val="00D21E5F"/>
    <w:rsid w:val="00D24065"/>
    <w:rsid w:val="00D312C4"/>
    <w:rsid w:val="00D32989"/>
    <w:rsid w:val="00D32EB3"/>
    <w:rsid w:val="00D42696"/>
    <w:rsid w:val="00D43503"/>
    <w:rsid w:val="00D43E19"/>
    <w:rsid w:val="00D50765"/>
    <w:rsid w:val="00D50CD3"/>
    <w:rsid w:val="00D5113C"/>
    <w:rsid w:val="00D54537"/>
    <w:rsid w:val="00D67CEE"/>
    <w:rsid w:val="00D814BA"/>
    <w:rsid w:val="00D81859"/>
    <w:rsid w:val="00D82600"/>
    <w:rsid w:val="00D840F6"/>
    <w:rsid w:val="00D84992"/>
    <w:rsid w:val="00D902A0"/>
    <w:rsid w:val="00D92BAE"/>
    <w:rsid w:val="00D937E3"/>
    <w:rsid w:val="00D938F9"/>
    <w:rsid w:val="00D95879"/>
    <w:rsid w:val="00D962FB"/>
    <w:rsid w:val="00DA5EB9"/>
    <w:rsid w:val="00DB21F6"/>
    <w:rsid w:val="00DC23C3"/>
    <w:rsid w:val="00DD225A"/>
    <w:rsid w:val="00DD4DFA"/>
    <w:rsid w:val="00DD4EC2"/>
    <w:rsid w:val="00DD633A"/>
    <w:rsid w:val="00DD6D60"/>
    <w:rsid w:val="00DE4C0D"/>
    <w:rsid w:val="00DF4DB8"/>
    <w:rsid w:val="00DF5718"/>
    <w:rsid w:val="00DF5E51"/>
    <w:rsid w:val="00DF7351"/>
    <w:rsid w:val="00E03053"/>
    <w:rsid w:val="00E05064"/>
    <w:rsid w:val="00E079B9"/>
    <w:rsid w:val="00E138E0"/>
    <w:rsid w:val="00E142DA"/>
    <w:rsid w:val="00E22AE3"/>
    <w:rsid w:val="00E22CE1"/>
    <w:rsid w:val="00E2741C"/>
    <w:rsid w:val="00E30811"/>
    <w:rsid w:val="00E31356"/>
    <w:rsid w:val="00E3223D"/>
    <w:rsid w:val="00E45E9B"/>
    <w:rsid w:val="00E64141"/>
    <w:rsid w:val="00E65583"/>
    <w:rsid w:val="00E67017"/>
    <w:rsid w:val="00E673B7"/>
    <w:rsid w:val="00E7117D"/>
    <w:rsid w:val="00E71396"/>
    <w:rsid w:val="00E73B27"/>
    <w:rsid w:val="00E75D0B"/>
    <w:rsid w:val="00E83E85"/>
    <w:rsid w:val="00E8449E"/>
    <w:rsid w:val="00E87812"/>
    <w:rsid w:val="00E90225"/>
    <w:rsid w:val="00E93811"/>
    <w:rsid w:val="00E96B80"/>
    <w:rsid w:val="00E97260"/>
    <w:rsid w:val="00EA175C"/>
    <w:rsid w:val="00EA178E"/>
    <w:rsid w:val="00EA3595"/>
    <w:rsid w:val="00EA5801"/>
    <w:rsid w:val="00EA6377"/>
    <w:rsid w:val="00EB087E"/>
    <w:rsid w:val="00EB506F"/>
    <w:rsid w:val="00EC2169"/>
    <w:rsid w:val="00EC31D3"/>
    <w:rsid w:val="00EC69F6"/>
    <w:rsid w:val="00ED3996"/>
    <w:rsid w:val="00ED3D87"/>
    <w:rsid w:val="00ED5A58"/>
    <w:rsid w:val="00ED7B08"/>
    <w:rsid w:val="00EE009B"/>
    <w:rsid w:val="00EE58A4"/>
    <w:rsid w:val="00EE7FDF"/>
    <w:rsid w:val="00EF2711"/>
    <w:rsid w:val="00EF2D8D"/>
    <w:rsid w:val="00EF6596"/>
    <w:rsid w:val="00F026C9"/>
    <w:rsid w:val="00F16B71"/>
    <w:rsid w:val="00F245C1"/>
    <w:rsid w:val="00F27415"/>
    <w:rsid w:val="00F3308A"/>
    <w:rsid w:val="00F36138"/>
    <w:rsid w:val="00F373F2"/>
    <w:rsid w:val="00F37EC1"/>
    <w:rsid w:val="00F42967"/>
    <w:rsid w:val="00F44B1E"/>
    <w:rsid w:val="00F519A3"/>
    <w:rsid w:val="00F55BC6"/>
    <w:rsid w:val="00F57042"/>
    <w:rsid w:val="00F571EB"/>
    <w:rsid w:val="00F65464"/>
    <w:rsid w:val="00F70223"/>
    <w:rsid w:val="00F70BEF"/>
    <w:rsid w:val="00F70D38"/>
    <w:rsid w:val="00F739FE"/>
    <w:rsid w:val="00F81E58"/>
    <w:rsid w:val="00F84204"/>
    <w:rsid w:val="00F858BD"/>
    <w:rsid w:val="00F96E52"/>
    <w:rsid w:val="00FA0CB1"/>
    <w:rsid w:val="00FA11F4"/>
    <w:rsid w:val="00FA78C0"/>
    <w:rsid w:val="00FB470E"/>
    <w:rsid w:val="00FB77D5"/>
    <w:rsid w:val="00FC1A40"/>
    <w:rsid w:val="00FC1D99"/>
    <w:rsid w:val="00FC2737"/>
    <w:rsid w:val="00FC62A0"/>
    <w:rsid w:val="00FC671D"/>
    <w:rsid w:val="00FD065B"/>
    <w:rsid w:val="00FD093E"/>
    <w:rsid w:val="00FE2D53"/>
    <w:rsid w:val="00FF2214"/>
    <w:rsid w:val="00FF50BE"/>
    <w:rsid w:val="542407D0"/>
    <w:rsid w:val="56E75300"/>
  </w:rsids>
  <m:mathPr>
    <m:mathFont m:val="Cambria Math"/>
    <m:brkBin m:val="before"/>
    <m:brkBinSub m:val="--"/>
    <m:smallFrac m:val="0"/>
    <m:dispDef/>
    <m:lMargin m:val="0"/>
    <m:rMargin m:val="0"/>
    <m:defJc m:val="centerGroup"/>
    <m:wrapIndent m:val="1440"/>
    <m:intLim m:val="subSup"/>
    <m:naryLim m:val="undOvr"/>
  </m:mathPr>
  <w:themeFontLang w:val="es-P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550656"/>
  <w15:docId w15:val="{E4A010D0-6D1E-4C8A-A25D-91D888FB4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qFormat="1"/>
    <w:lsdException w:name="annotation text" w:qFormat="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qFormat="1"/>
    <w:lsdException w:name="line number" w:uiPriority="0" w:qFormat="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uiPriority w:val="9"/>
    <w:qFormat/>
    <w:pPr>
      <w:spacing w:line="480" w:lineRule="auto"/>
      <w:ind w:firstLine="720"/>
      <w:jc w:val="both"/>
      <w:outlineLvl w:val="0"/>
    </w:pPr>
    <w:rPr>
      <w:rFonts w:ascii="Book Antiqua" w:hAnsi="Book Antiqua"/>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qFormat/>
    <w:rPr>
      <w:rFonts w:ascii="Segoe UI" w:hAnsi="Segoe UI" w:cs="Segoe UI"/>
      <w:sz w:val="18"/>
      <w:szCs w:val="18"/>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qFormat/>
    <w:rPr>
      <w:sz w:val="20"/>
    </w:rPr>
  </w:style>
  <w:style w:type="paragraph" w:styleId="CommentSubject">
    <w:name w:val="annotation subject"/>
    <w:basedOn w:val="CommentText"/>
    <w:next w:val="CommentText"/>
    <w:link w:val="CommentSubjectChar"/>
    <w:semiHidden/>
    <w:unhideWhenUsed/>
    <w:qFormat/>
    <w:rPr>
      <w:b/>
      <w:bCs/>
    </w:rPr>
  </w:style>
  <w:style w:type="paragraph" w:styleId="Footer">
    <w:name w:val="footer"/>
    <w:basedOn w:val="Normal"/>
    <w:qFormat/>
    <w:pPr>
      <w:tabs>
        <w:tab w:val="center" w:pos="4320"/>
        <w:tab w:val="right" w:pos="8640"/>
      </w:tabs>
    </w:pPr>
  </w:style>
  <w:style w:type="character" w:styleId="FootnoteReference">
    <w:name w:val="footnote reference"/>
    <w:uiPriority w:val="99"/>
    <w:qFormat/>
    <w:rPr>
      <w:vertAlign w:val="superscript"/>
    </w:rPr>
  </w:style>
  <w:style w:type="paragraph" w:styleId="FootnoteText">
    <w:name w:val="footnote text"/>
    <w:basedOn w:val="Normal"/>
    <w:link w:val="FootnoteTextChar"/>
    <w:uiPriority w:val="99"/>
    <w:qFormat/>
    <w:rPr>
      <w:sz w:val="20"/>
    </w:rPr>
  </w:style>
  <w:style w:type="paragraph" w:styleId="Header">
    <w:name w:val="header"/>
    <w:basedOn w:val="Normal"/>
    <w:link w:val="HeaderChar"/>
    <w:qFormat/>
    <w:pPr>
      <w:tabs>
        <w:tab w:val="center" w:pos="4320"/>
        <w:tab w:val="right" w:pos="8640"/>
      </w:tabs>
    </w:pPr>
  </w:style>
  <w:style w:type="character" w:styleId="Hyperlink">
    <w:name w:val="Hyperlink"/>
    <w:basedOn w:val="DefaultParagraphFont"/>
    <w:rPr>
      <w:color w:val="0563C1" w:themeColor="hyperlink"/>
      <w:u w:val="single"/>
    </w:rPr>
  </w:style>
  <w:style w:type="character" w:styleId="LineNumber">
    <w:name w:val="line number"/>
    <w:basedOn w:val="DefaultParagraphFont"/>
    <w:qFormat/>
  </w:style>
  <w:style w:type="character" w:styleId="PageNumber">
    <w:name w:val="page number"/>
    <w:basedOn w:val="DefaultParagraphFont"/>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 Normal1"/>
    <w:qFormat/>
    <w:tblPr>
      <w:tblCellMar>
        <w:top w:w="0" w:type="dxa"/>
        <w:left w:w="0" w:type="dxa"/>
        <w:bottom w:w="0" w:type="dxa"/>
        <w:right w:w="0" w:type="dxa"/>
      </w:tblCellMar>
    </w:tblPr>
  </w:style>
  <w:style w:type="paragraph" w:customStyle="1" w:styleId="Title2">
    <w:name w:val="Title2"/>
    <w:basedOn w:val="Normal"/>
    <w:next w:val="Normal"/>
    <w:qFormat/>
    <w:pPr>
      <w:tabs>
        <w:tab w:val="left" w:pos="648"/>
        <w:tab w:val="right" w:pos="7776"/>
        <w:tab w:val="left" w:pos="7848"/>
      </w:tabs>
    </w:pPr>
  </w:style>
  <w:style w:type="paragraph" w:customStyle="1" w:styleId="Firmas">
    <w:name w:val="Firmas"/>
    <w:basedOn w:val="Normal"/>
    <w:qFormat/>
    <w:pPr>
      <w:tabs>
        <w:tab w:val="center" w:pos="1440"/>
        <w:tab w:val="center" w:pos="7200"/>
      </w:tabs>
    </w:pPr>
  </w:style>
  <w:style w:type="character" w:customStyle="1" w:styleId="FootnoteTextChar">
    <w:name w:val="Footnote Text Char"/>
    <w:basedOn w:val="DefaultParagraphFont"/>
    <w:link w:val="FootnoteText"/>
    <w:uiPriority w:val="99"/>
    <w:qFormat/>
  </w:style>
  <w:style w:type="character" w:customStyle="1" w:styleId="BalloonTextChar">
    <w:name w:val="Balloon Text Char"/>
    <w:link w:val="BalloonText"/>
    <w:qFormat/>
    <w:rPr>
      <w:rFonts w:ascii="Segoe UI" w:hAnsi="Segoe UI" w:cs="Segoe UI"/>
      <w:sz w:val="18"/>
      <w:szCs w:val="18"/>
    </w:rPr>
  </w:style>
  <w:style w:type="character" w:customStyle="1" w:styleId="CommentTextChar">
    <w:name w:val="Comment Text Char"/>
    <w:link w:val="CommentText"/>
    <w:uiPriority w:val="99"/>
    <w:qFormat/>
    <w:rPr>
      <w:lang w:val="en-US" w:eastAsia="en-US"/>
    </w:rPr>
  </w:style>
  <w:style w:type="character" w:customStyle="1" w:styleId="CommentSubjectChar">
    <w:name w:val="Comment Subject Char"/>
    <w:link w:val="CommentSubject"/>
    <w:semiHidden/>
    <w:qFormat/>
    <w:rPr>
      <w:b/>
      <w:bCs/>
      <w:lang w:val="en-US" w:eastAsia="en-US"/>
    </w:rPr>
  </w:style>
  <w:style w:type="paragraph" w:styleId="ListParagraph">
    <w:name w:val="List Paragraph"/>
    <w:basedOn w:val="Normal"/>
    <w:uiPriority w:val="1"/>
    <w:qFormat/>
    <w:pPr>
      <w:ind w:left="720"/>
      <w:contextualSpacing/>
    </w:pPr>
  </w:style>
  <w:style w:type="paragraph" w:customStyle="1" w:styleId="Revision1">
    <w:name w:val="Revision1"/>
    <w:hidden/>
    <w:uiPriority w:val="99"/>
    <w:semiHidden/>
    <w:qFormat/>
    <w:rPr>
      <w:sz w:val="24"/>
      <w:szCs w:val="24"/>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customStyle="1" w:styleId="paragraph">
    <w:name w:val="paragraph"/>
    <w:basedOn w:val="Normal"/>
    <w:qFormat/>
    <w:pPr>
      <w:spacing w:before="100" w:beforeAutospacing="1" w:after="100" w:afterAutospacing="1"/>
    </w:pPr>
    <w:rPr>
      <w:rFonts w:eastAsiaTheme="minorEastAsia"/>
    </w:rPr>
  </w:style>
  <w:style w:type="character" w:customStyle="1" w:styleId="normaltextrun">
    <w:name w:val="normaltextrun"/>
    <w:basedOn w:val="DefaultParagraphFont"/>
    <w:qFormat/>
  </w:style>
  <w:style w:type="character" w:customStyle="1" w:styleId="eop">
    <w:name w:val="eop"/>
    <w:basedOn w:val="DefaultParagraphFont"/>
    <w:qFormat/>
  </w:style>
  <w:style w:type="character" w:customStyle="1" w:styleId="contextualspellingandgrammarerror">
    <w:name w:val="contextualspellingandgrammarerror"/>
    <w:basedOn w:val="DefaultParagraphFont"/>
    <w:qFormat/>
  </w:style>
  <w:style w:type="character" w:customStyle="1" w:styleId="spellingerror">
    <w:name w:val="spellingerror"/>
    <w:basedOn w:val="DefaultParagraphFont"/>
  </w:style>
  <w:style w:type="character" w:customStyle="1" w:styleId="HeaderChar">
    <w:name w:val="Header Char"/>
    <w:link w:val="Header"/>
    <w:qFormat/>
    <w:rPr>
      <w:sz w:val="24"/>
      <w:lang w:val="en-US" w:eastAsia="en-US"/>
    </w:rPr>
  </w:style>
  <w:style w:type="character" w:customStyle="1" w:styleId="markedcontent">
    <w:name w:val="markedcontent"/>
    <w:basedOn w:val="DefaultParagraphFont"/>
    <w:qFormat/>
  </w:style>
  <w:style w:type="table" w:customStyle="1" w:styleId="Style40">
    <w:name w:val="_Style 40"/>
    <w:basedOn w:val="TableNormal1"/>
    <w:qFormat/>
    <w:tblPr>
      <w:tblCellMar>
        <w:left w:w="108" w:type="dxa"/>
        <w:right w:w="108" w:type="dxa"/>
      </w:tblCellMar>
    </w:tblPr>
  </w:style>
  <w:style w:type="table" w:customStyle="1" w:styleId="Style41">
    <w:name w:val="_Style 41"/>
    <w:basedOn w:val="TableNormal1"/>
    <w:qFormat/>
    <w:tblPr>
      <w:tblCellMar>
        <w:left w:w="108" w:type="dxa"/>
        <w:right w:w="108" w:type="dxa"/>
      </w:tblCellMar>
    </w:tblPr>
  </w:style>
  <w:style w:type="table" w:customStyle="1" w:styleId="Style42">
    <w:name w:val="_Style 42"/>
    <w:basedOn w:val="TableNormal1"/>
    <w:tblPr>
      <w:tblCellMar>
        <w:left w:w="108" w:type="dxa"/>
        <w:right w:w="108" w:type="dxa"/>
      </w:tblCellMar>
    </w:tblPr>
  </w:style>
  <w:style w:type="table" w:customStyle="1" w:styleId="Style43">
    <w:name w:val="_Style 43"/>
    <w:basedOn w:val="TableNormal1"/>
    <w:qFormat/>
    <w:tblPr>
      <w:tblCellMar>
        <w:left w:w="108" w:type="dxa"/>
        <w:right w:w="108" w:type="dxa"/>
      </w:tblCellMar>
    </w:tblPr>
  </w:style>
  <w:style w:type="paragraph" w:styleId="Revision">
    <w:name w:val="Revision"/>
    <w:hidden/>
    <w:uiPriority w:val="99"/>
    <w:semiHidden/>
    <w:rsid w:val="00891773"/>
    <w:rPr>
      <w:sz w:val="24"/>
      <w:szCs w:val="24"/>
    </w:rPr>
  </w:style>
  <w:style w:type="paragraph" w:styleId="BodyText">
    <w:name w:val="Body Text"/>
    <w:basedOn w:val="Normal"/>
    <w:link w:val="BodyTextChar"/>
    <w:qFormat/>
    <w:rsid w:val="009061B2"/>
    <w:pPr>
      <w:jc w:val="both"/>
    </w:pPr>
    <w:rPr>
      <w:lang w:val="es-PR"/>
    </w:rPr>
  </w:style>
  <w:style w:type="character" w:customStyle="1" w:styleId="BodyTextChar">
    <w:name w:val="Body Text Char"/>
    <w:basedOn w:val="DefaultParagraphFont"/>
    <w:link w:val="BodyText"/>
    <w:rsid w:val="009061B2"/>
    <w:rPr>
      <w:sz w:val="24"/>
      <w:szCs w:val="24"/>
      <w:lang w:val="es-PR"/>
    </w:rPr>
  </w:style>
  <w:style w:type="paragraph" w:customStyle="1" w:styleId="default">
    <w:name w:val="default"/>
    <w:basedOn w:val="Normal"/>
    <w:rsid w:val="00465256"/>
    <w:pPr>
      <w:autoSpaceDE w:val="0"/>
      <w:autoSpaceDN w:val="0"/>
    </w:pPr>
    <w:rPr>
      <w:rFonts w:ascii="DXANP N+ Serifa B T," w:hAnsi="DXANP N+ Serifa B T,"/>
      <w:color w:val="000000"/>
    </w:rPr>
  </w:style>
  <w:style w:type="paragraph" w:styleId="NormalWeb">
    <w:name w:val="Normal (Web)"/>
    <w:basedOn w:val="Normal"/>
    <w:unhideWhenUsed/>
    <w:rsid w:val="000B77A8"/>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05511">
      <w:bodyDiv w:val="1"/>
      <w:marLeft w:val="0"/>
      <w:marRight w:val="0"/>
      <w:marTop w:val="0"/>
      <w:marBottom w:val="0"/>
      <w:divBdr>
        <w:top w:val="none" w:sz="0" w:space="0" w:color="auto"/>
        <w:left w:val="none" w:sz="0" w:space="0" w:color="auto"/>
        <w:bottom w:val="none" w:sz="0" w:space="0" w:color="auto"/>
        <w:right w:val="none" w:sz="0" w:space="0" w:color="auto"/>
      </w:divBdr>
    </w:div>
    <w:div w:id="756948593">
      <w:bodyDiv w:val="1"/>
      <w:marLeft w:val="0"/>
      <w:marRight w:val="0"/>
      <w:marTop w:val="0"/>
      <w:marBottom w:val="0"/>
      <w:divBdr>
        <w:top w:val="none" w:sz="0" w:space="0" w:color="auto"/>
        <w:left w:val="none" w:sz="0" w:space="0" w:color="auto"/>
        <w:bottom w:val="none" w:sz="0" w:space="0" w:color="auto"/>
        <w:right w:val="none" w:sz="0" w:space="0" w:color="auto"/>
      </w:divBdr>
    </w:div>
    <w:div w:id="1077828967">
      <w:bodyDiv w:val="1"/>
      <w:marLeft w:val="0"/>
      <w:marRight w:val="0"/>
      <w:marTop w:val="0"/>
      <w:marBottom w:val="0"/>
      <w:divBdr>
        <w:top w:val="none" w:sz="0" w:space="0" w:color="auto"/>
        <w:left w:val="none" w:sz="0" w:space="0" w:color="auto"/>
        <w:bottom w:val="none" w:sz="0" w:space="0" w:color="auto"/>
        <w:right w:val="none" w:sz="0" w:space="0" w:color="auto"/>
      </w:divBdr>
    </w:div>
    <w:div w:id="1172840640">
      <w:bodyDiv w:val="1"/>
      <w:marLeft w:val="0"/>
      <w:marRight w:val="0"/>
      <w:marTop w:val="0"/>
      <w:marBottom w:val="0"/>
      <w:divBdr>
        <w:top w:val="none" w:sz="0" w:space="0" w:color="auto"/>
        <w:left w:val="none" w:sz="0" w:space="0" w:color="auto"/>
        <w:bottom w:val="none" w:sz="0" w:space="0" w:color="auto"/>
        <w:right w:val="none" w:sz="0" w:space="0" w:color="auto"/>
      </w:divBdr>
    </w:div>
    <w:div w:id="1695420421">
      <w:bodyDiv w:val="1"/>
      <w:marLeft w:val="0"/>
      <w:marRight w:val="0"/>
      <w:marTop w:val="0"/>
      <w:marBottom w:val="0"/>
      <w:divBdr>
        <w:top w:val="none" w:sz="0" w:space="0" w:color="auto"/>
        <w:left w:val="none" w:sz="0" w:space="0" w:color="auto"/>
        <w:bottom w:val="none" w:sz="0" w:space="0" w:color="auto"/>
        <w:right w:val="none" w:sz="0" w:space="0" w:color="auto"/>
      </w:divBdr>
    </w:div>
    <w:div w:id="191420108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ACA031-701D-4F1C-AE51-EA25C8F200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Pages>
  <Words>1855</Words>
  <Characters>10578</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TMRS</dc:creator>
  <cp:keywords/>
  <cp:lastModifiedBy>Gladys J. Burgos Torres</cp:lastModifiedBy>
  <cp:revision>4</cp:revision>
  <cp:lastPrinted>2025-08-18T19:05:00Z</cp:lastPrinted>
  <dcterms:created xsi:type="dcterms:W3CDTF">2025-09-23T20:52:00Z</dcterms:created>
  <dcterms:modified xsi:type="dcterms:W3CDTF">2025-09-24T14:29:00Z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7FE7834F39DE482CA4F0A50B2758235F_13</vt:lpwstr>
  </property>
</Properties>
</file>