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727F5" w14:textId="10AAC3B1" w:rsidR="00DF7D86" w:rsidRPr="006B6B87" w:rsidRDefault="0038510E">
      <w:pPr>
        <w:tabs>
          <w:tab w:val="center" w:pos="4680"/>
        </w:tabs>
        <w:rPr>
          <w:rFonts w:ascii="Book Antiqua" w:eastAsia="Book Antiqua" w:hAnsi="Book Antiqua" w:cs="Book Antiqua"/>
          <w:color w:val="000000" w:themeColor="text1"/>
          <w:spacing w:val="12"/>
          <w:sz w:val="28"/>
          <w:szCs w:val="28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 w:val="28"/>
          <w:szCs w:val="28"/>
          <w:lang w:val="es-PR"/>
        </w:rPr>
        <w:tab/>
      </w:r>
      <w:r w:rsidR="00B45797" w:rsidRPr="006B6B87">
        <w:rPr>
          <w:rFonts w:ascii="Book Antiqua" w:eastAsia="Book Antiqua" w:hAnsi="Book Antiqua" w:cs="Book Antiqua"/>
          <w:color w:val="000000" w:themeColor="text1"/>
          <w:spacing w:val="12"/>
          <w:sz w:val="28"/>
          <w:szCs w:val="28"/>
          <w:lang w:val="es-PR"/>
        </w:rPr>
        <w:t>GOBIERNO</w:t>
      </w:r>
      <w:r w:rsidRPr="006B6B87">
        <w:rPr>
          <w:rFonts w:ascii="Book Antiqua" w:eastAsia="Book Antiqua" w:hAnsi="Book Antiqua" w:cs="Book Antiqua"/>
          <w:color w:val="000000" w:themeColor="text1"/>
          <w:spacing w:val="12"/>
          <w:sz w:val="28"/>
          <w:szCs w:val="28"/>
          <w:lang w:val="es-PR"/>
        </w:rPr>
        <w:t xml:space="preserve"> DE PUERTO RICO</w:t>
      </w:r>
    </w:p>
    <w:p w14:paraId="02A4AC1D" w14:textId="77777777" w:rsidR="00DF7D86" w:rsidRPr="001711E6" w:rsidRDefault="00DF7D86">
      <w:pPr>
        <w:tabs>
          <w:tab w:val="center" w:pos="4680"/>
        </w:tabs>
        <w:rPr>
          <w:rFonts w:ascii="Book Antiqua" w:eastAsia="Book Antiqua" w:hAnsi="Book Antiqua" w:cs="Book Antiqua"/>
          <w:color w:val="000000" w:themeColor="text1"/>
          <w:sz w:val="28"/>
          <w:szCs w:val="28"/>
          <w:lang w:val="es-PR"/>
        </w:rPr>
      </w:pPr>
    </w:p>
    <w:p w14:paraId="026B7A4E" w14:textId="3AA5872C" w:rsidR="00DF7D86" w:rsidRPr="001711E6" w:rsidRDefault="00B45797">
      <w:pPr>
        <w:tabs>
          <w:tab w:val="left" w:pos="720"/>
          <w:tab w:val="left" w:pos="7560"/>
          <w:tab w:val="left" w:pos="8100"/>
        </w:tabs>
        <w:rPr>
          <w:rFonts w:ascii="Book Antiqua" w:eastAsia="Book Antiqua" w:hAnsi="Book Antiqua" w:cs="Book Antiqua"/>
          <w:color w:val="000000" w:themeColor="text1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>20</w:t>
      </w:r>
      <w:r w:rsidRPr="001711E6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m</w:t>
      </w:r>
      <w:r w:rsidR="0038510E" w:rsidRPr="001711E6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a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Asamblea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="00E06415">
        <w:rPr>
          <w:rFonts w:ascii="Book Antiqua" w:eastAsia="Book Antiqua" w:hAnsi="Book Antiqua" w:cs="Book Antiqua"/>
          <w:color w:val="000000" w:themeColor="text1"/>
          <w:lang w:val="es-PR"/>
        </w:rPr>
        <w:t>2</w:t>
      </w:r>
      <w:r w:rsidR="00E06415" w:rsidRPr="00E06415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d</w:t>
      </w:r>
      <w:r w:rsidR="0038510E" w:rsidRPr="001711E6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a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Sesión</w:t>
      </w:r>
    </w:p>
    <w:p w14:paraId="703FA46E" w14:textId="77777777" w:rsidR="00DF7D86" w:rsidRPr="001711E6" w:rsidRDefault="0038510E">
      <w:pPr>
        <w:tabs>
          <w:tab w:val="left" w:pos="720"/>
          <w:tab w:val="left" w:pos="4215"/>
          <w:tab w:val="left" w:pos="5160"/>
          <w:tab w:val="left" w:pos="8100"/>
        </w:tabs>
        <w:rPr>
          <w:rFonts w:ascii="Book Antiqua" w:eastAsia="Book Antiqua" w:hAnsi="Book Antiqua" w:cs="Book Antiqua"/>
          <w:color w:val="000000" w:themeColor="text1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Legislativa</w:t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Ordinaria</w:t>
      </w:r>
    </w:p>
    <w:p w14:paraId="5493F33C" w14:textId="77777777" w:rsidR="00DF7D86" w:rsidRPr="001711E6" w:rsidRDefault="00DF7D86">
      <w:pPr>
        <w:spacing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sz w:val="36"/>
          <w:szCs w:val="36"/>
          <w:lang w:val="es-PR"/>
        </w:rPr>
      </w:pPr>
    </w:p>
    <w:p w14:paraId="4AE730EB" w14:textId="77777777" w:rsidR="00DF7D86" w:rsidRPr="00251481" w:rsidRDefault="0038510E">
      <w:pPr>
        <w:spacing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spacing w:val="12"/>
          <w:sz w:val="36"/>
          <w:szCs w:val="36"/>
          <w:lang w:val="es-PR"/>
        </w:rPr>
      </w:pPr>
      <w:r w:rsidRPr="00251481">
        <w:rPr>
          <w:rFonts w:ascii="Book Antiqua" w:eastAsia="Book Antiqua" w:hAnsi="Book Antiqua" w:cs="Book Antiqua"/>
          <w:b/>
          <w:color w:val="000000" w:themeColor="text1"/>
          <w:spacing w:val="12"/>
          <w:sz w:val="36"/>
          <w:szCs w:val="36"/>
          <w:lang w:val="es-PR"/>
        </w:rPr>
        <w:t>CÁMARA DE REPRESENTANTES</w:t>
      </w:r>
    </w:p>
    <w:p w14:paraId="224C8555" w14:textId="3DDC692A" w:rsidR="00DF7D86" w:rsidRPr="001711E6" w:rsidRDefault="00611979">
      <w:pPr>
        <w:spacing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</w:pPr>
      <w:r w:rsidRPr="001711E6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 xml:space="preserve">P. de la C. </w:t>
      </w:r>
      <w:r w:rsidR="00EC4D34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>875</w:t>
      </w:r>
    </w:p>
    <w:p w14:paraId="6CA3DF2C" w14:textId="77777777" w:rsidR="00DF7D86" w:rsidRPr="00251481" w:rsidRDefault="0038510E" w:rsidP="00FC1C6B">
      <w:pPr>
        <w:spacing w:after="160"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spacing w:val="12"/>
          <w:sz w:val="28"/>
          <w:szCs w:val="28"/>
          <w:lang w:val="es-PR"/>
        </w:rPr>
      </w:pPr>
      <w:r w:rsidRPr="00251481">
        <w:rPr>
          <w:rFonts w:ascii="Book Antiqua" w:eastAsia="Book Antiqua" w:hAnsi="Book Antiqua" w:cs="Book Antiqua"/>
          <w:b/>
          <w:color w:val="000000" w:themeColor="text1"/>
          <w:spacing w:val="12"/>
          <w:sz w:val="28"/>
          <w:szCs w:val="28"/>
          <w:lang w:val="es-PR"/>
        </w:rPr>
        <w:t>INFORME POSITIVO</w:t>
      </w:r>
    </w:p>
    <w:p w14:paraId="65B59E42" w14:textId="003419D5" w:rsidR="00DF7D86" w:rsidRDefault="000F0F91" w:rsidP="00FC1C6B">
      <w:pPr>
        <w:spacing w:after="160" w:line="360" w:lineRule="auto"/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21</w:t>
      </w:r>
      <w:r w:rsidR="001015D5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de </w:t>
      </w:r>
      <w:r w:rsidR="00445017">
        <w:rPr>
          <w:rFonts w:ascii="Book Antiqua" w:eastAsia="Book Antiqua" w:hAnsi="Book Antiqua" w:cs="Book Antiqua"/>
          <w:color w:val="000000" w:themeColor="text1"/>
          <w:lang w:val="es-PR"/>
        </w:rPr>
        <w:t>octubre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de 202</w:t>
      </w:r>
      <w:r w:rsidR="00B45797" w:rsidRPr="001711E6">
        <w:rPr>
          <w:rFonts w:ascii="Book Antiqua" w:eastAsia="Book Antiqua" w:hAnsi="Book Antiqua" w:cs="Book Antiqua"/>
          <w:color w:val="000000" w:themeColor="text1"/>
          <w:lang w:val="es-PR"/>
        </w:rPr>
        <w:t>5</w:t>
      </w:r>
    </w:p>
    <w:p w14:paraId="2714CB15" w14:textId="77777777" w:rsidR="00DF7D86" w:rsidRPr="00251481" w:rsidRDefault="0038510E" w:rsidP="002A065A">
      <w:pPr>
        <w:spacing w:after="240"/>
        <w:jc w:val="both"/>
        <w:rPr>
          <w:rFonts w:ascii="Book Antiqua" w:eastAsia="Book Antiqua" w:hAnsi="Book Antiqua" w:cs="Book Antiqua"/>
          <w:b/>
          <w:color w:val="000000" w:themeColor="text1"/>
          <w:spacing w:val="12"/>
          <w:lang w:val="es-PR"/>
        </w:rPr>
      </w:pPr>
      <w:r w:rsidRPr="00251481">
        <w:rPr>
          <w:rFonts w:ascii="Book Antiqua" w:eastAsia="Book Antiqua" w:hAnsi="Book Antiqua" w:cs="Book Antiqua"/>
          <w:b/>
          <w:color w:val="000000" w:themeColor="text1"/>
          <w:spacing w:val="12"/>
          <w:lang w:val="es-PR"/>
        </w:rPr>
        <w:t>A LA CÁMARA DE REPRESENTANTES DE PUERTO RICO</w:t>
      </w:r>
    </w:p>
    <w:p w14:paraId="48CACF04" w14:textId="5A1E64DC" w:rsidR="00DF7D86" w:rsidRPr="001711E6" w:rsidRDefault="00436471" w:rsidP="004F3EF4">
      <w:pPr>
        <w:spacing w:after="36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La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Comisión </w:t>
      </w:r>
      <w:r w:rsidR="00B45797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de </w:t>
      </w:r>
      <w:r w:rsidR="001711E6" w:rsidRPr="001711E6"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="001015D5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o Jurídico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>de la Cámara de Representantes, previo estudio y c</w:t>
      </w:r>
      <w:r w:rsidR="00611979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onsideración del P. de la C. </w:t>
      </w:r>
      <w:r w:rsidR="00DC5B19">
        <w:rPr>
          <w:rFonts w:ascii="Book Antiqua" w:eastAsia="Book Antiqua" w:hAnsi="Book Antiqua" w:cs="Book Antiqua"/>
          <w:color w:val="000000" w:themeColor="text1"/>
          <w:lang w:val="es-PR"/>
        </w:rPr>
        <w:t>875</w:t>
      </w:r>
      <w:r w:rsidR="00900740" w:rsidRPr="001711E6">
        <w:rPr>
          <w:rFonts w:ascii="Book Antiqua" w:eastAsia="Book Antiqua" w:hAnsi="Book Antiqua" w:cs="Book Antiqua"/>
          <w:color w:val="000000" w:themeColor="text1"/>
          <w:lang w:val="es-PR"/>
        </w:rPr>
        <w:t>,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D93990" w:rsidRPr="001711E6">
        <w:rPr>
          <w:rFonts w:ascii="Book Antiqua" w:eastAsia="Book Antiqua" w:hAnsi="Book Antiqua" w:cs="Book Antiqua"/>
          <w:color w:val="000000" w:themeColor="text1"/>
          <w:lang w:val="es-PR"/>
        </w:rPr>
        <w:t>recom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i</w:t>
      </w:r>
      <w:r w:rsidR="00D93990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enda su </w:t>
      </w:r>
      <w:r w:rsidR="007B257D" w:rsidRPr="001711E6">
        <w:rPr>
          <w:rFonts w:ascii="Book Antiqua" w:eastAsia="Book Antiqua" w:hAnsi="Book Antiqua" w:cs="Book Antiqua"/>
          <w:color w:val="000000" w:themeColor="text1"/>
          <w:lang w:val="es-PR"/>
        </w:rPr>
        <w:t>aprobación</w:t>
      </w:r>
      <w:r w:rsidR="00900740" w:rsidRPr="001711E6">
        <w:rPr>
          <w:rFonts w:ascii="Book Antiqua" w:eastAsia="Book Antiqua" w:hAnsi="Book Antiqua" w:cs="Book Antiqua"/>
          <w:color w:val="000000" w:themeColor="text1"/>
          <w:lang w:val="es-PR"/>
        </w:rPr>
        <w:t>,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B55DDB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con las enmiendas que se encuentran en el </w:t>
      </w:r>
      <w:proofErr w:type="spellStart"/>
      <w:r w:rsidR="006739EE" w:rsidRPr="001711E6">
        <w:rPr>
          <w:rFonts w:ascii="Book Antiqua" w:eastAsia="Book Antiqua" w:hAnsi="Book Antiqua" w:cs="Book Antiqua"/>
          <w:color w:val="000000" w:themeColor="text1"/>
          <w:lang w:val="es-PR"/>
        </w:rPr>
        <w:t>ent</w:t>
      </w:r>
      <w:r w:rsidR="00445017">
        <w:rPr>
          <w:rFonts w:ascii="Book Antiqua" w:eastAsia="Book Antiqua" w:hAnsi="Book Antiqua" w:cs="Book Antiqua"/>
          <w:color w:val="000000" w:themeColor="text1"/>
          <w:lang w:val="es-PR"/>
        </w:rPr>
        <w:t>i</w:t>
      </w:r>
      <w:r w:rsidR="006739EE" w:rsidRPr="001711E6">
        <w:rPr>
          <w:rFonts w:ascii="Book Antiqua" w:eastAsia="Book Antiqua" w:hAnsi="Book Antiqua" w:cs="Book Antiqua"/>
          <w:color w:val="000000" w:themeColor="text1"/>
          <w:lang w:val="es-PR"/>
        </w:rPr>
        <w:t>rillado</w:t>
      </w:r>
      <w:proofErr w:type="spellEnd"/>
      <w:r w:rsidR="00B55DDB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electrónico que se acompaña.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</w:p>
    <w:p w14:paraId="1C560ACC" w14:textId="691A9A65" w:rsidR="00C54AD6" w:rsidRPr="001711E6" w:rsidRDefault="003B38A4" w:rsidP="002A065A">
      <w:pPr>
        <w:spacing w:after="240"/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251481">
        <w:rPr>
          <w:rFonts w:ascii="Book Antiqua" w:eastAsia="Book Antiqua" w:hAnsi="Book Antiqua" w:cs="Book Antiqua"/>
          <w:b/>
          <w:bCs/>
          <w:color w:val="000000" w:themeColor="text1"/>
          <w:spacing w:val="12"/>
          <w:lang w:val="es-PR"/>
        </w:rPr>
        <w:t>ALCANCE DE LA MEDIDA</w:t>
      </w:r>
    </w:p>
    <w:p w14:paraId="1840F209" w14:textId="1ED8DD50" w:rsidR="0099305E" w:rsidRPr="004F3EF4" w:rsidRDefault="003B38A4" w:rsidP="004F3EF4">
      <w:pPr>
        <w:spacing w:after="36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El </w:t>
      </w:r>
      <w:r w:rsidR="00FC1C6B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P. de la C. </w:t>
      </w:r>
      <w:r w:rsidR="00DC5B19">
        <w:rPr>
          <w:rFonts w:ascii="Book Antiqua" w:eastAsia="Book Antiqua" w:hAnsi="Book Antiqua" w:cs="Book Antiqua"/>
          <w:color w:val="000000" w:themeColor="text1"/>
          <w:lang w:val="es-PR"/>
        </w:rPr>
        <w:t>875</w:t>
      </w:r>
      <w:r w:rsidR="008D32D5">
        <w:rPr>
          <w:rFonts w:ascii="Book Antiqua" w:eastAsia="Book Antiqua" w:hAnsi="Book Antiqua" w:cs="Book Antiqua"/>
          <w:color w:val="000000" w:themeColor="text1"/>
          <w:lang w:val="es-PR"/>
        </w:rPr>
        <w:t xml:space="preserve"> propone</w:t>
      </w:r>
      <w:r w:rsidR="00623890">
        <w:rPr>
          <w:rFonts w:ascii="Book Antiqua" w:eastAsia="Book Antiqua" w:hAnsi="Book Antiqua" w:cs="Book Antiqua"/>
          <w:color w:val="000000" w:themeColor="text1"/>
          <w:lang w:val="es-PR"/>
        </w:rPr>
        <w:t>:</w:t>
      </w:r>
      <w:r w:rsidR="008D32D5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8E4630" w:rsidRPr="006B68ED">
        <w:rPr>
          <w:rFonts w:ascii="Book Antiqua" w:hAnsi="Book Antiqua"/>
          <w:szCs w:val="24"/>
          <w:lang w:val="es-PR"/>
        </w:rPr>
        <w:t>enmendar</w:t>
      </w:r>
      <w:r w:rsidR="008E4630">
        <w:rPr>
          <w:rFonts w:ascii="Book Antiqua" w:hAnsi="Book Antiqua"/>
          <w:szCs w:val="24"/>
          <w:lang w:val="es-PR"/>
        </w:rPr>
        <w:t xml:space="preserve"> el inciso (A) de</w:t>
      </w:r>
      <w:r w:rsidR="008E4630" w:rsidRPr="006B68ED">
        <w:rPr>
          <w:rFonts w:ascii="Book Antiqua" w:hAnsi="Book Antiqua"/>
          <w:szCs w:val="24"/>
          <w:lang w:val="es-PR"/>
        </w:rPr>
        <w:t xml:space="preserve"> </w:t>
      </w:r>
      <w:r w:rsidR="008E4630">
        <w:rPr>
          <w:rFonts w:ascii="Book Antiqua" w:hAnsi="Book Antiqua"/>
          <w:szCs w:val="24"/>
          <w:lang w:val="es-PR"/>
        </w:rPr>
        <w:t>la Sección 2 de la Ley Núm. 221 de 15 de mayo de 1948, según enmendada,</w:t>
      </w:r>
      <w:r w:rsidR="004D28C3">
        <w:rPr>
          <w:rStyle w:val="FootnoteReference"/>
          <w:rFonts w:ascii="Book Antiqua" w:hAnsi="Book Antiqua"/>
          <w:szCs w:val="24"/>
          <w:lang w:val="es-PR"/>
        </w:rPr>
        <w:footnoteReference w:id="1"/>
      </w:r>
      <w:r w:rsidR="008E4630">
        <w:rPr>
          <w:rFonts w:ascii="Book Antiqua" w:hAnsi="Book Antiqua"/>
          <w:szCs w:val="24"/>
          <w:lang w:val="es-PR"/>
        </w:rPr>
        <w:t xml:space="preserve"> </w:t>
      </w:r>
      <w:r w:rsidR="00EC4189">
        <w:rPr>
          <w:rFonts w:ascii="Book Antiqua" w:hAnsi="Book Antiqua"/>
          <w:szCs w:val="24"/>
          <w:lang w:val="es-PR"/>
        </w:rPr>
        <w:t xml:space="preserve">(Ley Núm. 221-1948) </w:t>
      </w:r>
      <w:r w:rsidR="008E4630" w:rsidRPr="006B68ED">
        <w:rPr>
          <w:rFonts w:ascii="Book Antiqua" w:hAnsi="Book Antiqua"/>
          <w:szCs w:val="24"/>
          <w:lang w:val="es-PR"/>
        </w:rPr>
        <w:t xml:space="preserve">a los fines de imponer penalidades más severas por violaciones </w:t>
      </w:r>
      <w:r w:rsidR="008E4630">
        <w:rPr>
          <w:rFonts w:ascii="Book Antiqua" w:hAnsi="Book Antiqua"/>
          <w:szCs w:val="24"/>
          <w:lang w:val="es-PR"/>
        </w:rPr>
        <w:t>a dicha Ley</w:t>
      </w:r>
      <w:r w:rsidR="00CA599D">
        <w:rPr>
          <w:rFonts w:ascii="Book Antiqua" w:hAnsi="Book Antiqua"/>
          <w:szCs w:val="24"/>
          <w:lang w:val="es-PR"/>
        </w:rPr>
        <w:t>.</w:t>
      </w:r>
    </w:p>
    <w:p w14:paraId="4595A8FA" w14:textId="4DC06CF9" w:rsidR="003B38A4" w:rsidRPr="001711E6" w:rsidRDefault="003B38A4" w:rsidP="002A065A">
      <w:pPr>
        <w:spacing w:after="240"/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EC35AA">
        <w:rPr>
          <w:rFonts w:ascii="Book Antiqua" w:eastAsia="Book Antiqua" w:hAnsi="Book Antiqua" w:cs="Book Antiqua"/>
          <w:b/>
          <w:bCs/>
          <w:color w:val="000000" w:themeColor="text1"/>
          <w:spacing w:val="12"/>
          <w:lang w:val="es-PR"/>
        </w:rPr>
        <w:t>ANÁLISIS DE LA MEDIDA</w:t>
      </w:r>
    </w:p>
    <w:p w14:paraId="6508C882" w14:textId="2F9F48A6" w:rsidR="008349F7" w:rsidRDefault="008349F7" w:rsidP="008349F7">
      <w:pPr>
        <w:spacing w:after="24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8349F7">
        <w:rPr>
          <w:rFonts w:ascii="Book Antiqua" w:eastAsia="Book Antiqua" w:hAnsi="Book Antiqua" w:cs="Book Antiqua"/>
          <w:color w:val="000000" w:themeColor="text1"/>
          <w:lang w:val="es-PR"/>
        </w:rPr>
        <w:t>La Ley Núm. 221</w:t>
      </w:r>
      <w:r w:rsidR="00D76DC7">
        <w:rPr>
          <w:rFonts w:ascii="Book Antiqua" w:eastAsia="Book Antiqua" w:hAnsi="Book Antiqua" w:cs="Book Antiqua"/>
          <w:color w:val="000000" w:themeColor="text1"/>
          <w:lang w:val="es-PR"/>
        </w:rPr>
        <w:t>-</w:t>
      </w:r>
      <w:r w:rsidRPr="008349F7">
        <w:rPr>
          <w:rFonts w:ascii="Book Antiqua" w:eastAsia="Book Antiqua" w:hAnsi="Book Antiqua" w:cs="Book Antiqua"/>
          <w:color w:val="000000" w:themeColor="text1"/>
          <w:lang w:val="es-PR"/>
        </w:rPr>
        <w:t xml:space="preserve">1948, autoriza los juegos de ruleta, barajas y dados, entre otros, en salas de juego operadas con franquicia expedida por el Comisionado de Instituciones Financieras.  A pesar de los controles y regulaciones existentes para los juegos de azar, existen lugares que mantienen, de manera clandestina, áreas de juegos </w:t>
      </w:r>
      <w:r w:rsidR="00644F9F">
        <w:rPr>
          <w:rFonts w:ascii="Book Antiqua" w:eastAsia="Book Antiqua" w:hAnsi="Book Antiqua" w:cs="Book Antiqua"/>
          <w:color w:val="000000" w:themeColor="text1"/>
          <w:lang w:val="es-PR"/>
        </w:rPr>
        <w:t xml:space="preserve">que </w:t>
      </w:r>
      <w:r w:rsidRPr="008349F7">
        <w:rPr>
          <w:rFonts w:ascii="Book Antiqua" w:eastAsia="Book Antiqua" w:hAnsi="Book Antiqua" w:cs="Book Antiqua"/>
          <w:color w:val="000000" w:themeColor="text1"/>
          <w:lang w:val="es-PR"/>
        </w:rPr>
        <w:t xml:space="preserve">solo están permitidos en casinos operados según dispuesto por ley. </w:t>
      </w:r>
      <w:r w:rsidR="00EA6BF8">
        <w:rPr>
          <w:rFonts w:ascii="Book Antiqua" w:eastAsia="Book Antiqua" w:hAnsi="Book Antiqua" w:cs="Book Antiqua"/>
          <w:color w:val="000000" w:themeColor="text1"/>
          <w:lang w:val="es-PR"/>
        </w:rPr>
        <w:t>O</w:t>
      </w:r>
      <w:r w:rsidRPr="008349F7">
        <w:rPr>
          <w:rFonts w:ascii="Book Antiqua" w:eastAsia="Book Antiqua" w:hAnsi="Book Antiqua" w:cs="Book Antiqua"/>
          <w:color w:val="000000" w:themeColor="text1"/>
          <w:lang w:val="es-PR"/>
        </w:rPr>
        <w:t>pera</w:t>
      </w:r>
      <w:r w:rsidR="00EA6BF8">
        <w:rPr>
          <w:rFonts w:ascii="Book Antiqua" w:eastAsia="Book Antiqua" w:hAnsi="Book Antiqua" w:cs="Book Antiqua"/>
          <w:color w:val="000000" w:themeColor="text1"/>
          <w:lang w:val="es-PR"/>
        </w:rPr>
        <w:t>r tales juegos</w:t>
      </w:r>
      <w:r w:rsidRPr="008349F7">
        <w:rPr>
          <w:rFonts w:ascii="Book Antiqua" w:eastAsia="Book Antiqua" w:hAnsi="Book Antiqua" w:cs="Book Antiqua"/>
          <w:color w:val="000000" w:themeColor="text1"/>
          <w:lang w:val="es-PR"/>
        </w:rPr>
        <w:t xml:space="preserve"> en lugares impropios añade tentación, debido a su fácil acceso</w:t>
      </w:r>
      <w:r w:rsidR="000E3D53">
        <w:rPr>
          <w:rFonts w:ascii="Book Antiqua" w:eastAsia="Book Antiqua" w:hAnsi="Book Antiqua" w:cs="Book Antiqua"/>
          <w:color w:val="000000" w:themeColor="text1"/>
          <w:lang w:val="es-PR"/>
        </w:rPr>
        <w:t>. Esto</w:t>
      </w:r>
      <w:r w:rsidRPr="008349F7">
        <w:rPr>
          <w:rFonts w:ascii="Book Antiqua" w:eastAsia="Book Antiqua" w:hAnsi="Book Antiqua" w:cs="Book Antiqua"/>
          <w:color w:val="000000" w:themeColor="text1"/>
          <w:lang w:val="es-PR"/>
        </w:rPr>
        <w:t xml:space="preserve"> incrementa las posibilidades de adicción al juego.</w:t>
      </w:r>
    </w:p>
    <w:p w14:paraId="3ABCB136" w14:textId="30CA7408" w:rsidR="00C6641C" w:rsidRDefault="00C6641C" w:rsidP="00E84744">
      <w:pPr>
        <w:spacing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C6641C">
        <w:rPr>
          <w:rFonts w:ascii="Book Antiqua" w:eastAsia="Book Antiqua" w:hAnsi="Book Antiqua" w:cs="Book Antiqua"/>
          <w:color w:val="000000" w:themeColor="text1"/>
          <w:lang w:val="es-PR"/>
        </w:rPr>
        <w:lastRenderedPageBreak/>
        <w:t xml:space="preserve">Estos </w:t>
      </w:r>
      <w:r w:rsidRPr="000E3D53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casinos ilegales</w:t>
      </w:r>
      <w:r w:rsidRPr="00C6641C">
        <w:rPr>
          <w:rFonts w:ascii="Book Antiqua" w:eastAsia="Book Antiqua" w:hAnsi="Book Antiqua" w:cs="Book Antiqua"/>
          <w:color w:val="000000" w:themeColor="text1"/>
          <w:lang w:val="es-PR"/>
        </w:rPr>
        <w:t xml:space="preserve">, no tan solo representan un riesgo para la salud y el bienestar de nuestro pueblo, sino que afectan la industria turística. A diferencia de estas actividades ilegales que están sin control y no aportan dinero al Gobierno, los casinos autorizados sí generan actividad y desarrollo económico. </w:t>
      </w:r>
      <w:r w:rsidR="00AD7476"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Pr="00C6641C">
        <w:rPr>
          <w:rFonts w:ascii="Book Antiqua" w:eastAsia="Book Antiqua" w:hAnsi="Book Antiqua" w:cs="Book Antiqua"/>
          <w:color w:val="000000" w:themeColor="text1"/>
          <w:lang w:val="es-PR"/>
        </w:rPr>
        <w:t xml:space="preserve">a industria de los casinos es altamente regulada por legislación y reglamentación, tanto estatal como federal. </w:t>
      </w:r>
      <w:r w:rsidR="007C4791">
        <w:rPr>
          <w:rFonts w:ascii="Book Antiqua" w:eastAsia="Book Antiqua" w:hAnsi="Book Antiqua" w:cs="Book Antiqua"/>
          <w:color w:val="000000" w:themeColor="text1"/>
          <w:lang w:val="es-PR"/>
        </w:rPr>
        <w:t xml:space="preserve">Por ejemplo, y por disposiciones federales, los casinos deben tener controles y monitoreo </w:t>
      </w:r>
      <w:r w:rsidRPr="00C6641C">
        <w:rPr>
          <w:rFonts w:ascii="Book Antiqua" w:eastAsia="Book Antiqua" w:hAnsi="Book Antiqua" w:cs="Book Antiqua"/>
          <w:color w:val="000000" w:themeColor="text1"/>
          <w:lang w:val="es-PR"/>
        </w:rPr>
        <w:t>dirigid</w:t>
      </w:r>
      <w:r w:rsidR="007C4791">
        <w:rPr>
          <w:rFonts w:ascii="Book Antiqua" w:eastAsia="Book Antiqua" w:hAnsi="Book Antiqua" w:cs="Book Antiqua"/>
          <w:color w:val="000000" w:themeColor="text1"/>
          <w:lang w:val="es-PR"/>
        </w:rPr>
        <w:t>o</w:t>
      </w:r>
      <w:r w:rsidRPr="00C6641C">
        <w:rPr>
          <w:rFonts w:ascii="Book Antiqua" w:eastAsia="Book Antiqua" w:hAnsi="Book Antiqua" w:cs="Book Antiqua"/>
          <w:color w:val="000000" w:themeColor="text1"/>
          <w:lang w:val="es-PR"/>
        </w:rPr>
        <w:t xml:space="preserve"> a evitar el lavado de dinero y el financiamiento de actividades terroristas </w:t>
      </w:r>
      <w:r w:rsidR="007C4791">
        <w:rPr>
          <w:rFonts w:ascii="Book Antiqua" w:eastAsia="Book Antiqua" w:hAnsi="Book Antiqua" w:cs="Book Antiqua"/>
          <w:color w:val="000000" w:themeColor="text1"/>
          <w:lang w:val="es-PR"/>
        </w:rPr>
        <w:t>y</w:t>
      </w:r>
      <w:r w:rsidRPr="00C6641C">
        <w:rPr>
          <w:rFonts w:ascii="Book Antiqua" w:eastAsia="Book Antiqua" w:hAnsi="Book Antiqua" w:cs="Book Antiqua"/>
          <w:color w:val="000000" w:themeColor="text1"/>
          <w:lang w:val="es-PR"/>
        </w:rPr>
        <w:t xml:space="preserve"> de narcotráfico.</w:t>
      </w:r>
    </w:p>
    <w:p w14:paraId="19139031" w14:textId="2022BB50" w:rsidR="008E1A90" w:rsidRDefault="00E84744" w:rsidP="00351413">
      <w:pPr>
        <w:spacing w:after="12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Así, esta medida </w:t>
      </w:r>
      <w:r w:rsidR="000713CD">
        <w:rPr>
          <w:rFonts w:ascii="Book Antiqua" w:eastAsia="Book Antiqua" w:hAnsi="Book Antiqua" w:cs="Book Antiqua"/>
          <w:color w:val="000000" w:themeColor="text1"/>
          <w:lang w:val="es-PR"/>
        </w:rPr>
        <w:t xml:space="preserve">busca reforzar el cumplimiento de la </w:t>
      </w:r>
      <w:r w:rsidR="000713CD" w:rsidRPr="008349F7">
        <w:rPr>
          <w:rFonts w:ascii="Book Antiqua" w:eastAsia="Book Antiqua" w:hAnsi="Book Antiqua" w:cs="Book Antiqua"/>
          <w:color w:val="000000" w:themeColor="text1"/>
          <w:lang w:val="es-PR"/>
        </w:rPr>
        <w:t>Ley Núm. 221</w:t>
      </w:r>
      <w:r w:rsidR="000713CD">
        <w:rPr>
          <w:rFonts w:ascii="Book Antiqua" w:eastAsia="Book Antiqua" w:hAnsi="Book Antiqua" w:cs="Book Antiqua"/>
          <w:color w:val="000000" w:themeColor="text1"/>
          <w:lang w:val="es-PR"/>
        </w:rPr>
        <w:t>-</w:t>
      </w:r>
      <w:r w:rsidR="000713CD" w:rsidRPr="008349F7">
        <w:rPr>
          <w:rFonts w:ascii="Book Antiqua" w:eastAsia="Book Antiqua" w:hAnsi="Book Antiqua" w:cs="Book Antiqua"/>
          <w:color w:val="000000" w:themeColor="text1"/>
          <w:lang w:val="es-PR"/>
        </w:rPr>
        <w:t>1948</w:t>
      </w:r>
      <w:r w:rsidR="000713CD">
        <w:rPr>
          <w:rFonts w:ascii="Book Antiqua" w:eastAsia="Book Antiqua" w:hAnsi="Book Antiqua" w:cs="Book Antiqua"/>
          <w:color w:val="000000" w:themeColor="text1"/>
          <w:lang w:val="es-PR"/>
        </w:rPr>
        <w:t xml:space="preserve">, </w:t>
      </w:r>
      <w:r w:rsidR="005C189C">
        <w:rPr>
          <w:rFonts w:ascii="Book Antiqua" w:eastAsia="Book Antiqua" w:hAnsi="Book Antiqua" w:cs="Book Antiqua"/>
          <w:color w:val="000000" w:themeColor="text1"/>
          <w:lang w:val="es-PR"/>
        </w:rPr>
        <w:t>y evitar la proliferación de salas de juegos ilegales</w:t>
      </w:r>
      <w:r w:rsidR="006D53C3">
        <w:rPr>
          <w:rFonts w:ascii="Book Antiqua" w:eastAsia="Book Antiqua" w:hAnsi="Book Antiqua" w:cs="Book Antiqua"/>
          <w:color w:val="000000" w:themeColor="text1"/>
          <w:lang w:val="es-PR"/>
        </w:rPr>
        <w:t xml:space="preserve"> o clandestin</w:t>
      </w:r>
      <w:r w:rsidR="00D838EF">
        <w:rPr>
          <w:rFonts w:ascii="Book Antiqua" w:eastAsia="Book Antiqua" w:hAnsi="Book Antiqua" w:cs="Book Antiqua"/>
          <w:color w:val="000000" w:themeColor="text1"/>
          <w:lang w:val="es-PR"/>
        </w:rPr>
        <w:t>a</w:t>
      </w:r>
      <w:r w:rsidR="006D53C3">
        <w:rPr>
          <w:rFonts w:ascii="Book Antiqua" w:eastAsia="Book Antiqua" w:hAnsi="Book Antiqua" w:cs="Book Antiqua"/>
          <w:color w:val="000000" w:themeColor="text1"/>
          <w:lang w:val="es-PR"/>
        </w:rPr>
        <w:t>s. Esta comisión procede a</w:t>
      </w:r>
      <w:r w:rsidR="00C21E81">
        <w:rPr>
          <w:rFonts w:ascii="Book Antiqua" w:eastAsia="Book Antiqua" w:hAnsi="Book Antiqua" w:cs="Book Antiqua"/>
          <w:color w:val="000000" w:themeColor="text1"/>
          <w:lang w:val="es-PR"/>
        </w:rPr>
        <w:t xml:space="preserve"> resumir l</w:t>
      </w:r>
      <w:r w:rsidR="004E57A4">
        <w:rPr>
          <w:rFonts w:ascii="Book Antiqua" w:eastAsia="Book Antiqua" w:hAnsi="Book Antiqua" w:cs="Book Antiqua"/>
          <w:color w:val="000000" w:themeColor="text1"/>
          <w:lang w:val="es-PR"/>
        </w:rPr>
        <w:t>os memoriales</w:t>
      </w:r>
      <w:r w:rsidR="00C21E81">
        <w:rPr>
          <w:rFonts w:ascii="Book Antiqua" w:eastAsia="Book Antiqua" w:hAnsi="Book Antiqua" w:cs="Book Antiqua"/>
          <w:color w:val="000000" w:themeColor="text1"/>
          <w:lang w:val="es-PR"/>
        </w:rPr>
        <w:t xml:space="preserve"> que </w:t>
      </w:r>
      <w:r w:rsidR="0086393C">
        <w:rPr>
          <w:rFonts w:ascii="Book Antiqua" w:eastAsia="Book Antiqua" w:hAnsi="Book Antiqua" w:cs="Book Antiqua"/>
          <w:color w:val="000000" w:themeColor="text1"/>
          <w:lang w:val="es-PR"/>
        </w:rPr>
        <w:t>recibió.</w:t>
      </w:r>
      <w:r w:rsidR="005D2AFE">
        <w:rPr>
          <w:rStyle w:val="FootnoteReference"/>
          <w:rFonts w:ascii="Book Antiqua" w:eastAsia="Book Antiqua" w:hAnsi="Book Antiqua" w:cs="Book Antiqua"/>
          <w:color w:val="000000" w:themeColor="text1"/>
          <w:lang w:val="es-PR"/>
        </w:rPr>
        <w:footnoteReference w:id="2"/>
      </w:r>
    </w:p>
    <w:p w14:paraId="568C2B63" w14:textId="12F06334" w:rsidR="00715E79" w:rsidRDefault="00530FFC" w:rsidP="009C1EF6">
      <w:pPr>
        <w:spacing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La </w:t>
      </w:r>
      <w:r w:rsidR="00FF6422"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>Comisión de Juegos de Puerto Rico</w:t>
      </w:r>
      <w:r w:rsidR="00E93D4C"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 xml:space="preserve"> </w:t>
      </w:r>
      <w:r w:rsidR="00E93D4C">
        <w:rPr>
          <w:rFonts w:ascii="Book Antiqua" w:eastAsia="Book Antiqua" w:hAnsi="Book Antiqua" w:cs="Book Antiqua"/>
          <w:color w:val="000000" w:themeColor="text1"/>
          <w:lang w:val="es-PR"/>
        </w:rPr>
        <w:t>(</w:t>
      </w:r>
      <w:r w:rsidR="001122FF">
        <w:rPr>
          <w:rFonts w:ascii="Book Antiqua" w:eastAsia="Book Antiqua" w:hAnsi="Book Antiqua" w:cs="Book Antiqua"/>
          <w:color w:val="000000" w:themeColor="text1"/>
          <w:lang w:val="es-PR"/>
        </w:rPr>
        <w:t>CGPR</w:t>
      </w:r>
      <w:r w:rsidR="00E93D4C">
        <w:rPr>
          <w:rFonts w:ascii="Book Antiqua" w:eastAsia="Book Antiqua" w:hAnsi="Book Antiqua" w:cs="Book Antiqua"/>
          <w:color w:val="000000" w:themeColor="text1"/>
          <w:lang w:val="es-PR"/>
        </w:rPr>
        <w:t xml:space="preserve">) </w:t>
      </w:r>
      <w:r w:rsidR="00684F31">
        <w:rPr>
          <w:rFonts w:ascii="Book Antiqua" w:eastAsia="Book Antiqua" w:hAnsi="Book Antiqua" w:cs="Book Antiqua"/>
          <w:color w:val="000000" w:themeColor="text1"/>
          <w:lang w:val="es-PR"/>
        </w:rPr>
        <w:t>confirmó que a</w:t>
      </w:r>
      <w:r w:rsidR="00D838EF">
        <w:rPr>
          <w:rFonts w:ascii="Book Antiqua" w:eastAsia="Book Antiqua" w:hAnsi="Book Antiqua" w:cs="Book Antiqua"/>
          <w:color w:val="000000" w:themeColor="text1"/>
          <w:lang w:val="es-PR"/>
        </w:rPr>
        <w:t>ú</w:t>
      </w:r>
      <w:r w:rsidR="00684F31">
        <w:rPr>
          <w:rFonts w:ascii="Book Antiqua" w:eastAsia="Book Antiqua" w:hAnsi="Book Antiqua" w:cs="Book Antiqua"/>
          <w:color w:val="000000" w:themeColor="text1"/>
          <w:lang w:val="es-PR"/>
        </w:rPr>
        <w:t>n se detectan operaciones ilegales de juegos</w:t>
      </w:r>
      <w:r w:rsidR="009E63D2">
        <w:rPr>
          <w:rFonts w:ascii="Book Antiqua" w:eastAsia="Book Antiqua" w:hAnsi="Book Antiqua" w:cs="Book Antiqua"/>
          <w:color w:val="000000" w:themeColor="text1"/>
          <w:lang w:val="es-PR"/>
        </w:rPr>
        <w:t xml:space="preserve">. Esto constituye </w:t>
      </w:r>
      <w:r w:rsidR="00C35682">
        <w:rPr>
          <w:rFonts w:ascii="Book Antiqua" w:eastAsia="Book Antiqua" w:hAnsi="Book Antiqua" w:cs="Book Antiqua"/>
          <w:color w:val="000000" w:themeColor="text1"/>
          <w:lang w:val="es-PR"/>
        </w:rPr>
        <w:t>una competencia desleal frente</w:t>
      </w:r>
      <w:r w:rsidR="00A54C21">
        <w:rPr>
          <w:rFonts w:ascii="Book Antiqua" w:eastAsia="Book Antiqua" w:hAnsi="Book Antiqua" w:cs="Book Antiqua"/>
          <w:color w:val="000000" w:themeColor="text1"/>
          <w:lang w:val="es-PR"/>
        </w:rPr>
        <w:t xml:space="preserve"> a los operadores licenciados, los cuales cumplen </w:t>
      </w:r>
      <w:r w:rsidR="000F17E0">
        <w:rPr>
          <w:rFonts w:ascii="Book Antiqua" w:eastAsia="Book Antiqua" w:hAnsi="Book Antiqua" w:cs="Book Antiqua"/>
          <w:color w:val="000000" w:themeColor="text1"/>
          <w:lang w:val="es-PR"/>
        </w:rPr>
        <w:t>con estrictas regulaciones</w:t>
      </w:r>
      <w:r w:rsidR="003C7A7B">
        <w:rPr>
          <w:rFonts w:ascii="Book Antiqua" w:eastAsia="Book Antiqua" w:hAnsi="Book Antiqua" w:cs="Book Antiqua"/>
          <w:color w:val="000000" w:themeColor="text1"/>
          <w:lang w:val="es-PR"/>
        </w:rPr>
        <w:t>,</w:t>
      </w:r>
      <w:r w:rsidR="000F17E0">
        <w:rPr>
          <w:rFonts w:ascii="Book Antiqua" w:eastAsia="Book Antiqua" w:hAnsi="Book Antiqua" w:cs="Book Antiqua"/>
          <w:color w:val="000000" w:themeColor="text1"/>
          <w:lang w:val="es-PR"/>
        </w:rPr>
        <w:t xml:space="preserve"> controles</w:t>
      </w:r>
      <w:r w:rsidR="003C7A7B">
        <w:rPr>
          <w:rFonts w:ascii="Book Antiqua" w:eastAsia="Book Antiqua" w:hAnsi="Book Antiqua" w:cs="Book Antiqua"/>
          <w:color w:val="000000" w:themeColor="text1"/>
          <w:lang w:val="es-PR"/>
        </w:rPr>
        <w:t xml:space="preserve">, y auditorías. </w:t>
      </w:r>
      <w:r w:rsidR="00863157">
        <w:rPr>
          <w:rFonts w:ascii="Book Antiqua" w:eastAsia="Book Antiqua" w:hAnsi="Book Antiqua" w:cs="Book Antiqua"/>
          <w:color w:val="000000" w:themeColor="text1"/>
          <w:lang w:val="es-PR"/>
        </w:rPr>
        <w:t>Las operaciones ilegales tam</w:t>
      </w:r>
      <w:r w:rsidR="0076706D">
        <w:rPr>
          <w:rFonts w:ascii="Book Antiqua" w:eastAsia="Book Antiqua" w:hAnsi="Book Antiqua" w:cs="Book Antiqua"/>
          <w:color w:val="000000" w:themeColor="text1"/>
          <w:lang w:val="es-PR"/>
        </w:rPr>
        <w:t>poco les ofrecen</w:t>
      </w:r>
      <w:r w:rsidR="00863157">
        <w:rPr>
          <w:rFonts w:ascii="Book Antiqua" w:eastAsia="Book Antiqua" w:hAnsi="Book Antiqua" w:cs="Book Antiqua"/>
          <w:color w:val="000000" w:themeColor="text1"/>
          <w:lang w:val="es-PR"/>
        </w:rPr>
        <w:t xml:space="preserve"> a </w:t>
      </w:r>
      <w:r w:rsidR="0076706D">
        <w:rPr>
          <w:rFonts w:ascii="Book Antiqua" w:eastAsia="Book Antiqua" w:hAnsi="Book Antiqua" w:cs="Book Antiqua"/>
          <w:color w:val="000000" w:themeColor="text1"/>
          <w:lang w:val="es-PR"/>
        </w:rPr>
        <w:t>sus</w:t>
      </w:r>
      <w:r w:rsidR="00863157">
        <w:rPr>
          <w:rFonts w:ascii="Book Antiqua" w:eastAsia="Book Antiqua" w:hAnsi="Book Antiqua" w:cs="Book Antiqua"/>
          <w:color w:val="000000" w:themeColor="text1"/>
          <w:lang w:val="es-PR"/>
        </w:rPr>
        <w:t xml:space="preserve"> consumidores</w:t>
      </w:r>
      <w:r w:rsidR="003C7A7B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6335FA">
        <w:rPr>
          <w:rFonts w:ascii="Book Antiqua" w:eastAsia="Book Antiqua" w:hAnsi="Book Antiqua" w:cs="Book Antiqua"/>
          <w:color w:val="000000" w:themeColor="text1"/>
          <w:lang w:val="es-PR"/>
        </w:rPr>
        <w:t>protecciones que se les exigen a los operadores de juegos de azar con franquicias</w:t>
      </w:r>
      <w:r w:rsidR="008113F5">
        <w:rPr>
          <w:rFonts w:ascii="Book Antiqua" w:eastAsia="Book Antiqua" w:hAnsi="Book Antiqua" w:cs="Book Antiqua"/>
          <w:color w:val="000000" w:themeColor="text1"/>
          <w:lang w:val="es-PR"/>
        </w:rPr>
        <w:t xml:space="preserve"> expedidas</w:t>
      </w:r>
      <w:r w:rsidR="006335FA">
        <w:rPr>
          <w:rFonts w:ascii="Book Antiqua" w:eastAsia="Book Antiqua" w:hAnsi="Book Antiqua" w:cs="Book Antiqua"/>
          <w:color w:val="000000" w:themeColor="text1"/>
          <w:lang w:val="es-PR"/>
        </w:rPr>
        <w:t xml:space="preserve">. </w:t>
      </w:r>
      <w:r w:rsidR="004C0A83">
        <w:rPr>
          <w:rFonts w:ascii="Book Antiqua" w:eastAsia="Book Antiqua" w:hAnsi="Book Antiqua" w:cs="Book Antiqua"/>
          <w:color w:val="000000" w:themeColor="text1"/>
          <w:lang w:val="es-PR"/>
        </w:rPr>
        <w:t>Una de estas protecciones son los programas de juego responsable contra la adicción o ludopatía —según descrito en la exposición de motivos del proyecto.</w:t>
      </w:r>
    </w:p>
    <w:p w14:paraId="2D0EFA12" w14:textId="2A6B1A59" w:rsidR="00440323" w:rsidRDefault="00440323" w:rsidP="00B111A7">
      <w:pPr>
        <w:spacing w:after="12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En fin, la CGPR no objetó que se apruebe el P. de la C. 875</w:t>
      </w:r>
      <w:r w:rsidR="00116AE0">
        <w:rPr>
          <w:rFonts w:ascii="Book Antiqua" w:eastAsia="Book Antiqua" w:hAnsi="Book Antiqua" w:cs="Book Antiqua"/>
          <w:color w:val="000000" w:themeColor="text1"/>
          <w:lang w:val="es-PR"/>
        </w:rPr>
        <w:t>. E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ntiende que la medida </w:t>
      </w:r>
      <w:r w:rsidR="00116AE0">
        <w:rPr>
          <w:rFonts w:ascii="Book Antiqua" w:eastAsia="Book Antiqua" w:hAnsi="Book Antiqua" w:cs="Book Antiqua"/>
          <w:color w:val="000000" w:themeColor="text1"/>
          <w:lang w:val="es-PR"/>
        </w:rPr>
        <w:t>fortalece la acción punitiva contra el juego ilegal</w:t>
      </w:r>
      <w:r w:rsidR="002641C7">
        <w:rPr>
          <w:rFonts w:ascii="Book Antiqua" w:eastAsia="Book Antiqua" w:hAnsi="Book Antiqua" w:cs="Book Antiqua"/>
          <w:color w:val="000000" w:themeColor="text1"/>
          <w:lang w:val="es-PR"/>
        </w:rPr>
        <w:t xml:space="preserve"> y consolida los esfuerzos institucionales que se llevan a cabo para erradicar este mal social.</w:t>
      </w:r>
    </w:p>
    <w:p w14:paraId="1ABFBA00" w14:textId="77777777" w:rsidR="001C27A7" w:rsidRDefault="000F791D" w:rsidP="001C27A7">
      <w:pPr>
        <w:spacing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="009C1EF6">
        <w:rPr>
          <w:rFonts w:ascii="Book Antiqua" w:eastAsia="Book Antiqua" w:hAnsi="Book Antiqua" w:cs="Book Antiqua"/>
          <w:color w:val="000000" w:themeColor="text1"/>
          <w:lang w:val="es-PR"/>
        </w:rPr>
        <w:t xml:space="preserve">a </w:t>
      </w:r>
      <w:r w:rsidR="009C1EF6" w:rsidRPr="000F791D"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>Asociación de Hoteles y Turismo de Puerto Rico</w:t>
      </w:r>
      <w:r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 xml:space="preserve">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(Asociación) </w:t>
      </w:r>
      <w:r w:rsidR="00982754">
        <w:rPr>
          <w:rFonts w:ascii="Book Antiqua" w:eastAsia="Book Antiqua" w:hAnsi="Book Antiqua" w:cs="Book Antiqua"/>
          <w:color w:val="000000" w:themeColor="text1"/>
          <w:lang w:val="es-PR"/>
        </w:rPr>
        <w:t>coincidió con los comentarios de la CGPR, y sugirió enmiendas adicionales</w:t>
      </w:r>
      <w:r w:rsidR="00E7703D">
        <w:rPr>
          <w:rFonts w:ascii="Book Antiqua" w:eastAsia="Book Antiqua" w:hAnsi="Book Antiqua" w:cs="Book Antiqua"/>
          <w:color w:val="000000" w:themeColor="text1"/>
          <w:lang w:val="es-PR"/>
        </w:rPr>
        <w:t xml:space="preserve">: </w:t>
      </w:r>
      <w:r w:rsidR="004F42D9">
        <w:rPr>
          <w:rFonts w:ascii="Book Antiqua" w:eastAsia="Book Antiqua" w:hAnsi="Book Antiqua" w:cs="Book Antiqua"/>
          <w:color w:val="000000" w:themeColor="text1"/>
          <w:lang w:val="es-PR"/>
        </w:rPr>
        <w:t>que se</w:t>
      </w:r>
      <w:r w:rsidR="004F42D9" w:rsidRPr="004F42D9">
        <w:rPr>
          <w:rFonts w:ascii="Book Antiqua" w:eastAsia="Book Antiqua" w:hAnsi="Book Antiqua" w:cs="Book Antiqua"/>
          <w:color w:val="000000" w:themeColor="text1"/>
          <w:lang w:val="es-PR"/>
        </w:rPr>
        <w:t xml:space="preserve"> añada a la palabra </w:t>
      </w:r>
      <w:r w:rsidR="004F42D9" w:rsidRPr="004F42D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póker</w:t>
      </w:r>
      <w:r w:rsidR="004F42D9" w:rsidRPr="004F42D9">
        <w:rPr>
          <w:rFonts w:ascii="Book Antiqua" w:eastAsia="Book Antiqua" w:hAnsi="Book Antiqua" w:cs="Book Antiqua"/>
          <w:color w:val="000000" w:themeColor="text1"/>
          <w:lang w:val="es-PR"/>
        </w:rPr>
        <w:t xml:space="preserve"> y cualquier variante del juego</w:t>
      </w:r>
      <w:r w:rsidR="005F012F">
        <w:rPr>
          <w:rFonts w:ascii="Book Antiqua" w:eastAsia="Book Antiqua" w:hAnsi="Book Antiqua" w:cs="Book Antiqua"/>
          <w:color w:val="000000" w:themeColor="text1"/>
          <w:lang w:val="es-PR"/>
        </w:rPr>
        <w:t xml:space="preserve">, lo cual </w:t>
      </w:r>
      <w:r w:rsidR="004F42D9" w:rsidRPr="004F42D9">
        <w:rPr>
          <w:rFonts w:ascii="Book Antiqua" w:eastAsia="Book Antiqua" w:hAnsi="Book Antiqua" w:cs="Book Antiqua"/>
          <w:color w:val="000000" w:themeColor="text1"/>
          <w:lang w:val="es-PR"/>
        </w:rPr>
        <w:t>incluye</w:t>
      </w:r>
      <w:r w:rsidR="005F012F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4F42D9" w:rsidRPr="004F42D9">
        <w:rPr>
          <w:rFonts w:ascii="Book Antiqua" w:eastAsia="Book Antiqua" w:hAnsi="Book Antiqua" w:cs="Book Antiqua"/>
          <w:color w:val="000000" w:themeColor="text1"/>
          <w:lang w:val="es-PR"/>
        </w:rPr>
        <w:t>torneos</w:t>
      </w:r>
      <w:r w:rsidR="005F012F">
        <w:rPr>
          <w:rFonts w:ascii="Book Antiqua" w:eastAsia="Book Antiqua" w:hAnsi="Book Antiqua" w:cs="Book Antiqua"/>
          <w:color w:val="000000" w:themeColor="text1"/>
          <w:lang w:val="es-PR"/>
        </w:rPr>
        <w:t>; y</w:t>
      </w:r>
      <w:r w:rsidR="00BF4126">
        <w:rPr>
          <w:rFonts w:ascii="Book Antiqua" w:eastAsia="Book Antiqua" w:hAnsi="Book Antiqua" w:cs="Book Antiqua"/>
          <w:color w:val="000000" w:themeColor="text1"/>
          <w:lang w:val="es-PR"/>
        </w:rPr>
        <w:t xml:space="preserve"> que se añada </w:t>
      </w:r>
      <w:r w:rsidR="00BF4126" w:rsidRPr="00BF4126">
        <w:rPr>
          <w:rFonts w:ascii="Book Antiqua" w:eastAsia="Book Antiqua" w:hAnsi="Book Antiqua" w:cs="Book Antiqua"/>
          <w:color w:val="000000" w:themeColor="text1"/>
          <w:lang w:val="es-PR"/>
        </w:rPr>
        <w:t xml:space="preserve">un agravante si la persona es encontrada culpable y </w:t>
      </w:r>
      <w:r w:rsidR="00BF4126">
        <w:rPr>
          <w:rFonts w:ascii="Book Antiqua" w:eastAsia="Book Antiqua" w:hAnsi="Book Antiqua" w:cs="Book Antiqua"/>
          <w:color w:val="000000" w:themeColor="text1"/>
          <w:lang w:val="es-PR"/>
        </w:rPr>
        <w:t>es licenciada por la CGPR.</w:t>
      </w:r>
      <w:r w:rsidR="0042010A">
        <w:rPr>
          <w:rFonts w:ascii="Book Antiqua" w:eastAsia="Book Antiqua" w:hAnsi="Book Antiqua" w:cs="Book Antiqua"/>
          <w:color w:val="000000" w:themeColor="text1"/>
          <w:lang w:val="es-PR"/>
        </w:rPr>
        <w:t xml:space="preserve"> Así, la Asociación </w:t>
      </w:r>
      <w:r w:rsidR="00E162AE">
        <w:rPr>
          <w:rFonts w:ascii="Book Antiqua" w:eastAsia="Book Antiqua" w:hAnsi="Book Antiqua" w:cs="Book Antiqua"/>
          <w:color w:val="000000" w:themeColor="text1"/>
          <w:lang w:val="es-PR"/>
        </w:rPr>
        <w:t xml:space="preserve">condicionó su </w:t>
      </w:r>
      <w:r w:rsidR="0042010A">
        <w:rPr>
          <w:rFonts w:ascii="Book Antiqua" w:eastAsia="Book Antiqua" w:hAnsi="Book Antiqua" w:cs="Book Antiqua"/>
          <w:color w:val="000000" w:themeColor="text1"/>
          <w:lang w:val="es-PR"/>
        </w:rPr>
        <w:t>endos</w:t>
      </w:r>
      <w:r w:rsidR="00E162AE">
        <w:rPr>
          <w:rFonts w:ascii="Book Antiqua" w:eastAsia="Book Antiqua" w:hAnsi="Book Antiqua" w:cs="Book Antiqua"/>
          <w:color w:val="000000" w:themeColor="text1"/>
          <w:lang w:val="es-PR"/>
        </w:rPr>
        <w:t>o a la medida a que se adopten sus recomendaciones</w:t>
      </w:r>
      <w:r w:rsidR="00DA132C">
        <w:rPr>
          <w:rFonts w:ascii="Book Antiqua" w:eastAsia="Book Antiqua" w:hAnsi="Book Antiqua" w:cs="Book Antiqua"/>
          <w:color w:val="000000" w:themeColor="text1"/>
          <w:lang w:val="es-PR"/>
        </w:rPr>
        <w:t>.</w:t>
      </w:r>
    </w:p>
    <w:p w14:paraId="07A9794A" w14:textId="26393B71" w:rsidR="001C27A7" w:rsidRPr="00985BE0" w:rsidRDefault="001C27A7" w:rsidP="00BF4126">
      <w:pPr>
        <w:spacing w:after="24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Cabe destacar que el P. de la C. 875 hace referencia al </w:t>
      </w:r>
      <w:r w:rsidR="00985BE0">
        <w:rPr>
          <w:rFonts w:ascii="Book Antiqua" w:eastAsia="Book Antiqua" w:hAnsi="Book Antiqua" w:cs="Book Antiqua"/>
          <w:color w:val="000000" w:themeColor="text1"/>
          <w:lang w:val="es-PR"/>
        </w:rPr>
        <w:t xml:space="preserve">póquer como uno de los juegos </w:t>
      </w:r>
      <w:r w:rsidR="00352321">
        <w:rPr>
          <w:rFonts w:ascii="Book Antiqua" w:eastAsia="Book Antiqua" w:hAnsi="Book Antiqua" w:cs="Book Antiqua"/>
          <w:color w:val="000000" w:themeColor="text1"/>
          <w:lang w:val="es-PR"/>
        </w:rPr>
        <w:t>que no se pueden jugar fuera de l</w:t>
      </w:r>
      <w:r w:rsidR="00536D1A">
        <w:rPr>
          <w:rFonts w:ascii="Book Antiqua" w:eastAsia="Book Antiqua" w:hAnsi="Book Antiqua" w:cs="Book Antiqua"/>
          <w:color w:val="000000" w:themeColor="text1"/>
          <w:lang w:val="es-PR"/>
        </w:rPr>
        <w:t>os casinos.</w:t>
      </w:r>
      <w:r w:rsidR="00536D1A">
        <w:rPr>
          <w:rStyle w:val="FootnoteReference"/>
          <w:rFonts w:ascii="Book Antiqua" w:eastAsia="Book Antiqua" w:hAnsi="Book Antiqua" w:cs="Book Antiqua"/>
          <w:color w:val="000000" w:themeColor="text1"/>
          <w:lang w:val="es-PR"/>
        </w:rPr>
        <w:footnoteReference w:id="3"/>
      </w:r>
      <w:r w:rsidR="00536D1A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057F42">
        <w:rPr>
          <w:rFonts w:ascii="Book Antiqua" w:eastAsia="Book Antiqua" w:hAnsi="Book Antiqua" w:cs="Book Antiqua"/>
          <w:color w:val="000000" w:themeColor="text1"/>
          <w:lang w:val="es-PR"/>
        </w:rPr>
        <w:t xml:space="preserve">En cuanto a la agravante </w:t>
      </w:r>
      <w:r w:rsidR="00302153">
        <w:rPr>
          <w:rFonts w:ascii="Book Antiqua" w:eastAsia="Book Antiqua" w:hAnsi="Book Antiqua" w:cs="Book Antiqua"/>
          <w:color w:val="000000" w:themeColor="text1"/>
          <w:lang w:val="es-PR"/>
        </w:rPr>
        <w:t xml:space="preserve">sugerida, entendemos que es a la CGPR a quien le corresponde </w:t>
      </w:r>
      <w:r w:rsidR="00E77DD6">
        <w:rPr>
          <w:rFonts w:ascii="Book Antiqua" w:eastAsia="Book Antiqua" w:hAnsi="Book Antiqua" w:cs="Book Antiqua"/>
          <w:color w:val="000000" w:themeColor="text1"/>
          <w:lang w:val="es-PR"/>
        </w:rPr>
        <w:t xml:space="preserve">atender </w:t>
      </w:r>
      <w:r w:rsidR="00EB56FC">
        <w:rPr>
          <w:rFonts w:ascii="Book Antiqua" w:eastAsia="Book Antiqua" w:hAnsi="Book Antiqua" w:cs="Book Antiqua"/>
          <w:color w:val="000000" w:themeColor="text1"/>
          <w:lang w:val="es-PR"/>
        </w:rPr>
        <w:t xml:space="preserve">a nivel administrativo a los empleados </w:t>
      </w:r>
      <w:r w:rsidR="00CC4EBE">
        <w:rPr>
          <w:rFonts w:ascii="Book Antiqua" w:eastAsia="Book Antiqua" w:hAnsi="Book Antiqua" w:cs="Book Antiqua"/>
          <w:color w:val="000000" w:themeColor="text1"/>
          <w:lang w:val="es-PR"/>
        </w:rPr>
        <w:t xml:space="preserve">de casino </w:t>
      </w:r>
      <w:r w:rsidR="00EB56FC">
        <w:rPr>
          <w:rFonts w:ascii="Book Antiqua" w:eastAsia="Book Antiqua" w:hAnsi="Book Antiqua" w:cs="Book Antiqua"/>
          <w:color w:val="000000" w:themeColor="text1"/>
          <w:lang w:val="es-PR"/>
        </w:rPr>
        <w:t xml:space="preserve">licenciados que infrinjan </w:t>
      </w:r>
      <w:r w:rsidR="00AF6FF3">
        <w:rPr>
          <w:rFonts w:ascii="Book Antiqua" w:eastAsia="Book Antiqua" w:hAnsi="Book Antiqua" w:cs="Book Antiqua"/>
          <w:color w:val="000000" w:themeColor="text1"/>
          <w:lang w:val="es-PR"/>
        </w:rPr>
        <w:t>la reglamentación pertinente de la CGPR.</w:t>
      </w:r>
    </w:p>
    <w:p w14:paraId="25D85798" w14:textId="77777777" w:rsidR="001C27A7" w:rsidRDefault="001C27A7" w:rsidP="00BF4126">
      <w:pPr>
        <w:spacing w:after="24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528F8908" w14:textId="26C77587" w:rsidR="003B38A4" w:rsidRPr="000142E7" w:rsidRDefault="003B38A4" w:rsidP="000240CE">
      <w:pPr>
        <w:spacing w:after="240"/>
        <w:jc w:val="center"/>
        <w:rPr>
          <w:rFonts w:ascii="Book Antiqua" w:eastAsia="Book Antiqua" w:hAnsi="Book Antiqua" w:cs="Book Antiqua"/>
          <w:b/>
          <w:bCs/>
          <w:color w:val="000000" w:themeColor="text1"/>
          <w:spacing w:val="12"/>
          <w:szCs w:val="24"/>
          <w:lang w:val="es-PR"/>
        </w:rPr>
      </w:pPr>
      <w:r w:rsidRPr="000142E7">
        <w:rPr>
          <w:rFonts w:ascii="Book Antiqua" w:eastAsia="Book Antiqua" w:hAnsi="Book Antiqua" w:cs="Book Antiqua"/>
          <w:b/>
          <w:bCs/>
          <w:color w:val="000000" w:themeColor="text1"/>
          <w:spacing w:val="12"/>
          <w:szCs w:val="24"/>
          <w:lang w:val="es-PR"/>
        </w:rPr>
        <w:lastRenderedPageBreak/>
        <w:t>CONCLUSIÓN</w:t>
      </w:r>
      <w:r w:rsidR="00F0476A" w:rsidRPr="000142E7">
        <w:rPr>
          <w:rFonts w:ascii="Book Antiqua" w:eastAsia="Book Antiqua" w:hAnsi="Book Antiqua" w:cs="Book Antiqua"/>
          <w:b/>
          <w:bCs/>
          <w:color w:val="000000" w:themeColor="text1"/>
          <w:spacing w:val="12"/>
          <w:szCs w:val="24"/>
          <w:lang w:val="es-PR"/>
        </w:rPr>
        <w:t xml:space="preserve"> Y RECOMENDAC</w:t>
      </w:r>
      <w:r w:rsidR="001711E6" w:rsidRPr="000142E7">
        <w:rPr>
          <w:rFonts w:ascii="Book Antiqua" w:eastAsia="Book Antiqua" w:hAnsi="Book Antiqua" w:cs="Book Antiqua"/>
          <w:b/>
          <w:bCs/>
          <w:color w:val="000000" w:themeColor="text1"/>
          <w:spacing w:val="12"/>
          <w:szCs w:val="24"/>
          <w:lang w:val="es-PR"/>
        </w:rPr>
        <w:t>I</w:t>
      </w:r>
      <w:r w:rsidR="00F0476A" w:rsidRPr="000142E7">
        <w:rPr>
          <w:rFonts w:ascii="Book Antiqua" w:eastAsia="Book Antiqua" w:hAnsi="Book Antiqua" w:cs="Book Antiqua"/>
          <w:b/>
          <w:bCs/>
          <w:color w:val="000000" w:themeColor="text1"/>
          <w:spacing w:val="12"/>
          <w:szCs w:val="24"/>
          <w:lang w:val="es-PR"/>
        </w:rPr>
        <w:t>ÓN</w:t>
      </w:r>
    </w:p>
    <w:p w14:paraId="393B1CBE" w14:textId="537BA560" w:rsidR="00B2796C" w:rsidRDefault="00B3735C" w:rsidP="0064568A">
      <w:pPr>
        <w:spacing w:after="240" w:line="288" w:lineRule="auto"/>
        <w:ind w:firstLine="720"/>
        <w:jc w:val="both"/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</w:pPr>
      <w:r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E</w:t>
      </w:r>
      <w:r w:rsidR="004A4A9F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sta </w:t>
      </w:r>
      <w:r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c</w:t>
      </w:r>
      <w:r w:rsidR="004A4A9F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omisión</w:t>
      </w:r>
      <w:r w:rsidR="00770FEF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  <w:r w:rsidR="00BE6AFB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coincide con la exposición de motivos de la medida. </w:t>
      </w:r>
      <w:r w:rsidR="004700EB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No obstante, se </w:t>
      </w:r>
      <w:r w:rsidR="000D71E7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enmendó la m</w:t>
      </w:r>
      <w:r w:rsidR="00B551E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isma</w:t>
      </w:r>
      <w:r w:rsidR="000D71E7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para establecer penas fijas conforme al Código Penal de Puerto Rico</w:t>
      </w:r>
      <w:r w:rsidR="001B6E3D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—en lugar del lenguaje </w:t>
      </w:r>
      <w:r w:rsidR="002A3982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propuesto</w:t>
      </w:r>
      <w:r w:rsidR="001B6E3D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de que las penas serían por un término </w:t>
      </w:r>
      <w:r w:rsidR="00497551">
        <w:rPr>
          <w:rFonts w:ascii="Book Antiqua" w:eastAsia="Book Antiqua" w:hAnsi="Book Antiqua" w:cs="Book Antiqua"/>
          <w:bCs/>
          <w:i/>
          <w:iCs/>
          <w:color w:val="000000" w:themeColor="text1"/>
          <w:szCs w:val="24"/>
          <w:lang w:val="es-PR"/>
        </w:rPr>
        <w:t xml:space="preserve">no menor de </w:t>
      </w:r>
      <w:r w:rsidR="00497551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cierto tiempo.</w:t>
      </w:r>
      <w:r w:rsidR="00442268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Así, se ofrece certeza</w:t>
      </w:r>
      <w:r w:rsidR="009354A2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jurídica</w:t>
      </w:r>
      <w:r w:rsidR="00442268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  <w:r w:rsidR="009354A2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en concordancia con </w:t>
      </w:r>
      <w:r w:rsidR="00442268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nuestro ordenamiento jurídico</w:t>
      </w:r>
      <w:r w:rsidR="000A170E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.</w:t>
      </w:r>
    </w:p>
    <w:p w14:paraId="3BE57315" w14:textId="7CB0AB20" w:rsidR="004512E8" w:rsidRPr="001711E6" w:rsidRDefault="00FD6179" w:rsidP="000240CE">
      <w:pPr>
        <w:spacing w:line="288" w:lineRule="auto"/>
        <w:ind w:firstLine="720"/>
        <w:jc w:val="both"/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</w:pPr>
      <w:r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Por los fundamentos expuestos, la Comisión de</w:t>
      </w:r>
      <w:r w:rsidR="007761C9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  <w:r w:rsidR="00542113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l</w:t>
      </w:r>
      <w:r w:rsidR="007761C9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o Jurídico</w:t>
      </w:r>
      <w:r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  <w:r w:rsidR="00542113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presenta</w:t>
      </w:r>
      <w:r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e</w:t>
      </w:r>
      <w:r w:rsidR="00542113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ste</w:t>
      </w:r>
      <w:r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Informe Positivo en el que</w:t>
      </w:r>
      <w:r w:rsidR="004C34E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recomienda </w:t>
      </w:r>
      <w:r w:rsidR="001D2A5C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que se apruebe </w:t>
      </w:r>
      <w:r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el P. de la C. </w:t>
      </w:r>
      <w:r w:rsidR="001D2A5C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875</w:t>
      </w:r>
      <w:r w:rsidR="00C11C5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. Ello,</w:t>
      </w:r>
      <w:r w:rsidR="00F0476A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con las enmiendas contenidas en el </w:t>
      </w:r>
      <w:proofErr w:type="spellStart"/>
      <w:r w:rsidR="00F0476A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entirillado</w:t>
      </w:r>
      <w:proofErr w:type="spellEnd"/>
      <w:r w:rsidR="00F0476A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electrónico que se acompaña junto al informe</w:t>
      </w:r>
      <w:r w:rsidR="00F17F1C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.</w:t>
      </w:r>
      <w:r w:rsidR="004512E8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</w:p>
    <w:p w14:paraId="55324CE2" w14:textId="77777777" w:rsidR="004512E8" w:rsidRPr="001711E6" w:rsidRDefault="004512E8" w:rsidP="004512E8">
      <w:pPr>
        <w:jc w:val="both"/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</w:pPr>
    </w:p>
    <w:p w14:paraId="6C8FC9E5" w14:textId="60A2F689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Respetuosamente,</w:t>
      </w:r>
    </w:p>
    <w:p w14:paraId="63414C34" w14:textId="77777777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5B154406" w14:textId="77777777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70EDA1E2" w14:textId="41BE61DF" w:rsidR="003B38A4" w:rsidRPr="00DA036F" w:rsidRDefault="00447224" w:rsidP="003B38A4">
      <w:pPr>
        <w:jc w:val="both"/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</w:pPr>
      <w:r w:rsidRPr="00DA036F"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>José</w:t>
      </w:r>
      <w:r w:rsidR="00D60D6E" w:rsidRPr="00DA036F"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 xml:space="preserve"> J. </w:t>
      </w:r>
      <w:r w:rsidRPr="00DA036F"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>Pérez</w:t>
      </w:r>
      <w:r w:rsidR="00D60D6E" w:rsidRPr="00DA036F"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 xml:space="preserve"> Cordero</w:t>
      </w:r>
      <w:r w:rsidR="003B38A4" w:rsidRPr="00DA036F"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ab/>
        <w:t xml:space="preserve"> </w:t>
      </w:r>
    </w:p>
    <w:p w14:paraId="6768602C" w14:textId="40E4AC25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President</w:t>
      </w:r>
      <w:r w:rsidR="00F248D5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e</w:t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</w:p>
    <w:p w14:paraId="48961C1A" w14:textId="51D15A6B" w:rsidR="007B2F4F" w:rsidRPr="001711E6" w:rsidRDefault="003B38A4" w:rsidP="00F248D5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Comisión </w:t>
      </w:r>
      <w:r w:rsidR="00F248D5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de </w:t>
      </w:r>
      <w:r w:rsidR="00D56E4A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l</w:t>
      </w:r>
      <w:r w:rsidR="009535ED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o Jurídico </w:t>
      </w:r>
    </w:p>
    <w:sectPr w:rsidR="007B2F4F" w:rsidRPr="001711E6" w:rsidSect="005D2A7D">
      <w:headerReference w:type="default" r:id="rId12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45D6BA" w14:textId="77777777" w:rsidR="001D357E" w:rsidRDefault="001D357E">
      <w:r>
        <w:separator/>
      </w:r>
    </w:p>
  </w:endnote>
  <w:endnote w:type="continuationSeparator" w:id="0">
    <w:p w14:paraId="6DA9DA67" w14:textId="77777777" w:rsidR="001D357E" w:rsidRDefault="001D35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auto"/>
    <w:notTrueType/>
    <w:pitch w:val="variable"/>
    <w:sig w:usb0="E00002FF" w:usb1="5000785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8E80D4" w14:textId="77777777" w:rsidR="001D357E" w:rsidRDefault="001D357E">
      <w:r>
        <w:separator/>
      </w:r>
    </w:p>
  </w:footnote>
  <w:footnote w:type="continuationSeparator" w:id="0">
    <w:p w14:paraId="1F6144E4" w14:textId="77777777" w:rsidR="001D357E" w:rsidRDefault="001D357E">
      <w:r>
        <w:continuationSeparator/>
      </w:r>
    </w:p>
  </w:footnote>
  <w:footnote w:id="1">
    <w:p w14:paraId="2D281055" w14:textId="6524D650" w:rsidR="004D28C3" w:rsidRPr="004D28C3" w:rsidRDefault="004D28C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362A8">
        <w:t xml:space="preserve">Conocida como </w:t>
      </w:r>
      <w:r w:rsidR="001362A8" w:rsidRPr="001362A8">
        <w:rPr>
          <w:i/>
          <w:iCs/>
        </w:rPr>
        <w:t>Ley de Juegos de Azar y Autorización de Máquinas Tragamonedas en los Casinos</w:t>
      </w:r>
      <w:r w:rsidR="001362A8">
        <w:t>.</w:t>
      </w:r>
    </w:p>
  </w:footnote>
  <w:footnote w:id="2">
    <w:p w14:paraId="1E4A6D12" w14:textId="23455D80" w:rsidR="005D2AFE" w:rsidRPr="00992DBF" w:rsidRDefault="005D2AFE" w:rsidP="00A87675">
      <w:pPr>
        <w:pStyle w:val="FootnoteText"/>
        <w:spacing w:after="120"/>
        <w:rPr>
          <w:rFonts w:ascii="Book Antiqua" w:hAnsi="Book Antiqua"/>
        </w:rPr>
      </w:pPr>
      <w:r w:rsidRPr="00992DBF">
        <w:rPr>
          <w:rStyle w:val="FootnoteReference"/>
          <w:rFonts w:ascii="Book Antiqua" w:hAnsi="Book Antiqua"/>
        </w:rPr>
        <w:footnoteRef/>
      </w:r>
      <w:r w:rsidRPr="00992DBF">
        <w:rPr>
          <w:rFonts w:ascii="Book Antiqua" w:hAnsi="Book Antiqua"/>
        </w:rPr>
        <w:t xml:space="preserve"> </w:t>
      </w:r>
      <w:r w:rsidR="001738B9" w:rsidRPr="00992DBF">
        <w:rPr>
          <w:rFonts w:ascii="Book Antiqua" w:hAnsi="Book Antiqua"/>
        </w:rPr>
        <w:t>Esta comisión solicitó la comparecencia de la Asociación de Hoteles y Turismo</w:t>
      </w:r>
      <w:r w:rsidR="00370940" w:rsidRPr="00992DBF">
        <w:rPr>
          <w:rFonts w:ascii="Book Antiqua" w:hAnsi="Book Antiqua"/>
        </w:rPr>
        <w:t>, la cual</w:t>
      </w:r>
      <w:r w:rsidR="001738B9" w:rsidRPr="00992DBF">
        <w:rPr>
          <w:rFonts w:ascii="Book Antiqua" w:hAnsi="Book Antiqua"/>
        </w:rPr>
        <w:t xml:space="preserve"> no compareció al momento en que se hizo este informe.</w:t>
      </w:r>
    </w:p>
  </w:footnote>
  <w:footnote w:id="3">
    <w:p w14:paraId="7A71DC93" w14:textId="3832CFE1" w:rsidR="00536D1A" w:rsidRPr="007B2BE3" w:rsidRDefault="00536D1A">
      <w:pPr>
        <w:pStyle w:val="FootnoteText"/>
        <w:rPr>
          <w:i/>
          <w:iCs/>
        </w:rPr>
      </w:pPr>
      <w:r w:rsidRPr="00992DBF">
        <w:rPr>
          <w:rStyle w:val="FootnoteReference"/>
          <w:rFonts w:ascii="Book Antiqua" w:hAnsi="Book Antiqua"/>
        </w:rPr>
        <w:footnoteRef/>
      </w:r>
      <w:r w:rsidRPr="00992DBF">
        <w:rPr>
          <w:rFonts w:ascii="Book Antiqua" w:hAnsi="Book Antiqua"/>
        </w:rPr>
        <w:t xml:space="preserve"> </w:t>
      </w:r>
      <w:r w:rsidR="007B2BE3" w:rsidRPr="00992DBF">
        <w:rPr>
          <w:rFonts w:ascii="Book Antiqua" w:hAnsi="Book Antiqua"/>
        </w:rPr>
        <w:t xml:space="preserve">Según el diccionario de la lengua española, póquer es la traducción correcta del </w:t>
      </w:r>
      <w:r w:rsidR="00B01F09" w:rsidRPr="00992DBF">
        <w:rPr>
          <w:rFonts w:ascii="Book Antiqua" w:hAnsi="Book Antiqua"/>
        </w:rPr>
        <w:t>inglés</w:t>
      </w:r>
      <w:r w:rsidR="007B2BE3" w:rsidRPr="00992DBF">
        <w:rPr>
          <w:rFonts w:ascii="Book Antiqua" w:hAnsi="Book Antiqua"/>
        </w:rPr>
        <w:t xml:space="preserve"> </w:t>
      </w:r>
      <w:proofErr w:type="spellStart"/>
      <w:r w:rsidR="007B2BE3" w:rsidRPr="00992DBF">
        <w:rPr>
          <w:rFonts w:ascii="Book Antiqua" w:hAnsi="Book Antiqua"/>
          <w:i/>
          <w:iCs/>
        </w:rPr>
        <w:t>poker</w:t>
      </w:r>
      <w:proofErr w:type="spellEnd"/>
      <w:r w:rsidR="007B2BE3" w:rsidRPr="00992DBF">
        <w:rPr>
          <w:rFonts w:ascii="Book Antiqua" w:hAnsi="Book Antiqua"/>
          <w:i/>
          <w:iCs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51A2D" w14:textId="442CD06A" w:rsidR="00BA0B5D" w:rsidRPr="00392CEF" w:rsidRDefault="00CE54D8" w:rsidP="00CE54D8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Calibri" w:eastAsia="Calibri" w:hAnsi="Calibri"/>
        <w:b/>
        <w:i/>
        <w:sz w:val="22"/>
        <w:szCs w:val="22"/>
        <w:lang w:val="es-PR"/>
      </w:rPr>
    </w:pPr>
    <w:r w:rsidRPr="00D076CD">
      <w:rPr>
        <w:rFonts w:ascii="Calibri" w:eastAsia="Calibri" w:hAnsi="Calibri"/>
        <w:b/>
        <w:iCs/>
        <w:sz w:val="22"/>
        <w:szCs w:val="22"/>
        <w:lang w:val="es-PR"/>
      </w:rPr>
      <w:t>Informe</w:t>
    </w:r>
    <w:r w:rsidR="00900740" w:rsidRPr="00D076CD">
      <w:rPr>
        <w:rFonts w:ascii="Calibri" w:eastAsia="Calibri" w:hAnsi="Calibri"/>
        <w:b/>
        <w:iCs/>
        <w:sz w:val="22"/>
        <w:szCs w:val="22"/>
        <w:lang w:val="es-PR"/>
      </w:rPr>
      <w:t xml:space="preserve"> Positivo</w:t>
    </w:r>
    <w:r w:rsidRPr="00D076CD">
      <w:rPr>
        <w:rFonts w:ascii="Calibri" w:eastAsia="Calibri" w:hAnsi="Calibri"/>
        <w:b/>
        <w:iCs/>
        <w:sz w:val="22"/>
        <w:szCs w:val="22"/>
        <w:lang w:val="es-PR"/>
      </w:rPr>
      <w:t xml:space="preserve"> P. de la C. </w:t>
    </w:r>
    <w:r w:rsidR="00354C8C">
      <w:rPr>
        <w:rFonts w:ascii="Calibri" w:eastAsia="Calibri" w:hAnsi="Calibri"/>
        <w:b/>
        <w:iCs/>
        <w:sz w:val="22"/>
        <w:szCs w:val="22"/>
        <w:lang w:val="es-PR"/>
      </w:rPr>
      <w:t>875</w:t>
    </w:r>
    <w:r w:rsidRPr="00D076CD">
      <w:rPr>
        <w:rFonts w:ascii="Calibri" w:eastAsia="Calibri" w:hAnsi="Calibri"/>
        <w:b/>
        <w:iCs/>
        <w:sz w:val="22"/>
        <w:szCs w:val="22"/>
        <w:lang w:val="es-PR"/>
      </w:rPr>
      <w:tab/>
    </w:r>
    <w:r w:rsidRPr="00D076CD">
      <w:rPr>
        <w:rFonts w:ascii="Calibri" w:eastAsia="Calibri" w:hAnsi="Calibri"/>
        <w:b/>
        <w:iCs/>
        <w:sz w:val="22"/>
        <w:szCs w:val="22"/>
        <w:lang w:val="es-PR"/>
      </w:rPr>
      <w:tab/>
      <w:t xml:space="preserve"> Página</w:t>
    </w:r>
    <w:r w:rsidRPr="00CE54D8">
      <w:rPr>
        <w:rFonts w:ascii="Calibri" w:eastAsia="Calibri" w:hAnsi="Calibri"/>
        <w:sz w:val="22"/>
        <w:szCs w:val="22"/>
        <w:lang w:val="es-PR"/>
      </w:rPr>
      <w:t xml:space="preserve"> | </w:t>
    </w:r>
    <w:r w:rsidRPr="00CE54D8">
      <w:rPr>
        <w:rFonts w:ascii="Calibri" w:eastAsia="Calibri" w:hAnsi="Calibri"/>
        <w:sz w:val="22"/>
        <w:szCs w:val="22"/>
        <w:lang w:val="en-US"/>
      </w:rPr>
      <w:fldChar w:fldCharType="begin"/>
    </w:r>
    <w:r w:rsidRPr="00CE54D8">
      <w:rPr>
        <w:rFonts w:ascii="Calibri" w:eastAsia="Calibri" w:hAnsi="Calibri"/>
        <w:sz w:val="22"/>
        <w:szCs w:val="22"/>
        <w:lang w:val="es-PR"/>
      </w:rPr>
      <w:instrText xml:space="preserve"> PAGE   \* MERGEFORMAT </w:instrText>
    </w:r>
    <w:r w:rsidRPr="00CE54D8">
      <w:rPr>
        <w:rFonts w:ascii="Calibri" w:eastAsia="Calibri" w:hAnsi="Calibri"/>
        <w:sz w:val="22"/>
        <w:szCs w:val="22"/>
        <w:lang w:val="en-US"/>
      </w:rPr>
      <w:fldChar w:fldCharType="separate"/>
    </w:r>
    <w:r w:rsidR="000F67BD" w:rsidRPr="000F67BD">
      <w:rPr>
        <w:rFonts w:ascii="Calibri" w:eastAsia="Calibri" w:hAnsi="Calibri"/>
        <w:b/>
        <w:bCs/>
        <w:noProof/>
        <w:sz w:val="22"/>
        <w:szCs w:val="22"/>
        <w:lang w:val="es-PR"/>
      </w:rPr>
      <w:t>5</w:t>
    </w:r>
    <w:r w:rsidRPr="00CE54D8">
      <w:rPr>
        <w:rFonts w:ascii="Calibri" w:eastAsia="Calibri" w:hAnsi="Calibri"/>
        <w:sz w:val="22"/>
        <w:szCs w:val="22"/>
        <w:lang w:val="en-US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02F83"/>
    <w:multiLevelType w:val="hybridMultilevel"/>
    <w:tmpl w:val="C232ACF4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2E5D12"/>
    <w:multiLevelType w:val="hybridMultilevel"/>
    <w:tmpl w:val="2AE4D28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EE25A1"/>
    <w:multiLevelType w:val="hybridMultilevel"/>
    <w:tmpl w:val="814A9C02"/>
    <w:lvl w:ilvl="0" w:tplc="04090013">
      <w:start w:val="1"/>
      <w:numFmt w:val="upp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20DD6F52"/>
    <w:multiLevelType w:val="hybridMultilevel"/>
    <w:tmpl w:val="F75AD9E6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4CE24B7"/>
    <w:multiLevelType w:val="hybridMultilevel"/>
    <w:tmpl w:val="5B7071D4"/>
    <w:lvl w:ilvl="0" w:tplc="04090015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3A7C3A"/>
    <w:multiLevelType w:val="hybridMultilevel"/>
    <w:tmpl w:val="8C88BD86"/>
    <w:lvl w:ilvl="0" w:tplc="397489B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853D85"/>
    <w:multiLevelType w:val="hybridMultilevel"/>
    <w:tmpl w:val="8F08A0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73323C"/>
    <w:multiLevelType w:val="hybridMultilevel"/>
    <w:tmpl w:val="E79C13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A1063E"/>
    <w:multiLevelType w:val="hybridMultilevel"/>
    <w:tmpl w:val="EE0CCFC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2B048E0"/>
    <w:multiLevelType w:val="hybridMultilevel"/>
    <w:tmpl w:val="8EB0931E"/>
    <w:lvl w:ilvl="0" w:tplc="13449160">
      <w:start w:val="1"/>
      <w:numFmt w:val="upp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4BE248D"/>
    <w:multiLevelType w:val="hybridMultilevel"/>
    <w:tmpl w:val="D7A0B9C8"/>
    <w:lvl w:ilvl="0" w:tplc="76CAC282">
      <w:start w:val="13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8DC711E"/>
    <w:multiLevelType w:val="multilevel"/>
    <w:tmpl w:val="D0DC45DC"/>
    <w:lvl w:ilvl="0">
      <w:start w:val="1"/>
      <w:numFmt w:val="decimal"/>
      <w:pStyle w:val="ListBulle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 w15:restartNumberingAfterBreak="0">
    <w:nsid w:val="56996B4F"/>
    <w:multiLevelType w:val="hybridMultilevel"/>
    <w:tmpl w:val="B2D4F600"/>
    <w:lvl w:ilvl="0" w:tplc="451E04B4">
      <w:start w:val="9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E5D7248"/>
    <w:multiLevelType w:val="hybridMultilevel"/>
    <w:tmpl w:val="2AAA1C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695C0B"/>
    <w:multiLevelType w:val="hybridMultilevel"/>
    <w:tmpl w:val="A1BACF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2C369EC"/>
    <w:multiLevelType w:val="hybridMultilevel"/>
    <w:tmpl w:val="4914EEE6"/>
    <w:lvl w:ilvl="0" w:tplc="F09E9688">
      <w:start w:val="1"/>
      <w:numFmt w:val="upperLetter"/>
      <w:lvlText w:val="%1&gt;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B836C0"/>
    <w:multiLevelType w:val="hybridMultilevel"/>
    <w:tmpl w:val="C232ACF4"/>
    <w:lvl w:ilvl="0" w:tplc="50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166ABC"/>
    <w:multiLevelType w:val="hybridMultilevel"/>
    <w:tmpl w:val="E4146A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5515291">
    <w:abstractNumId w:val="11"/>
  </w:num>
  <w:num w:numId="2" w16cid:durableId="612249085">
    <w:abstractNumId w:val="2"/>
  </w:num>
  <w:num w:numId="3" w16cid:durableId="191654121">
    <w:abstractNumId w:val="5"/>
  </w:num>
  <w:num w:numId="4" w16cid:durableId="251549162">
    <w:abstractNumId w:val="3"/>
  </w:num>
  <w:num w:numId="5" w16cid:durableId="77214083">
    <w:abstractNumId w:val="9"/>
  </w:num>
  <w:num w:numId="6" w16cid:durableId="344096040">
    <w:abstractNumId w:val="14"/>
  </w:num>
  <w:num w:numId="7" w16cid:durableId="1113287001">
    <w:abstractNumId w:val="7"/>
  </w:num>
  <w:num w:numId="8" w16cid:durableId="1631401959">
    <w:abstractNumId w:val="12"/>
  </w:num>
  <w:num w:numId="9" w16cid:durableId="591201020">
    <w:abstractNumId w:val="10"/>
  </w:num>
  <w:num w:numId="10" w16cid:durableId="645204287">
    <w:abstractNumId w:val="17"/>
  </w:num>
  <w:num w:numId="11" w16cid:durableId="1508133352">
    <w:abstractNumId w:val="6"/>
  </w:num>
  <w:num w:numId="12" w16cid:durableId="1889679253">
    <w:abstractNumId w:val="13"/>
  </w:num>
  <w:num w:numId="13" w16cid:durableId="325980482">
    <w:abstractNumId w:val="8"/>
  </w:num>
  <w:num w:numId="14" w16cid:durableId="1607613887">
    <w:abstractNumId w:val="15"/>
  </w:num>
  <w:num w:numId="15" w16cid:durableId="1411585931">
    <w:abstractNumId w:val="16"/>
  </w:num>
  <w:num w:numId="16" w16cid:durableId="3963235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849052023">
    <w:abstractNumId w:val="1"/>
  </w:num>
  <w:num w:numId="18" w16cid:durableId="2136944254">
    <w:abstractNumId w:val="0"/>
  </w:num>
  <w:num w:numId="19" w16cid:durableId="17108408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D86"/>
    <w:rsid w:val="0000086C"/>
    <w:rsid w:val="00000EC6"/>
    <w:rsid w:val="00006E0B"/>
    <w:rsid w:val="000142E7"/>
    <w:rsid w:val="00015228"/>
    <w:rsid w:val="00021243"/>
    <w:rsid w:val="000220C0"/>
    <w:rsid w:val="000240CE"/>
    <w:rsid w:val="000307E4"/>
    <w:rsid w:val="00034A06"/>
    <w:rsid w:val="00035FFD"/>
    <w:rsid w:val="0004014A"/>
    <w:rsid w:val="00041144"/>
    <w:rsid w:val="0004737C"/>
    <w:rsid w:val="00047B9F"/>
    <w:rsid w:val="00050B2C"/>
    <w:rsid w:val="00050E9A"/>
    <w:rsid w:val="00057F42"/>
    <w:rsid w:val="00065929"/>
    <w:rsid w:val="000673D8"/>
    <w:rsid w:val="000713CD"/>
    <w:rsid w:val="000777FE"/>
    <w:rsid w:val="0009035A"/>
    <w:rsid w:val="00093934"/>
    <w:rsid w:val="000949F8"/>
    <w:rsid w:val="000968F0"/>
    <w:rsid w:val="000A0216"/>
    <w:rsid w:val="000A0600"/>
    <w:rsid w:val="000A0B7F"/>
    <w:rsid w:val="000A170E"/>
    <w:rsid w:val="000A31E4"/>
    <w:rsid w:val="000A32DC"/>
    <w:rsid w:val="000A4C87"/>
    <w:rsid w:val="000B0D43"/>
    <w:rsid w:val="000B4063"/>
    <w:rsid w:val="000B6B0E"/>
    <w:rsid w:val="000C4E3C"/>
    <w:rsid w:val="000C5B2A"/>
    <w:rsid w:val="000C66A9"/>
    <w:rsid w:val="000D1757"/>
    <w:rsid w:val="000D2BDF"/>
    <w:rsid w:val="000D5F7E"/>
    <w:rsid w:val="000D68FC"/>
    <w:rsid w:val="000D71E7"/>
    <w:rsid w:val="000E3D53"/>
    <w:rsid w:val="000E47C9"/>
    <w:rsid w:val="000E5D36"/>
    <w:rsid w:val="000F0F91"/>
    <w:rsid w:val="000F17E0"/>
    <w:rsid w:val="000F2868"/>
    <w:rsid w:val="000F3BA0"/>
    <w:rsid w:val="000F67BD"/>
    <w:rsid w:val="000F791D"/>
    <w:rsid w:val="001015D5"/>
    <w:rsid w:val="00101C99"/>
    <w:rsid w:val="00102587"/>
    <w:rsid w:val="001049CF"/>
    <w:rsid w:val="0010680D"/>
    <w:rsid w:val="001070BB"/>
    <w:rsid w:val="00111DF4"/>
    <w:rsid w:val="001122FF"/>
    <w:rsid w:val="00112412"/>
    <w:rsid w:val="001161EB"/>
    <w:rsid w:val="00116AE0"/>
    <w:rsid w:val="001209AD"/>
    <w:rsid w:val="001248BC"/>
    <w:rsid w:val="00126659"/>
    <w:rsid w:val="001311BA"/>
    <w:rsid w:val="001362A8"/>
    <w:rsid w:val="00136622"/>
    <w:rsid w:val="00140F2B"/>
    <w:rsid w:val="00141605"/>
    <w:rsid w:val="00141703"/>
    <w:rsid w:val="00143359"/>
    <w:rsid w:val="00153CDD"/>
    <w:rsid w:val="00153D68"/>
    <w:rsid w:val="001561A6"/>
    <w:rsid w:val="001601C3"/>
    <w:rsid w:val="00163D3F"/>
    <w:rsid w:val="00166871"/>
    <w:rsid w:val="00166C0A"/>
    <w:rsid w:val="0017100B"/>
    <w:rsid w:val="001711E6"/>
    <w:rsid w:val="00171FDF"/>
    <w:rsid w:val="001738B9"/>
    <w:rsid w:val="00186364"/>
    <w:rsid w:val="00187A84"/>
    <w:rsid w:val="001A18DA"/>
    <w:rsid w:val="001A5A3D"/>
    <w:rsid w:val="001B6E3D"/>
    <w:rsid w:val="001C24D7"/>
    <w:rsid w:val="001C27A7"/>
    <w:rsid w:val="001D23E0"/>
    <w:rsid w:val="001D2A5C"/>
    <w:rsid w:val="001D357E"/>
    <w:rsid w:val="001D5EE7"/>
    <w:rsid w:val="001D6791"/>
    <w:rsid w:val="001E4FEC"/>
    <w:rsid w:val="001F2695"/>
    <w:rsid w:val="001F3071"/>
    <w:rsid w:val="001F5243"/>
    <w:rsid w:val="001F5FB1"/>
    <w:rsid w:val="001F72C1"/>
    <w:rsid w:val="00203D0D"/>
    <w:rsid w:val="00206D79"/>
    <w:rsid w:val="00206E8A"/>
    <w:rsid w:val="00212399"/>
    <w:rsid w:val="0021655A"/>
    <w:rsid w:val="00216AC7"/>
    <w:rsid w:val="00217FFD"/>
    <w:rsid w:val="0022092E"/>
    <w:rsid w:val="00221403"/>
    <w:rsid w:val="002222DA"/>
    <w:rsid w:val="002227F8"/>
    <w:rsid w:val="00227846"/>
    <w:rsid w:val="00231E70"/>
    <w:rsid w:val="0023302B"/>
    <w:rsid w:val="00233B5B"/>
    <w:rsid w:val="00251481"/>
    <w:rsid w:val="00253152"/>
    <w:rsid w:val="0025428E"/>
    <w:rsid w:val="002641C7"/>
    <w:rsid w:val="00264342"/>
    <w:rsid w:val="00265DD8"/>
    <w:rsid w:val="002673B6"/>
    <w:rsid w:val="00272871"/>
    <w:rsid w:val="00275876"/>
    <w:rsid w:val="00281330"/>
    <w:rsid w:val="002864AF"/>
    <w:rsid w:val="0029300A"/>
    <w:rsid w:val="002939AA"/>
    <w:rsid w:val="0029448F"/>
    <w:rsid w:val="00296FB9"/>
    <w:rsid w:val="0029786E"/>
    <w:rsid w:val="002A065A"/>
    <w:rsid w:val="002A2577"/>
    <w:rsid w:val="002A2E53"/>
    <w:rsid w:val="002A3982"/>
    <w:rsid w:val="002A5165"/>
    <w:rsid w:val="002A795A"/>
    <w:rsid w:val="002B5B63"/>
    <w:rsid w:val="002C63ED"/>
    <w:rsid w:val="002D2AD0"/>
    <w:rsid w:val="002D4655"/>
    <w:rsid w:val="002D67CE"/>
    <w:rsid w:val="002E4FD3"/>
    <w:rsid w:val="002F16BF"/>
    <w:rsid w:val="002F21E5"/>
    <w:rsid w:val="00300F27"/>
    <w:rsid w:val="00302153"/>
    <w:rsid w:val="00304248"/>
    <w:rsid w:val="00305C9F"/>
    <w:rsid w:val="00316753"/>
    <w:rsid w:val="00323431"/>
    <w:rsid w:val="00327FC3"/>
    <w:rsid w:val="00330313"/>
    <w:rsid w:val="003344C6"/>
    <w:rsid w:val="003361A3"/>
    <w:rsid w:val="0034229A"/>
    <w:rsid w:val="00342992"/>
    <w:rsid w:val="00351413"/>
    <w:rsid w:val="00352321"/>
    <w:rsid w:val="00353592"/>
    <w:rsid w:val="00354C8C"/>
    <w:rsid w:val="00354EC7"/>
    <w:rsid w:val="00357B74"/>
    <w:rsid w:val="00363230"/>
    <w:rsid w:val="00364147"/>
    <w:rsid w:val="00366718"/>
    <w:rsid w:val="00370940"/>
    <w:rsid w:val="00370F8A"/>
    <w:rsid w:val="00371331"/>
    <w:rsid w:val="003832F6"/>
    <w:rsid w:val="0038413A"/>
    <w:rsid w:val="0038510E"/>
    <w:rsid w:val="003910E6"/>
    <w:rsid w:val="00391145"/>
    <w:rsid w:val="00392CEF"/>
    <w:rsid w:val="00393ADF"/>
    <w:rsid w:val="003B38A4"/>
    <w:rsid w:val="003B5459"/>
    <w:rsid w:val="003B7D5E"/>
    <w:rsid w:val="003C4F37"/>
    <w:rsid w:val="003C7A7B"/>
    <w:rsid w:val="003D601E"/>
    <w:rsid w:val="003E1A9C"/>
    <w:rsid w:val="003E4335"/>
    <w:rsid w:val="003E529E"/>
    <w:rsid w:val="003E6E10"/>
    <w:rsid w:val="003E7648"/>
    <w:rsid w:val="003E7944"/>
    <w:rsid w:val="003F10BB"/>
    <w:rsid w:val="003F2674"/>
    <w:rsid w:val="003F6F83"/>
    <w:rsid w:val="004045A0"/>
    <w:rsid w:val="00407674"/>
    <w:rsid w:val="0040798B"/>
    <w:rsid w:val="00417F2F"/>
    <w:rsid w:val="0042010A"/>
    <w:rsid w:val="0042168B"/>
    <w:rsid w:val="00422255"/>
    <w:rsid w:val="00431F68"/>
    <w:rsid w:val="00436471"/>
    <w:rsid w:val="00440323"/>
    <w:rsid w:val="00442268"/>
    <w:rsid w:val="00442843"/>
    <w:rsid w:val="00445017"/>
    <w:rsid w:val="00447224"/>
    <w:rsid w:val="00447621"/>
    <w:rsid w:val="004512E8"/>
    <w:rsid w:val="00451F27"/>
    <w:rsid w:val="004523CD"/>
    <w:rsid w:val="00452D84"/>
    <w:rsid w:val="004654B5"/>
    <w:rsid w:val="00467CB0"/>
    <w:rsid w:val="004700EB"/>
    <w:rsid w:val="00471DF9"/>
    <w:rsid w:val="00474109"/>
    <w:rsid w:val="00481BA5"/>
    <w:rsid w:val="00486978"/>
    <w:rsid w:val="00496EEF"/>
    <w:rsid w:val="00496F72"/>
    <w:rsid w:val="00497551"/>
    <w:rsid w:val="004A2226"/>
    <w:rsid w:val="004A4A9F"/>
    <w:rsid w:val="004A5A18"/>
    <w:rsid w:val="004A5AE1"/>
    <w:rsid w:val="004B3B30"/>
    <w:rsid w:val="004B4977"/>
    <w:rsid w:val="004B5B10"/>
    <w:rsid w:val="004C0A83"/>
    <w:rsid w:val="004C34EA"/>
    <w:rsid w:val="004C40F2"/>
    <w:rsid w:val="004C499B"/>
    <w:rsid w:val="004D125E"/>
    <w:rsid w:val="004D28B0"/>
    <w:rsid w:val="004D28C3"/>
    <w:rsid w:val="004D2F67"/>
    <w:rsid w:val="004D7163"/>
    <w:rsid w:val="004E356B"/>
    <w:rsid w:val="004E57A4"/>
    <w:rsid w:val="004E7F19"/>
    <w:rsid w:val="004F1E94"/>
    <w:rsid w:val="004F38E8"/>
    <w:rsid w:val="004F3AEE"/>
    <w:rsid w:val="004F3EF4"/>
    <w:rsid w:val="004F42D9"/>
    <w:rsid w:val="004F4A0B"/>
    <w:rsid w:val="004F79AB"/>
    <w:rsid w:val="005007F9"/>
    <w:rsid w:val="00505B4C"/>
    <w:rsid w:val="00511EE0"/>
    <w:rsid w:val="005132E2"/>
    <w:rsid w:val="00516AB2"/>
    <w:rsid w:val="00524E93"/>
    <w:rsid w:val="0052624F"/>
    <w:rsid w:val="00527957"/>
    <w:rsid w:val="00530FFC"/>
    <w:rsid w:val="00532F3A"/>
    <w:rsid w:val="00533210"/>
    <w:rsid w:val="00536D1A"/>
    <w:rsid w:val="00542113"/>
    <w:rsid w:val="005432C2"/>
    <w:rsid w:val="00552AC4"/>
    <w:rsid w:val="00555685"/>
    <w:rsid w:val="0056097C"/>
    <w:rsid w:val="00560E41"/>
    <w:rsid w:val="0056523D"/>
    <w:rsid w:val="00566BF6"/>
    <w:rsid w:val="005813B7"/>
    <w:rsid w:val="00582CE9"/>
    <w:rsid w:val="00584753"/>
    <w:rsid w:val="00591971"/>
    <w:rsid w:val="00591C6D"/>
    <w:rsid w:val="005922E8"/>
    <w:rsid w:val="00592D59"/>
    <w:rsid w:val="005A1F13"/>
    <w:rsid w:val="005B42F2"/>
    <w:rsid w:val="005B4FA8"/>
    <w:rsid w:val="005B69A9"/>
    <w:rsid w:val="005B750B"/>
    <w:rsid w:val="005C189C"/>
    <w:rsid w:val="005C1E56"/>
    <w:rsid w:val="005C3365"/>
    <w:rsid w:val="005D1F4B"/>
    <w:rsid w:val="005D2A7D"/>
    <w:rsid w:val="005D2AFE"/>
    <w:rsid w:val="005D5254"/>
    <w:rsid w:val="005E4CF7"/>
    <w:rsid w:val="005F012F"/>
    <w:rsid w:val="005F4078"/>
    <w:rsid w:val="00602E29"/>
    <w:rsid w:val="00603D79"/>
    <w:rsid w:val="00603FE4"/>
    <w:rsid w:val="006114BF"/>
    <w:rsid w:val="006115FC"/>
    <w:rsid w:val="00611979"/>
    <w:rsid w:val="00612378"/>
    <w:rsid w:val="00622306"/>
    <w:rsid w:val="00622B23"/>
    <w:rsid w:val="00623890"/>
    <w:rsid w:val="00623D71"/>
    <w:rsid w:val="006335FA"/>
    <w:rsid w:val="00635694"/>
    <w:rsid w:val="006430D4"/>
    <w:rsid w:val="00644F9F"/>
    <w:rsid w:val="0064568A"/>
    <w:rsid w:val="00661CDA"/>
    <w:rsid w:val="006620D1"/>
    <w:rsid w:val="0066464E"/>
    <w:rsid w:val="0066649B"/>
    <w:rsid w:val="0067175E"/>
    <w:rsid w:val="00671B9A"/>
    <w:rsid w:val="006739EE"/>
    <w:rsid w:val="00684F31"/>
    <w:rsid w:val="0069342C"/>
    <w:rsid w:val="00694718"/>
    <w:rsid w:val="00696CA3"/>
    <w:rsid w:val="006A4071"/>
    <w:rsid w:val="006A4879"/>
    <w:rsid w:val="006B2F9D"/>
    <w:rsid w:val="006B4F55"/>
    <w:rsid w:val="006B6984"/>
    <w:rsid w:val="006B6B87"/>
    <w:rsid w:val="006C5F3E"/>
    <w:rsid w:val="006D53C3"/>
    <w:rsid w:val="006E176E"/>
    <w:rsid w:val="006E2A38"/>
    <w:rsid w:val="006E649B"/>
    <w:rsid w:val="006E65D9"/>
    <w:rsid w:val="006F6951"/>
    <w:rsid w:val="0070305E"/>
    <w:rsid w:val="00710987"/>
    <w:rsid w:val="007121F7"/>
    <w:rsid w:val="00715AB6"/>
    <w:rsid w:val="00715E79"/>
    <w:rsid w:val="00716098"/>
    <w:rsid w:val="00716C22"/>
    <w:rsid w:val="0072435A"/>
    <w:rsid w:val="007250C9"/>
    <w:rsid w:val="00733E40"/>
    <w:rsid w:val="007363D7"/>
    <w:rsid w:val="00744264"/>
    <w:rsid w:val="0074731E"/>
    <w:rsid w:val="0076029D"/>
    <w:rsid w:val="00760D00"/>
    <w:rsid w:val="0076405E"/>
    <w:rsid w:val="0076706D"/>
    <w:rsid w:val="007707DE"/>
    <w:rsid w:val="00770FEF"/>
    <w:rsid w:val="0077131A"/>
    <w:rsid w:val="00773FDD"/>
    <w:rsid w:val="0077444F"/>
    <w:rsid w:val="007761C9"/>
    <w:rsid w:val="00782A64"/>
    <w:rsid w:val="00783933"/>
    <w:rsid w:val="007842E6"/>
    <w:rsid w:val="0078548C"/>
    <w:rsid w:val="00786886"/>
    <w:rsid w:val="007916EC"/>
    <w:rsid w:val="007A4CF4"/>
    <w:rsid w:val="007B257D"/>
    <w:rsid w:val="007B2BE3"/>
    <w:rsid w:val="007B2F4F"/>
    <w:rsid w:val="007B7985"/>
    <w:rsid w:val="007C4791"/>
    <w:rsid w:val="007C5122"/>
    <w:rsid w:val="007D1CE3"/>
    <w:rsid w:val="007D22F5"/>
    <w:rsid w:val="007D3EE2"/>
    <w:rsid w:val="007D79C4"/>
    <w:rsid w:val="007E1D67"/>
    <w:rsid w:val="007E1E1B"/>
    <w:rsid w:val="007E2AC1"/>
    <w:rsid w:val="007E5040"/>
    <w:rsid w:val="007E6834"/>
    <w:rsid w:val="007F475E"/>
    <w:rsid w:val="00801B1B"/>
    <w:rsid w:val="00802900"/>
    <w:rsid w:val="008113F5"/>
    <w:rsid w:val="008142DA"/>
    <w:rsid w:val="008162A8"/>
    <w:rsid w:val="00821551"/>
    <w:rsid w:val="008225E7"/>
    <w:rsid w:val="00822FEF"/>
    <w:rsid w:val="00826766"/>
    <w:rsid w:val="008270AA"/>
    <w:rsid w:val="00831407"/>
    <w:rsid w:val="008326DB"/>
    <w:rsid w:val="0083483F"/>
    <w:rsid w:val="0083492B"/>
    <w:rsid w:val="008349F7"/>
    <w:rsid w:val="00844B7A"/>
    <w:rsid w:val="00844E45"/>
    <w:rsid w:val="00850FE3"/>
    <w:rsid w:val="00851E49"/>
    <w:rsid w:val="008558D3"/>
    <w:rsid w:val="00857D49"/>
    <w:rsid w:val="00860494"/>
    <w:rsid w:val="00861B05"/>
    <w:rsid w:val="00862995"/>
    <w:rsid w:val="00862B38"/>
    <w:rsid w:val="00863157"/>
    <w:rsid w:val="0086393C"/>
    <w:rsid w:val="008714C1"/>
    <w:rsid w:val="00874C34"/>
    <w:rsid w:val="00877968"/>
    <w:rsid w:val="008858A8"/>
    <w:rsid w:val="00887F45"/>
    <w:rsid w:val="0089403B"/>
    <w:rsid w:val="008A0AE1"/>
    <w:rsid w:val="008A170D"/>
    <w:rsid w:val="008A268E"/>
    <w:rsid w:val="008A4BFB"/>
    <w:rsid w:val="008A71BD"/>
    <w:rsid w:val="008B2262"/>
    <w:rsid w:val="008B25F8"/>
    <w:rsid w:val="008B701E"/>
    <w:rsid w:val="008C1517"/>
    <w:rsid w:val="008C7425"/>
    <w:rsid w:val="008D32D5"/>
    <w:rsid w:val="008E1117"/>
    <w:rsid w:val="008E1A90"/>
    <w:rsid w:val="008E3158"/>
    <w:rsid w:val="008E4630"/>
    <w:rsid w:val="008F142C"/>
    <w:rsid w:val="008F1AA4"/>
    <w:rsid w:val="008F345E"/>
    <w:rsid w:val="008F4F8B"/>
    <w:rsid w:val="00900740"/>
    <w:rsid w:val="0090114E"/>
    <w:rsid w:val="009060A3"/>
    <w:rsid w:val="00910DF8"/>
    <w:rsid w:val="00911453"/>
    <w:rsid w:val="009123CA"/>
    <w:rsid w:val="00917E92"/>
    <w:rsid w:val="00926B0A"/>
    <w:rsid w:val="00926C28"/>
    <w:rsid w:val="009343BD"/>
    <w:rsid w:val="009347CF"/>
    <w:rsid w:val="009354A2"/>
    <w:rsid w:val="009412C4"/>
    <w:rsid w:val="00942E2E"/>
    <w:rsid w:val="00945265"/>
    <w:rsid w:val="00950E91"/>
    <w:rsid w:val="00951AA5"/>
    <w:rsid w:val="00952A9C"/>
    <w:rsid w:val="009535ED"/>
    <w:rsid w:val="00967827"/>
    <w:rsid w:val="0097085B"/>
    <w:rsid w:val="0097284A"/>
    <w:rsid w:val="00974EC2"/>
    <w:rsid w:val="00977DC2"/>
    <w:rsid w:val="00982754"/>
    <w:rsid w:val="00985BE0"/>
    <w:rsid w:val="00992DBF"/>
    <w:rsid w:val="0099305E"/>
    <w:rsid w:val="009970E2"/>
    <w:rsid w:val="009971DC"/>
    <w:rsid w:val="009A01B5"/>
    <w:rsid w:val="009A6C55"/>
    <w:rsid w:val="009B0628"/>
    <w:rsid w:val="009B32DC"/>
    <w:rsid w:val="009B56D7"/>
    <w:rsid w:val="009C1EF6"/>
    <w:rsid w:val="009C3A34"/>
    <w:rsid w:val="009D1B03"/>
    <w:rsid w:val="009D6759"/>
    <w:rsid w:val="009D6D72"/>
    <w:rsid w:val="009E17C9"/>
    <w:rsid w:val="009E237A"/>
    <w:rsid w:val="009E55BD"/>
    <w:rsid w:val="009E56FC"/>
    <w:rsid w:val="009E63D2"/>
    <w:rsid w:val="009E66CF"/>
    <w:rsid w:val="009F5A85"/>
    <w:rsid w:val="00A01EDE"/>
    <w:rsid w:val="00A11658"/>
    <w:rsid w:val="00A1240D"/>
    <w:rsid w:val="00A139D6"/>
    <w:rsid w:val="00A173F9"/>
    <w:rsid w:val="00A23DE6"/>
    <w:rsid w:val="00A2486E"/>
    <w:rsid w:val="00A2514B"/>
    <w:rsid w:val="00A26824"/>
    <w:rsid w:val="00A37EF9"/>
    <w:rsid w:val="00A41844"/>
    <w:rsid w:val="00A45537"/>
    <w:rsid w:val="00A46238"/>
    <w:rsid w:val="00A46BD3"/>
    <w:rsid w:val="00A50A48"/>
    <w:rsid w:val="00A54C21"/>
    <w:rsid w:val="00A77BD5"/>
    <w:rsid w:val="00A81770"/>
    <w:rsid w:val="00A8365E"/>
    <w:rsid w:val="00A836F4"/>
    <w:rsid w:val="00A87675"/>
    <w:rsid w:val="00A87C62"/>
    <w:rsid w:val="00AA3A37"/>
    <w:rsid w:val="00AB163E"/>
    <w:rsid w:val="00AC3E49"/>
    <w:rsid w:val="00AC79A9"/>
    <w:rsid w:val="00AD1516"/>
    <w:rsid w:val="00AD7476"/>
    <w:rsid w:val="00AE16C4"/>
    <w:rsid w:val="00AE3DD0"/>
    <w:rsid w:val="00AE513E"/>
    <w:rsid w:val="00AE5181"/>
    <w:rsid w:val="00AE5FE1"/>
    <w:rsid w:val="00AF0F3C"/>
    <w:rsid w:val="00AF17B1"/>
    <w:rsid w:val="00AF6FF3"/>
    <w:rsid w:val="00AF7DF1"/>
    <w:rsid w:val="00B01F09"/>
    <w:rsid w:val="00B050CC"/>
    <w:rsid w:val="00B10DAB"/>
    <w:rsid w:val="00B111A7"/>
    <w:rsid w:val="00B16378"/>
    <w:rsid w:val="00B2137C"/>
    <w:rsid w:val="00B241A8"/>
    <w:rsid w:val="00B26B80"/>
    <w:rsid w:val="00B26EB3"/>
    <w:rsid w:val="00B2796C"/>
    <w:rsid w:val="00B328FE"/>
    <w:rsid w:val="00B34F68"/>
    <w:rsid w:val="00B3735C"/>
    <w:rsid w:val="00B4018B"/>
    <w:rsid w:val="00B45797"/>
    <w:rsid w:val="00B459B3"/>
    <w:rsid w:val="00B4782D"/>
    <w:rsid w:val="00B51406"/>
    <w:rsid w:val="00B5254C"/>
    <w:rsid w:val="00B5359C"/>
    <w:rsid w:val="00B54B4A"/>
    <w:rsid w:val="00B551EA"/>
    <w:rsid w:val="00B55DDB"/>
    <w:rsid w:val="00B62EFA"/>
    <w:rsid w:val="00B66FB7"/>
    <w:rsid w:val="00B67472"/>
    <w:rsid w:val="00B70DB5"/>
    <w:rsid w:val="00B71425"/>
    <w:rsid w:val="00B75957"/>
    <w:rsid w:val="00B7649E"/>
    <w:rsid w:val="00B81E9B"/>
    <w:rsid w:val="00B83BC1"/>
    <w:rsid w:val="00B85B25"/>
    <w:rsid w:val="00BA0B5D"/>
    <w:rsid w:val="00BA379A"/>
    <w:rsid w:val="00BA7D48"/>
    <w:rsid w:val="00BB50E5"/>
    <w:rsid w:val="00BC0B39"/>
    <w:rsid w:val="00BC108E"/>
    <w:rsid w:val="00BD28BD"/>
    <w:rsid w:val="00BD5B9E"/>
    <w:rsid w:val="00BE2D33"/>
    <w:rsid w:val="00BE6AFB"/>
    <w:rsid w:val="00BF09D3"/>
    <w:rsid w:val="00BF383C"/>
    <w:rsid w:val="00BF4126"/>
    <w:rsid w:val="00BF548D"/>
    <w:rsid w:val="00BF5BE0"/>
    <w:rsid w:val="00C0782C"/>
    <w:rsid w:val="00C11C5A"/>
    <w:rsid w:val="00C12A63"/>
    <w:rsid w:val="00C17189"/>
    <w:rsid w:val="00C2134F"/>
    <w:rsid w:val="00C21E81"/>
    <w:rsid w:val="00C35682"/>
    <w:rsid w:val="00C361D2"/>
    <w:rsid w:val="00C43FB3"/>
    <w:rsid w:val="00C50A72"/>
    <w:rsid w:val="00C54AD6"/>
    <w:rsid w:val="00C554B6"/>
    <w:rsid w:val="00C5715B"/>
    <w:rsid w:val="00C57B5F"/>
    <w:rsid w:val="00C6641C"/>
    <w:rsid w:val="00C76280"/>
    <w:rsid w:val="00C840E7"/>
    <w:rsid w:val="00C87850"/>
    <w:rsid w:val="00C9100A"/>
    <w:rsid w:val="00C91018"/>
    <w:rsid w:val="00C924D1"/>
    <w:rsid w:val="00C93D06"/>
    <w:rsid w:val="00C95AC5"/>
    <w:rsid w:val="00CA0FEC"/>
    <w:rsid w:val="00CA20B0"/>
    <w:rsid w:val="00CA3427"/>
    <w:rsid w:val="00CA51EB"/>
    <w:rsid w:val="00CA599D"/>
    <w:rsid w:val="00CC187E"/>
    <w:rsid w:val="00CC1984"/>
    <w:rsid w:val="00CC26FF"/>
    <w:rsid w:val="00CC4EBE"/>
    <w:rsid w:val="00CC6626"/>
    <w:rsid w:val="00CC66D9"/>
    <w:rsid w:val="00CD12ED"/>
    <w:rsid w:val="00CD345B"/>
    <w:rsid w:val="00CE1153"/>
    <w:rsid w:val="00CE16EE"/>
    <w:rsid w:val="00CE54D8"/>
    <w:rsid w:val="00CE7486"/>
    <w:rsid w:val="00CF291D"/>
    <w:rsid w:val="00CF2EF5"/>
    <w:rsid w:val="00CF2FE6"/>
    <w:rsid w:val="00CF60CD"/>
    <w:rsid w:val="00CF72E2"/>
    <w:rsid w:val="00D00F5B"/>
    <w:rsid w:val="00D076CD"/>
    <w:rsid w:val="00D1510D"/>
    <w:rsid w:val="00D16AE8"/>
    <w:rsid w:val="00D2019B"/>
    <w:rsid w:val="00D24AE1"/>
    <w:rsid w:val="00D36C6D"/>
    <w:rsid w:val="00D44A4A"/>
    <w:rsid w:val="00D50870"/>
    <w:rsid w:val="00D5157A"/>
    <w:rsid w:val="00D55D23"/>
    <w:rsid w:val="00D56E4A"/>
    <w:rsid w:val="00D57AF5"/>
    <w:rsid w:val="00D60D6E"/>
    <w:rsid w:val="00D60DA4"/>
    <w:rsid w:val="00D71A36"/>
    <w:rsid w:val="00D7288F"/>
    <w:rsid w:val="00D74E07"/>
    <w:rsid w:val="00D76DC7"/>
    <w:rsid w:val="00D80B99"/>
    <w:rsid w:val="00D8316C"/>
    <w:rsid w:val="00D838EF"/>
    <w:rsid w:val="00D84FD0"/>
    <w:rsid w:val="00D85064"/>
    <w:rsid w:val="00D85A8A"/>
    <w:rsid w:val="00D86F2E"/>
    <w:rsid w:val="00D874AC"/>
    <w:rsid w:val="00D91478"/>
    <w:rsid w:val="00D93990"/>
    <w:rsid w:val="00D95C66"/>
    <w:rsid w:val="00D97459"/>
    <w:rsid w:val="00D97C86"/>
    <w:rsid w:val="00DA036F"/>
    <w:rsid w:val="00DA132C"/>
    <w:rsid w:val="00DA1A59"/>
    <w:rsid w:val="00DA58F0"/>
    <w:rsid w:val="00DB6542"/>
    <w:rsid w:val="00DC2214"/>
    <w:rsid w:val="00DC2703"/>
    <w:rsid w:val="00DC5B19"/>
    <w:rsid w:val="00DC738B"/>
    <w:rsid w:val="00DD7201"/>
    <w:rsid w:val="00DE68EE"/>
    <w:rsid w:val="00DF7D86"/>
    <w:rsid w:val="00E05E49"/>
    <w:rsid w:val="00E0615E"/>
    <w:rsid w:val="00E06415"/>
    <w:rsid w:val="00E13FE4"/>
    <w:rsid w:val="00E1471F"/>
    <w:rsid w:val="00E162AE"/>
    <w:rsid w:val="00E271CF"/>
    <w:rsid w:val="00E305DD"/>
    <w:rsid w:val="00E32D34"/>
    <w:rsid w:val="00E34AB9"/>
    <w:rsid w:val="00E4304B"/>
    <w:rsid w:val="00E434BC"/>
    <w:rsid w:val="00E45D22"/>
    <w:rsid w:val="00E50D55"/>
    <w:rsid w:val="00E519DF"/>
    <w:rsid w:val="00E5593E"/>
    <w:rsid w:val="00E6000B"/>
    <w:rsid w:val="00E63238"/>
    <w:rsid w:val="00E638A7"/>
    <w:rsid w:val="00E65FED"/>
    <w:rsid w:val="00E67804"/>
    <w:rsid w:val="00E70179"/>
    <w:rsid w:val="00E713EE"/>
    <w:rsid w:val="00E72245"/>
    <w:rsid w:val="00E7703D"/>
    <w:rsid w:val="00E77DD6"/>
    <w:rsid w:val="00E84744"/>
    <w:rsid w:val="00E84C3D"/>
    <w:rsid w:val="00E93D4C"/>
    <w:rsid w:val="00E94262"/>
    <w:rsid w:val="00E9522A"/>
    <w:rsid w:val="00E97D41"/>
    <w:rsid w:val="00EA1BFC"/>
    <w:rsid w:val="00EA2162"/>
    <w:rsid w:val="00EA2439"/>
    <w:rsid w:val="00EA282F"/>
    <w:rsid w:val="00EA6BF8"/>
    <w:rsid w:val="00EB0CD9"/>
    <w:rsid w:val="00EB5538"/>
    <w:rsid w:val="00EB56FC"/>
    <w:rsid w:val="00EC1B0D"/>
    <w:rsid w:val="00EC2402"/>
    <w:rsid w:val="00EC35AA"/>
    <w:rsid w:val="00EC4189"/>
    <w:rsid w:val="00EC4D34"/>
    <w:rsid w:val="00EC6C0C"/>
    <w:rsid w:val="00EC7D5C"/>
    <w:rsid w:val="00ED2850"/>
    <w:rsid w:val="00EE3613"/>
    <w:rsid w:val="00EF42E1"/>
    <w:rsid w:val="00EF4B3F"/>
    <w:rsid w:val="00F0476A"/>
    <w:rsid w:val="00F17F1C"/>
    <w:rsid w:val="00F248D5"/>
    <w:rsid w:val="00F25FE5"/>
    <w:rsid w:val="00F26EA6"/>
    <w:rsid w:val="00F30A7C"/>
    <w:rsid w:val="00F32A21"/>
    <w:rsid w:val="00F345BA"/>
    <w:rsid w:val="00F36459"/>
    <w:rsid w:val="00F41AC8"/>
    <w:rsid w:val="00F43E0C"/>
    <w:rsid w:val="00F441DF"/>
    <w:rsid w:val="00F512C5"/>
    <w:rsid w:val="00F51CDB"/>
    <w:rsid w:val="00F52F26"/>
    <w:rsid w:val="00F53669"/>
    <w:rsid w:val="00F66656"/>
    <w:rsid w:val="00F75150"/>
    <w:rsid w:val="00F77115"/>
    <w:rsid w:val="00F82809"/>
    <w:rsid w:val="00F86CFC"/>
    <w:rsid w:val="00F91378"/>
    <w:rsid w:val="00F91B1D"/>
    <w:rsid w:val="00F9450C"/>
    <w:rsid w:val="00FA207C"/>
    <w:rsid w:val="00FB0F24"/>
    <w:rsid w:val="00FB3863"/>
    <w:rsid w:val="00FB7E04"/>
    <w:rsid w:val="00FC1C6B"/>
    <w:rsid w:val="00FC205B"/>
    <w:rsid w:val="00FD6179"/>
    <w:rsid w:val="00FE1B6F"/>
    <w:rsid w:val="00FE3175"/>
    <w:rsid w:val="00FE4ACA"/>
    <w:rsid w:val="00FE7780"/>
    <w:rsid w:val="00FF59B3"/>
    <w:rsid w:val="00FF6422"/>
    <w:rsid w:val="00FF7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E1D6F4"/>
  <w15:docId w15:val="{6A4E3AFB-D08B-4448-B488-BE46E381C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FFF"/>
    <w:rPr>
      <w:szCs w:val="20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itle2">
    <w:name w:val="Title2"/>
    <w:basedOn w:val="Normal"/>
    <w:next w:val="Normal"/>
    <w:rsid w:val="003B6FF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3B6FF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6FF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3B6FFF"/>
  </w:style>
  <w:style w:type="paragraph" w:styleId="NoSpacing">
    <w:name w:val="No Spacing"/>
    <w:uiPriority w:val="99"/>
    <w:qFormat/>
    <w:rsid w:val="003B6FFF"/>
    <w:rPr>
      <w:rFonts w:ascii="Calibri" w:hAnsi="Calibri"/>
      <w:lang w:val="es-PR"/>
    </w:rPr>
  </w:style>
  <w:style w:type="character" w:customStyle="1" w:styleId="normal-h">
    <w:name w:val="normal-h"/>
    <w:basedOn w:val="DefaultParagraphFont"/>
    <w:rsid w:val="003B6FFF"/>
  </w:style>
  <w:style w:type="paragraph" w:customStyle="1" w:styleId="ColorfulList-Accent11">
    <w:name w:val="Colorful List - Accent 11"/>
    <w:basedOn w:val="Normal"/>
    <w:uiPriority w:val="34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customStyle="1" w:styleId="ColorfulList-Accent12">
    <w:name w:val="Colorful List - Accent 12"/>
    <w:basedOn w:val="Normal"/>
    <w:uiPriority w:val="72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styleId="NormalWeb">
    <w:name w:val="Normal (Web)"/>
    <w:basedOn w:val="Normal"/>
    <w:unhideWhenUsed/>
    <w:rsid w:val="003619D2"/>
    <w:pPr>
      <w:spacing w:before="100" w:beforeAutospacing="1" w:after="100" w:afterAutospacing="1"/>
    </w:pPr>
    <w:rPr>
      <w:szCs w:val="24"/>
    </w:rPr>
  </w:style>
  <w:style w:type="character" w:styleId="Strong">
    <w:name w:val="Strong"/>
    <w:uiPriority w:val="22"/>
    <w:qFormat/>
    <w:rsid w:val="003619D2"/>
    <w:rPr>
      <w:b/>
      <w:bCs/>
    </w:rPr>
  </w:style>
  <w:style w:type="character" w:styleId="Emphasis">
    <w:name w:val="Emphasis"/>
    <w:basedOn w:val="DefaultParagraphFont"/>
    <w:uiPriority w:val="20"/>
    <w:qFormat/>
    <w:rsid w:val="003619D2"/>
    <w:rPr>
      <w:i/>
      <w:iCs/>
    </w:rPr>
  </w:style>
  <w:style w:type="paragraph" w:customStyle="1" w:styleId="Default">
    <w:name w:val="Default"/>
    <w:rsid w:val="00532D26"/>
    <w:rPr>
      <w:rFonts w:ascii="Helvetica" w:eastAsia="Arial Unicode MS" w:hAnsi="Helvetica" w:cs="Arial Unicode MS"/>
      <w:color w:val="000000"/>
      <w:lang w:val="es-ES_tradnl"/>
    </w:rPr>
  </w:style>
  <w:style w:type="paragraph" w:styleId="BodyText">
    <w:name w:val="Body Text"/>
    <w:basedOn w:val="Normal"/>
    <w:link w:val="BodyTextChar"/>
    <w:uiPriority w:val="99"/>
    <w:unhideWhenUsed/>
    <w:rsid w:val="00532D26"/>
    <w:pPr>
      <w:spacing w:after="120" w:line="276" w:lineRule="auto"/>
    </w:pPr>
    <w:rPr>
      <w:rFonts w:ascii="Calibri" w:eastAsia="Calibri" w:hAnsi="Calibri"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532D26"/>
    <w:rPr>
      <w:rFonts w:ascii="Calibri" w:eastAsia="Calibri" w:hAnsi="Calibri" w:cs="Calibri"/>
    </w:rPr>
  </w:style>
  <w:style w:type="paragraph" w:styleId="BodyTextIndent">
    <w:name w:val="Body Text Indent"/>
    <w:basedOn w:val="Normal"/>
    <w:link w:val="BodyTextIndentChar"/>
    <w:uiPriority w:val="99"/>
    <w:unhideWhenUsed/>
    <w:rsid w:val="001A64B6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1A64B6"/>
    <w:rPr>
      <w:rFonts w:ascii="Times New Roman" w:eastAsia="Times New Roman" w:hAnsi="Times New Roman" w:cs="Times New Roman"/>
      <w:sz w:val="24"/>
      <w:szCs w:val="20"/>
    </w:rPr>
  </w:style>
  <w:style w:type="paragraph" w:styleId="ListBullet">
    <w:name w:val="List Bullet"/>
    <w:basedOn w:val="Normal"/>
    <w:uiPriority w:val="9"/>
    <w:unhideWhenUsed/>
    <w:qFormat/>
    <w:rsid w:val="001A64B6"/>
    <w:pPr>
      <w:numPr>
        <w:numId w:val="1"/>
      </w:numPr>
      <w:spacing w:after="200" w:line="276" w:lineRule="auto"/>
      <w:contextualSpacing/>
    </w:pPr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967E0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E40CF6"/>
    <w:rPr>
      <w:sz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40CF6"/>
    <w:rPr>
      <w:rFonts w:ascii="Times New Roman" w:eastAsia="Times New Roman" w:hAnsi="Times New Roman" w:cs="Times New Roman"/>
      <w:sz w:val="20"/>
      <w:szCs w:val="20"/>
      <w:lang w:val="es-PR"/>
    </w:rPr>
  </w:style>
  <w:style w:type="character" w:styleId="FootnoteReference">
    <w:name w:val="footnote reference"/>
    <w:basedOn w:val="DefaultParagraphFont"/>
    <w:semiHidden/>
    <w:unhideWhenUsed/>
    <w:rsid w:val="00E40CF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22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2D0"/>
    <w:rPr>
      <w:rFonts w:ascii="Segoe UI" w:eastAsia="Times New Roman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70305E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BA0B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0B5D"/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015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cJ/PAJHcphl+aOKL+MDyaKVwvgg==">AMUW2mVJGkVif2c7DnMvYSnUsjiTH77BrzEe0TUsF2AoRvrE35M9cs6uY90hO6RjZ0YCJXmkxSRdF2bureosVWuQ0/U8ChJc0H20Q3rH7VrDjil9Pfo1CMJjFENhf5q/SNwlYLZk3JDMG0ZwMuC/cwOAA9fsEhPHjtqr8j+4czSp2F80DOMITOeYKltaxzwddg4AGAUjsWws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1C0761637D684EABBCE64BDDA1E45F" ma:contentTypeVersion="10" ma:contentTypeDescription="Create a new document." ma:contentTypeScope="" ma:versionID="6bd080742a4bb9205f0cc55e72e58143">
  <xsd:schema xmlns:xsd="http://www.w3.org/2001/XMLSchema" xmlns:xs="http://www.w3.org/2001/XMLSchema" xmlns:p="http://schemas.microsoft.com/office/2006/metadata/properties" xmlns:ns2="9c17e7af-3bbc-4db8-8428-848df389c307" xmlns:ns3="430ff082-7be9-46c9-8b5c-63c967f66c1f" targetNamespace="http://schemas.microsoft.com/office/2006/metadata/properties" ma:root="true" ma:fieldsID="69992f145cad94e4df2b564c8cfcb9f0" ns2:_="" ns3:_="">
    <xsd:import namespace="9c17e7af-3bbc-4db8-8428-848df389c307"/>
    <xsd:import namespace="430ff082-7be9-46c9-8b5c-63c967f66c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17e7af-3bbc-4db8-8428-848df389c3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ff082-7be9-46c9-8b5c-63c967f66c1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a0697467-90d9-45ad-b12f-3190e49ae699}" ma:internalName="TaxCatchAll" ma:showField="CatchAllData" ma:web="430ff082-7be9-46c9-8b5c-63c967f66c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30ff082-7be9-46c9-8b5c-63c967f66c1f" xsi:nil="true"/>
    <lcf76f155ced4ddcb4097134ff3c332f xmlns="9c17e7af-3bbc-4db8-8428-848df389c307">
      <Terms xmlns="http://schemas.microsoft.com/office/infopath/2007/PartnerControls"/>
    </lcf76f155ced4ddcb4097134ff3c332f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EFA5204A-FFE3-43F9-ABCE-A43C203B1C4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74C02EB-AEDA-4445-A3F3-968BC89214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17e7af-3bbc-4db8-8428-848df389c307"/>
    <ds:schemaRef ds:uri="430ff082-7be9-46c9-8b5c-63c967f66c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C151913-9AEB-4770-9FC5-0BEC63FF2063}">
  <ds:schemaRefs>
    <ds:schemaRef ds:uri="http://schemas.microsoft.com/office/2006/metadata/properties"/>
    <ds:schemaRef ds:uri="http://schemas.microsoft.com/office/infopath/2007/PartnerControls"/>
    <ds:schemaRef ds:uri="430ff082-7be9-46c9-8b5c-63c967f66c1f"/>
    <ds:schemaRef ds:uri="9c17e7af-3bbc-4db8-8428-848df389c307"/>
  </ds:schemaRefs>
</ds:datastoreItem>
</file>

<file path=customXml/itemProps5.xml><?xml version="1.0" encoding="utf-8"?>
<ds:datastoreItem xmlns:ds="http://schemas.openxmlformats.org/officeDocument/2006/customXml" ds:itemID="{E6BDCFE0-9650-4D1F-A08D-558ADABB5F0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644</Words>
  <Characters>3674</Characters>
  <Application>Microsoft Office Word</Application>
  <DocSecurity>4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Yadira Saavedra</dc:creator>
  <cp:keywords/>
  <dc:description/>
  <cp:lastModifiedBy>Camyl Moreno Pantojas</cp:lastModifiedBy>
  <cp:revision>2</cp:revision>
  <cp:lastPrinted>2025-02-26T14:29:00Z</cp:lastPrinted>
  <dcterms:created xsi:type="dcterms:W3CDTF">2025-10-21T19:50:00Z</dcterms:created>
  <dcterms:modified xsi:type="dcterms:W3CDTF">2025-10-21T19:50:00Z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0x010100831C0761637D684EABBCE64BDDA1E45F</vt:lpwstr>
  </property>
  <property fmtid="{D5CDD505-2E9C-101B-9397-08002B2CF9AE}" pid="3" name="MediaServiceImageTags">
    <vt:lpwstr/>
  </property>
  <property fmtid="{D5CDD505-2E9C-101B-9397-08002B2CF9AE}" pid="4" name="docLang">
    <vt:lpwstr>es</vt:lpwstr>
  </property>
</Properties>
</file>