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8611A" w14:textId="77777777" w:rsidR="00E77265" w:rsidRPr="00DB1DFD" w:rsidRDefault="00E77265" w:rsidP="00E77265">
      <w:pPr>
        <w:jc w:val="center"/>
        <w:outlineLvl w:val="0"/>
        <w:rPr>
          <w:rFonts w:ascii="Book Antiqua" w:hAnsi="Book Antiqua"/>
          <w:b/>
          <w:sz w:val="28"/>
          <w:szCs w:val="28"/>
        </w:rPr>
      </w:pPr>
      <w:r w:rsidRPr="00DB1DFD">
        <w:rPr>
          <w:rFonts w:ascii="Book Antiqua" w:hAnsi="Book Antiqua"/>
          <w:b/>
          <w:sz w:val="28"/>
          <w:szCs w:val="28"/>
        </w:rPr>
        <w:t>GOBIERNO DE PUERTO RICO</w:t>
      </w:r>
    </w:p>
    <w:p w14:paraId="0B22068E" w14:textId="77777777" w:rsidR="00E77265" w:rsidRPr="00DB1DFD" w:rsidRDefault="00E77265" w:rsidP="00E77265">
      <w:pPr>
        <w:tabs>
          <w:tab w:val="left" w:pos="5080"/>
        </w:tabs>
        <w:jc w:val="center"/>
        <w:rPr>
          <w:rFonts w:ascii="Book Antiqua" w:hAnsi="Book Antiqua"/>
        </w:rPr>
      </w:pPr>
    </w:p>
    <w:p w14:paraId="33621C7A" w14:textId="1A7559FD" w:rsidR="00E77265" w:rsidRPr="00DB1DFD" w:rsidRDefault="00E77265" w:rsidP="00E77265">
      <w:pPr>
        <w:pStyle w:val="Title2"/>
        <w:tabs>
          <w:tab w:val="clear" w:pos="7776"/>
          <w:tab w:val="clear" w:pos="7848"/>
          <w:tab w:val="right" w:pos="8640"/>
          <w:tab w:val="left" w:pos="9180"/>
        </w:tabs>
        <w:rPr>
          <w:rFonts w:ascii="Book Antiqua" w:hAnsi="Book Antiqua"/>
          <w:szCs w:val="24"/>
        </w:rPr>
      </w:pPr>
      <w:r w:rsidRPr="00DB1DFD">
        <w:rPr>
          <w:rFonts w:ascii="Book Antiqua" w:hAnsi="Book Antiqua"/>
          <w:szCs w:val="24"/>
        </w:rPr>
        <w:t>20ma. Asamblea</w:t>
      </w:r>
      <w:r w:rsidRPr="00DB1DFD">
        <w:rPr>
          <w:rFonts w:ascii="Book Antiqua" w:hAnsi="Book Antiqua"/>
          <w:szCs w:val="24"/>
        </w:rPr>
        <w:tab/>
        <w:t xml:space="preserve">             </w:t>
      </w:r>
      <w:r w:rsidR="006F04CA" w:rsidRPr="00DB1DFD">
        <w:rPr>
          <w:rFonts w:ascii="Book Antiqua" w:hAnsi="Book Antiqua"/>
          <w:szCs w:val="24"/>
        </w:rPr>
        <w:t>4t</w:t>
      </w:r>
      <w:r w:rsidRPr="00DB1DFD">
        <w:rPr>
          <w:rFonts w:ascii="Book Antiqua" w:hAnsi="Book Antiqua"/>
          <w:szCs w:val="24"/>
        </w:rPr>
        <w:t>a. Sesión</w:t>
      </w:r>
    </w:p>
    <w:p w14:paraId="55EB3236" w14:textId="59E8680F" w:rsidR="00E77265" w:rsidRPr="00DB1DFD" w:rsidRDefault="00E77265" w:rsidP="00E77265">
      <w:pPr>
        <w:pStyle w:val="Title2"/>
        <w:tabs>
          <w:tab w:val="clear" w:pos="648"/>
          <w:tab w:val="left" w:pos="540"/>
          <w:tab w:val="left" w:pos="6930"/>
        </w:tabs>
        <w:rPr>
          <w:rFonts w:ascii="Book Antiqua" w:hAnsi="Book Antiqua"/>
          <w:szCs w:val="24"/>
        </w:rPr>
      </w:pPr>
      <w:r w:rsidRPr="00DB1DFD">
        <w:rPr>
          <w:rFonts w:ascii="Book Antiqua" w:hAnsi="Book Antiqua"/>
          <w:szCs w:val="24"/>
        </w:rPr>
        <w:tab/>
      </w:r>
      <w:r w:rsidR="004815E0" w:rsidRPr="00DB1DFD">
        <w:rPr>
          <w:rFonts w:ascii="Book Antiqua" w:hAnsi="Book Antiqua"/>
          <w:szCs w:val="24"/>
        </w:rPr>
        <w:t xml:space="preserve">   </w:t>
      </w:r>
      <w:r w:rsidRPr="00DB1DFD">
        <w:rPr>
          <w:rFonts w:ascii="Book Antiqua" w:hAnsi="Book Antiqua"/>
          <w:szCs w:val="24"/>
        </w:rPr>
        <w:t>Legislativa</w:t>
      </w:r>
      <w:r w:rsidRPr="00DB1DFD">
        <w:rPr>
          <w:rFonts w:ascii="Book Antiqua" w:hAnsi="Book Antiqua"/>
          <w:szCs w:val="24"/>
        </w:rPr>
        <w:tab/>
        <w:t xml:space="preserve">            </w:t>
      </w:r>
      <w:r w:rsidR="004815E0" w:rsidRPr="00DB1DFD">
        <w:rPr>
          <w:rFonts w:ascii="Book Antiqua" w:hAnsi="Book Antiqua"/>
          <w:szCs w:val="24"/>
        </w:rPr>
        <w:t xml:space="preserve">     </w:t>
      </w:r>
      <w:r w:rsidRPr="00DB1DFD">
        <w:rPr>
          <w:rFonts w:ascii="Book Antiqua" w:hAnsi="Book Antiqua"/>
          <w:szCs w:val="24"/>
        </w:rPr>
        <w:t>Ordinaria</w:t>
      </w:r>
    </w:p>
    <w:p w14:paraId="3AF21CCE" w14:textId="77777777" w:rsidR="00E77265" w:rsidRPr="00DB1DFD" w:rsidRDefault="00E77265" w:rsidP="00E77265">
      <w:pPr>
        <w:rPr>
          <w:rFonts w:ascii="Book Antiqua" w:hAnsi="Book Antiqua"/>
        </w:rPr>
      </w:pPr>
    </w:p>
    <w:p w14:paraId="7547E6D8" w14:textId="77777777" w:rsidR="00E77265" w:rsidRPr="00DB1DFD" w:rsidRDefault="00E77265" w:rsidP="00E77265">
      <w:pPr>
        <w:jc w:val="center"/>
        <w:outlineLvl w:val="0"/>
        <w:rPr>
          <w:rFonts w:ascii="Book Antiqua" w:hAnsi="Book Antiqua"/>
          <w:smallCaps/>
          <w:sz w:val="36"/>
          <w:szCs w:val="36"/>
        </w:rPr>
      </w:pPr>
      <w:r w:rsidRPr="00DB1DFD">
        <w:rPr>
          <w:rFonts w:ascii="Book Antiqua" w:hAnsi="Book Antiqua"/>
          <w:b/>
          <w:caps/>
          <w:sz w:val="36"/>
          <w:szCs w:val="36"/>
        </w:rPr>
        <w:t>CÁMARA DE REPRESENTANTES</w:t>
      </w:r>
    </w:p>
    <w:p w14:paraId="626FEEC4" w14:textId="77777777" w:rsidR="00E77265" w:rsidRPr="00DB1DFD" w:rsidRDefault="00E77265" w:rsidP="00E77265">
      <w:pPr>
        <w:jc w:val="center"/>
        <w:rPr>
          <w:rFonts w:ascii="Book Antiqua" w:hAnsi="Book Antiqua" w:cs="Tahoma"/>
          <w:b/>
        </w:rPr>
      </w:pPr>
    </w:p>
    <w:p w14:paraId="7B27D09B" w14:textId="2309EDE5" w:rsidR="00E77265" w:rsidRPr="00DB1DFD" w:rsidRDefault="006F04CA" w:rsidP="006F04CA">
      <w:pPr>
        <w:tabs>
          <w:tab w:val="left" w:pos="7704"/>
        </w:tabs>
        <w:rPr>
          <w:rFonts w:ascii="Book Antiqua" w:hAnsi="Book Antiqua" w:cs="Tahoma"/>
          <w:b/>
        </w:rPr>
      </w:pPr>
      <w:r w:rsidRPr="00DB1DFD">
        <w:rPr>
          <w:rFonts w:ascii="Book Antiqua" w:hAnsi="Book Antiqua" w:cs="Tahoma"/>
          <w:b/>
        </w:rPr>
        <w:tab/>
      </w:r>
    </w:p>
    <w:p w14:paraId="417AD0BB" w14:textId="32E365BD" w:rsidR="00E77265" w:rsidRPr="00DB1DFD" w:rsidRDefault="004B7DFC" w:rsidP="00E77265">
      <w:pPr>
        <w:jc w:val="center"/>
        <w:outlineLvl w:val="0"/>
        <w:rPr>
          <w:rFonts w:ascii="Book Antiqua" w:hAnsi="Book Antiqua" w:cs="Tahoma"/>
          <w:b/>
          <w:sz w:val="52"/>
          <w:szCs w:val="52"/>
        </w:rPr>
      </w:pPr>
      <w:r w:rsidRPr="00DB1DFD">
        <w:rPr>
          <w:rFonts w:ascii="Book Antiqua" w:hAnsi="Book Antiqua" w:cs="Tahoma"/>
          <w:b/>
          <w:sz w:val="52"/>
          <w:szCs w:val="52"/>
        </w:rPr>
        <w:t>P</w:t>
      </w:r>
      <w:r w:rsidR="00E77265" w:rsidRPr="00DB1DFD">
        <w:rPr>
          <w:rFonts w:ascii="Book Antiqua" w:hAnsi="Book Antiqua" w:cs="Tahoma"/>
          <w:b/>
          <w:sz w:val="52"/>
          <w:szCs w:val="52"/>
        </w:rPr>
        <w:t xml:space="preserve">. DE LA C. </w:t>
      </w:r>
      <w:r w:rsidRPr="00DB1DFD">
        <w:rPr>
          <w:rFonts w:ascii="Book Antiqua" w:hAnsi="Book Antiqua" w:cs="Tahoma"/>
          <w:b/>
          <w:sz w:val="52"/>
          <w:szCs w:val="52"/>
        </w:rPr>
        <w:t>876</w:t>
      </w:r>
    </w:p>
    <w:p w14:paraId="1FA66AAE" w14:textId="77777777" w:rsidR="00C73BF9" w:rsidRPr="00DB1DFD" w:rsidRDefault="00C73BF9"/>
    <w:p w14:paraId="4E575965" w14:textId="77777777" w:rsidR="00C73BF9" w:rsidRPr="00DB1DFD" w:rsidRDefault="004815E0">
      <w:pPr>
        <w:jc w:val="center"/>
        <w:rPr>
          <w:rFonts w:ascii="Book Antiqua" w:eastAsia="Book Antiqua" w:hAnsi="Book Antiqua" w:cs="Book Antiqua"/>
          <w:b/>
          <w:bCs/>
          <w:sz w:val="28"/>
          <w:szCs w:val="28"/>
        </w:rPr>
      </w:pPr>
      <w:r w:rsidRPr="00DB1DFD">
        <w:rPr>
          <w:rFonts w:ascii="Book Antiqua" w:eastAsia="Book Antiqua" w:hAnsi="Book Antiqua" w:cs="Book Antiqua"/>
          <w:b/>
          <w:bCs/>
          <w:sz w:val="28"/>
          <w:szCs w:val="28"/>
        </w:rPr>
        <w:t>INFORME POSITIVO</w:t>
      </w:r>
    </w:p>
    <w:p w14:paraId="080D5CC6" w14:textId="77777777" w:rsidR="00E77265" w:rsidRPr="00DB1DFD" w:rsidRDefault="00E77265">
      <w:pPr>
        <w:jc w:val="center"/>
      </w:pPr>
    </w:p>
    <w:p w14:paraId="03ACCCAF" w14:textId="77777777" w:rsidR="00C73BF9" w:rsidRPr="00DB1DFD" w:rsidRDefault="00C73BF9"/>
    <w:p w14:paraId="17350442" w14:textId="3A306531" w:rsidR="00C73BF9" w:rsidRPr="00DB1DFD" w:rsidRDefault="00387806" w:rsidP="00E77265">
      <w:pPr>
        <w:spacing w:after="200"/>
        <w:jc w:val="center"/>
      </w:pPr>
      <w:r w:rsidRPr="00DB1DFD">
        <w:rPr>
          <w:rFonts w:ascii="Book Antiqua" w:eastAsia="Book Antiqua" w:hAnsi="Book Antiqua" w:cs="Book Antiqua"/>
          <w:sz w:val="24"/>
          <w:szCs w:val="24"/>
        </w:rPr>
        <w:t>1</w:t>
      </w:r>
      <w:r w:rsidR="00863DEC">
        <w:rPr>
          <w:rFonts w:ascii="Book Antiqua" w:eastAsia="Book Antiqua" w:hAnsi="Book Antiqua" w:cs="Book Antiqua"/>
          <w:sz w:val="24"/>
          <w:szCs w:val="24"/>
        </w:rPr>
        <w:t>3</w:t>
      </w:r>
      <w:r w:rsidR="004815E0" w:rsidRPr="00DB1DFD">
        <w:rPr>
          <w:rFonts w:ascii="Book Antiqua" w:eastAsia="Book Antiqua" w:hAnsi="Book Antiqua" w:cs="Book Antiqua"/>
          <w:sz w:val="24"/>
          <w:szCs w:val="24"/>
        </w:rPr>
        <w:t xml:space="preserve"> de julio de 2026</w:t>
      </w:r>
    </w:p>
    <w:p w14:paraId="67F111AB" w14:textId="77777777" w:rsidR="00C73BF9" w:rsidRPr="00DB1DFD" w:rsidRDefault="00C73BF9"/>
    <w:p w14:paraId="263FC815" w14:textId="77777777" w:rsidR="00C73BF9" w:rsidRPr="00DB1DFD" w:rsidRDefault="004815E0">
      <w:r w:rsidRPr="00DB1DFD">
        <w:rPr>
          <w:rFonts w:ascii="Book Antiqua" w:eastAsia="Book Antiqua" w:hAnsi="Book Antiqua" w:cs="Book Antiqua"/>
          <w:b/>
          <w:bCs/>
          <w:sz w:val="24"/>
          <w:szCs w:val="24"/>
        </w:rPr>
        <w:t>A LA CÁMARA DE REPRESENTANTES DE PUERTO RICO:</w:t>
      </w:r>
    </w:p>
    <w:p w14:paraId="77EB83E0" w14:textId="77777777" w:rsidR="00C73BF9" w:rsidRPr="00DB1DFD" w:rsidRDefault="00C73BF9"/>
    <w:p w14:paraId="212F15B3" w14:textId="6C0016A0" w:rsidR="00C73BF9" w:rsidRPr="00DB1DFD" w:rsidRDefault="004815E0">
      <w:pPr>
        <w:ind w:firstLine="720"/>
        <w:jc w:val="both"/>
      </w:pPr>
      <w:r w:rsidRPr="00DB1DFD">
        <w:rPr>
          <w:rFonts w:ascii="Book Antiqua" w:eastAsia="Book Antiqua" w:hAnsi="Book Antiqua" w:cs="Book Antiqua"/>
          <w:sz w:val="24"/>
          <w:szCs w:val="24"/>
        </w:rPr>
        <w:t xml:space="preserve">La Comisión de Asuntos Internos de la Cámara de Representantes, previo estudio y consideración </w:t>
      </w:r>
      <w:r w:rsidR="008B663D" w:rsidRPr="00DB1DFD">
        <w:rPr>
          <w:rFonts w:ascii="Book Antiqua" w:eastAsia="Book Antiqua" w:hAnsi="Book Antiqua" w:cs="Book Antiqua"/>
          <w:sz w:val="24"/>
          <w:szCs w:val="24"/>
        </w:rPr>
        <w:t>del</w:t>
      </w:r>
      <w:r w:rsidRPr="00DB1DFD">
        <w:rPr>
          <w:rFonts w:ascii="Book Antiqua" w:eastAsia="Book Antiqua" w:hAnsi="Book Antiqua" w:cs="Book Antiqua"/>
          <w:sz w:val="24"/>
          <w:szCs w:val="24"/>
        </w:rPr>
        <w:t xml:space="preserve"> </w:t>
      </w:r>
      <w:r w:rsidR="008B663D" w:rsidRPr="00DB1DFD">
        <w:rPr>
          <w:rFonts w:ascii="Book Antiqua" w:eastAsia="Book Antiqua" w:hAnsi="Book Antiqua" w:cs="Book Antiqua"/>
          <w:sz w:val="24"/>
          <w:szCs w:val="24"/>
        </w:rPr>
        <w:t>P</w:t>
      </w:r>
      <w:r w:rsidRPr="00DB1DFD">
        <w:rPr>
          <w:rFonts w:ascii="Book Antiqua" w:eastAsia="Book Antiqua" w:hAnsi="Book Antiqua" w:cs="Book Antiqua"/>
          <w:sz w:val="24"/>
          <w:szCs w:val="24"/>
        </w:rPr>
        <w:t xml:space="preserve">. de la C. </w:t>
      </w:r>
      <w:r w:rsidR="004B7DFC" w:rsidRPr="00DB1DFD">
        <w:rPr>
          <w:rFonts w:ascii="Book Antiqua" w:eastAsia="Book Antiqua" w:hAnsi="Book Antiqua" w:cs="Book Antiqua"/>
          <w:sz w:val="24"/>
          <w:szCs w:val="24"/>
        </w:rPr>
        <w:t>876</w:t>
      </w:r>
      <w:r w:rsidRPr="00DB1DFD">
        <w:rPr>
          <w:rFonts w:ascii="Book Antiqua" w:eastAsia="Book Antiqua" w:hAnsi="Book Antiqua" w:cs="Book Antiqua"/>
          <w:sz w:val="24"/>
          <w:szCs w:val="24"/>
        </w:rPr>
        <w:t>, tiene a bien someter su informe recomendando la aprobación de la medida con las enmiendas contenidas en el entirillado electrónico que acompaña este informe, cuyo título lee:</w:t>
      </w:r>
    </w:p>
    <w:p w14:paraId="2660281B" w14:textId="77777777" w:rsidR="00C73BF9" w:rsidRPr="00DB1DFD" w:rsidRDefault="00C73BF9"/>
    <w:p w14:paraId="51EF5080" w14:textId="119596F1" w:rsidR="00C73BF9" w:rsidRPr="00DB1DFD" w:rsidRDefault="004815E0">
      <w:pPr>
        <w:ind w:firstLine="720"/>
        <w:jc w:val="both"/>
        <w:rPr>
          <w:rFonts w:ascii="Book Antiqua" w:eastAsia="Book Antiqua" w:hAnsi="Book Antiqua" w:cs="Book Antiqua"/>
          <w:sz w:val="24"/>
          <w:szCs w:val="24"/>
        </w:rPr>
      </w:pPr>
      <w:r w:rsidRPr="00DB1DFD">
        <w:rPr>
          <w:rFonts w:ascii="Book Antiqua" w:eastAsia="Book Antiqua" w:hAnsi="Book Antiqua" w:cs="Book Antiqua"/>
          <w:sz w:val="24"/>
          <w:szCs w:val="24"/>
        </w:rPr>
        <w:t xml:space="preserve">“Para </w:t>
      </w:r>
      <w:r w:rsidR="00441324" w:rsidRPr="00DB1DFD">
        <w:rPr>
          <w:rFonts w:ascii="Book Antiqua" w:hAnsi="Book Antiqua"/>
          <w:sz w:val="24"/>
          <w:szCs w:val="24"/>
        </w:rPr>
        <w:t>enmendar los Artículos 1, 3, 4, 6 y 7 de la Ley 119-2007, conocida como la Ley de la “Beca de la Cámara de Representantes de Puerto Rico, Isamar Malaret Vélez” para Estudios Graduados en Educación Especial, a los fines de realizar correcciones técnicas que faciliten su ejecución</w:t>
      </w:r>
      <w:r w:rsidRPr="00DB1DFD">
        <w:rPr>
          <w:rFonts w:ascii="Book Antiqua" w:eastAsia="Book Antiqua" w:hAnsi="Book Antiqua" w:cs="Book Antiqua"/>
          <w:sz w:val="24"/>
          <w:szCs w:val="24"/>
        </w:rPr>
        <w:t>.”</w:t>
      </w:r>
    </w:p>
    <w:p w14:paraId="64F01D48" w14:textId="77777777" w:rsidR="00C73BF9" w:rsidRPr="00DB1DFD" w:rsidRDefault="00C73BF9"/>
    <w:p w14:paraId="6AA04ABD" w14:textId="77777777" w:rsidR="00C73BF9" w:rsidRPr="00DB1DFD" w:rsidRDefault="004815E0" w:rsidP="00F73A8A">
      <w:pPr>
        <w:jc w:val="center"/>
      </w:pPr>
      <w:r w:rsidRPr="00DB1DFD">
        <w:rPr>
          <w:rFonts w:ascii="Book Antiqua" w:eastAsia="Book Antiqua" w:hAnsi="Book Antiqua" w:cs="Book Antiqua"/>
          <w:b/>
          <w:bCs/>
          <w:sz w:val="24"/>
          <w:szCs w:val="24"/>
        </w:rPr>
        <w:t>ALCANCE Y ANÁLISIS DE LA MEDIDA</w:t>
      </w:r>
    </w:p>
    <w:p w14:paraId="226030F8" w14:textId="77777777" w:rsidR="00C73BF9" w:rsidRPr="00DB1DFD" w:rsidRDefault="00C73BF9"/>
    <w:p w14:paraId="5F435AAE" w14:textId="2A8E2C09" w:rsidR="00C73BF9" w:rsidRPr="00DB1DFD" w:rsidRDefault="00056323">
      <w:pPr>
        <w:ind w:firstLine="720"/>
        <w:jc w:val="both"/>
        <w:rPr>
          <w:rFonts w:ascii="Book Antiqua" w:eastAsia="Book Antiqua" w:hAnsi="Book Antiqua" w:cs="Book Antiqua"/>
          <w:sz w:val="24"/>
          <w:szCs w:val="24"/>
        </w:rPr>
      </w:pPr>
      <w:r w:rsidRPr="00DB1DFD">
        <w:rPr>
          <w:rFonts w:ascii="Book Antiqua" w:eastAsia="Book Antiqua" w:hAnsi="Book Antiqua" w:cs="Book Antiqua"/>
          <w:sz w:val="24"/>
          <w:szCs w:val="24"/>
        </w:rPr>
        <w:t>El Proyecto</w:t>
      </w:r>
      <w:r w:rsidR="004815E0" w:rsidRPr="00DB1DFD">
        <w:rPr>
          <w:rFonts w:ascii="Book Antiqua" w:eastAsia="Book Antiqua" w:hAnsi="Book Antiqua" w:cs="Book Antiqua"/>
          <w:sz w:val="24"/>
          <w:szCs w:val="24"/>
        </w:rPr>
        <w:t xml:space="preserve"> de la Cámara Núm. </w:t>
      </w:r>
      <w:r w:rsidR="004B7DFC" w:rsidRPr="00DB1DFD">
        <w:rPr>
          <w:rFonts w:ascii="Book Antiqua" w:eastAsia="Book Antiqua" w:hAnsi="Book Antiqua" w:cs="Book Antiqua"/>
          <w:sz w:val="24"/>
          <w:szCs w:val="24"/>
        </w:rPr>
        <w:t>876</w:t>
      </w:r>
      <w:r w:rsidR="004815E0" w:rsidRPr="00DB1DFD">
        <w:rPr>
          <w:rFonts w:ascii="Book Antiqua" w:eastAsia="Book Antiqua" w:hAnsi="Book Antiqua" w:cs="Book Antiqua"/>
          <w:sz w:val="24"/>
          <w:szCs w:val="24"/>
        </w:rPr>
        <w:t xml:space="preserve"> persigue </w:t>
      </w:r>
      <w:r w:rsidRPr="00DB1DFD">
        <w:rPr>
          <w:rFonts w:ascii="Book Antiqua" w:hAnsi="Book Antiqua"/>
          <w:sz w:val="24"/>
          <w:szCs w:val="24"/>
        </w:rPr>
        <w:t>enmendar los Artículos 1, 3, 4, 6 y 7 de la Ley 119-2007, conocida como la Ley de la “Beca de la Cámara de Representantes de Puerto Rico, Isamar Malaret Vélez” para Estudios Graduados en Educación Especial, a los fines de realizar correcciones técnicas que faciliten su ejecución</w:t>
      </w:r>
      <w:r w:rsidR="004815E0" w:rsidRPr="00DB1DFD">
        <w:rPr>
          <w:rFonts w:ascii="Book Antiqua" w:eastAsia="Book Antiqua" w:hAnsi="Book Antiqua" w:cs="Book Antiqua"/>
          <w:sz w:val="24"/>
          <w:szCs w:val="24"/>
        </w:rPr>
        <w:t>.</w:t>
      </w:r>
    </w:p>
    <w:p w14:paraId="2DE55203" w14:textId="77777777" w:rsidR="006B015B" w:rsidRPr="00DB1DFD" w:rsidRDefault="006B015B">
      <w:pPr>
        <w:ind w:firstLine="720"/>
        <w:jc w:val="both"/>
        <w:rPr>
          <w:rFonts w:ascii="Book Antiqua" w:eastAsia="Book Antiqua" w:hAnsi="Book Antiqua" w:cs="Book Antiqua"/>
          <w:sz w:val="24"/>
          <w:szCs w:val="24"/>
        </w:rPr>
      </w:pPr>
    </w:p>
    <w:p w14:paraId="06F400BE" w14:textId="77777777" w:rsidR="00DB1DFD" w:rsidRDefault="00DB1DFD" w:rsidP="00DB1DFD">
      <w:pPr>
        <w:ind w:firstLine="720"/>
        <w:jc w:val="both"/>
        <w:rPr>
          <w:rFonts w:ascii="Book Antiqua" w:hAnsi="Book Antiqua"/>
          <w:sz w:val="24"/>
          <w:szCs w:val="24"/>
        </w:rPr>
      </w:pPr>
      <w:r w:rsidRPr="00DB1DFD">
        <w:rPr>
          <w:rFonts w:ascii="Book Antiqua" w:hAnsi="Book Antiqua"/>
          <w:sz w:val="24"/>
          <w:szCs w:val="24"/>
        </w:rPr>
        <w:t xml:space="preserve">La Ley 119-2007 fue concebida para fomentar la formación y retención de maestros capacitados en el área de educación especial, honrando a la vez la gesta histórica de Isamar Malaret Vélez y su madre Rosa Lydia Vélez en defensa de los servicios educativos para la niñez con necesidades especiales. </w:t>
      </w:r>
    </w:p>
    <w:p w14:paraId="43939915" w14:textId="77777777" w:rsidR="00DB1DFD" w:rsidRPr="00DB1DFD" w:rsidRDefault="00DB1DFD" w:rsidP="00DB1DFD">
      <w:pPr>
        <w:ind w:firstLine="720"/>
        <w:jc w:val="both"/>
        <w:rPr>
          <w:rFonts w:ascii="Book Antiqua" w:hAnsi="Book Antiqua"/>
          <w:sz w:val="24"/>
          <w:szCs w:val="24"/>
        </w:rPr>
      </w:pPr>
    </w:p>
    <w:p w14:paraId="59CD1A4A" w14:textId="2527DD53" w:rsidR="00DB1DFD" w:rsidRDefault="00DB1DFD" w:rsidP="00DB1DFD">
      <w:pPr>
        <w:ind w:firstLine="720"/>
        <w:jc w:val="both"/>
        <w:rPr>
          <w:rFonts w:ascii="Book Antiqua" w:hAnsi="Book Antiqua"/>
          <w:sz w:val="24"/>
          <w:szCs w:val="24"/>
        </w:rPr>
      </w:pPr>
      <w:r w:rsidRPr="00DB1DFD">
        <w:rPr>
          <w:rFonts w:ascii="Book Antiqua" w:hAnsi="Book Antiqua"/>
          <w:sz w:val="24"/>
          <w:szCs w:val="24"/>
        </w:rPr>
        <w:t>Como parte de la evaluación del P. de la C. 876, esta Comisión solicitó y analizó minuciosamente los memoriales explicativos presentados por la Oficina de Servicios Legislativos</w:t>
      </w:r>
      <w:r>
        <w:rPr>
          <w:rFonts w:ascii="Book Antiqua" w:hAnsi="Book Antiqua"/>
          <w:sz w:val="24"/>
          <w:szCs w:val="24"/>
        </w:rPr>
        <w:t xml:space="preserve"> (OSL)</w:t>
      </w:r>
      <w:r w:rsidRPr="00DB1DFD">
        <w:rPr>
          <w:rFonts w:ascii="Book Antiqua" w:hAnsi="Book Antiqua"/>
          <w:sz w:val="24"/>
          <w:szCs w:val="24"/>
        </w:rPr>
        <w:t xml:space="preserve"> y por la Oficina de Presupuesto de la Asamblea Legislativa</w:t>
      </w:r>
      <w:r>
        <w:rPr>
          <w:rFonts w:ascii="Book Antiqua" w:hAnsi="Book Antiqua"/>
          <w:sz w:val="24"/>
          <w:szCs w:val="24"/>
        </w:rPr>
        <w:t xml:space="preserve"> (OPAL)</w:t>
      </w:r>
      <w:r w:rsidRPr="00DB1DFD">
        <w:rPr>
          <w:rFonts w:ascii="Book Antiqua" w:hAnsi="Book Antiqua"/>
          <w:sz w:val="24"/>
          <w:szCs w:val="24"/>
        </w:rPr>
        <w:t xml:space="preserve">. </w:t>
      </w:r>
      <w:r w:rsidRPr="00DB1DFD">
        <w:rPr>
          <w:rFonts w:ascii="Book Antiqua" w:hAnsi="Book Antiqua"/>
          <w:sz w:val="24"/>
          <w:szCs w:val="24"/>
        </w:rPr>
        <w:lastRenderedPageBreak/>
        <w:t xml:space="preserve">Ambos organismos brindaron un análisis técnico, legal y fiscal indispensable para la ponderación de la medida. </w:t>
      </w:r>
    </w:p>
    <w:p w14:paraId="2CDCC36D" w14:textId="77777777" w:rsidR="00DB1DFD" w:rsidRPr="00DB1DFD" w:rsidRDefault="00DB1DFD" w:rsidP="00DB1DFD">
      <w:pPr>
        <w:ind w:firstLine="720"/>
        <w:jc w:val="both"/>
        <w:rPr>
          <w:rFonts w:ascii="Book Antiqua" w:hAnsi="Book Antiqua"/>
          <w:sz w:val="24"/>
          <w:szCs w:val="24"/>
        </w:rPr>
      </w:pPr>
    </w:p>
    <w:p w14:paraId="2C767B99" w14:textId="6AE19D2A" w:rsidR="00DB1DFD" w:rsidRDefault="00DB1DFD" w:rsidP="00DB1DFD">
      <w:pPr>
        <w:ind w:firstLine="720"/>
        <w:jc w:val="both"/>
        <w:rPr>
          <w:rFonts w:ascii="Book Antiqua" w:hAnsi="Book Antiqua"/>
          <w:sz w:val="24"/>
          <w:szCs w:val="24"/>
        </w:rPr>
      </w:pPr>
      <w:r w:rsidRPr="00DB1DFD">
        <w:rPr>
          <w:rFonts w:ascii="Book Antiqua" w:hAnsi="Book Antiqua"/>
          <w:sz w:val="24"/>
          <w:szCs w:val="24"/>
        </w:rPr>
        <w:t xml:space="preserve">En su Memorial Explicativo, la </w:t>
      </w:r>
      <w:r w:rsidR="00871728">
        <w:rPr>
          <w:rFonts w:ascii="Book Antiqua" w:hAnsi="Book Antiqua"/>
          <w:sz w:val="24"/>
          <w:szCs w:val="24"/>
        </w:rPr>
        <w:t>OSL</w:t>
      </w:r>
      <w:r w:rsidRPr="00DB1DFD">
        <w:rPr>
          <w:rFonts w:ascii="Book Antiqua" w:hAnsi="Book Antiqua"/>
          <w:sz w:val="24"/>
          <w:szCs w:val="24"/>
        </w:rPr>
        <w:t xml:space="preserve"> concluyó que no existe impedimento legal alguno para la aprobación del P. de la C. 876. La </w:t>
      </w:r>
      <w:r w:rsidR="00871728">
        <w:rPr>
          <w:rFonts w:ascii="Book Antiqua" w:hAnsi="Book Antiqua"/>
          <w:sz w:val="24"/>
          <w:szCs w:val="24"/>
        </w:rPr>
        <w:t>OSL</w:t>
      </w:r>
      <w:r w:rsidRPr="00DB1DFD">
        <w:rPr>
          <w:rFonts w:ascii="Book Antiqua" w:hAnsi="Book Antiqua"/>
          <w:sz w:val="24"/>
          <w:szCs w:val="24"/>
        </w:rPr>
        <w:t xml:space="preserve"> resaltó que la propuesta resulta plenamente cónsona con la política pública consagrada en la Sección 5 del Artículo II de la Constitución de Puerto Rico, la cual consagra el derecho de toda persona a una educación que propenda al pleno desarrollo de su personalidad. Asimismo, la </w:t>
      </w:r>
      <w:r w:rsidR="00871728">
        <w:rPr>
          <w:rFonts w:ascii="Book Antiqua" w:hAnsi="Book Antiqua"/>
          <w:sz w:val="24"/>
          <w:szCs w:val="24"/>
        </w:rPr>
        <w:t>OSL</w:t>
      </w:r>
      <w:r w:rsidRPr="00DB1DFD">
        <w:rPr>
          <w:rFonts w:ascii="Book Antiqua" w:hAnsi="Book Antiqua"/>
          <w:sz w:val="24"/>
          <w:szCs w:val="24"/>
        </w:rPr>
        <w:t xml:space="preserve"> fundamentó que la Asamblea Legislativa posee la facultad constitucional conferida por el Artículo III para evaluar, aprobar y enmendar leyes. </w:t>
      </w:r>
    </w:p>
    <w:p w14:paraId="6ACC2195" w14:textId="77777777" w:rsidR="00871728" w:rsidRPr="00DB1DFD" w:rsidRDefault="00871728" w:rsidP="00DB1DFD">
      <w:pPr>
        <w:ind w:firstLine="720"/>
        <w:jc w:val="both"/>
        <w:rPr>
          <w:rFonts w:ascii="Book Antiqua" w:hAnsi="Book Antiqua"/>
          <w:sz w:val="24"/>
          <w:szCs w:val="24"/>
        </w:rPr>
      </w:pPr>
    </w:p>
    <w:p w14:paraId="587079F1" w14:textId="10E4EC91" w:rsidR="00DB1DFD" w:rsidRDefault="00DB1DFD" w:rsidP="00DB1DFD">
      <w:pPr>
        <w:ind w:firstLine="720"/>
        <w:jc w:val="both"/>
        <w:rPr>
          <w:rFonts w:ascii="Book Antiqua" w:hAnsi="Book Antiqua"/>
          <w:sz w:val="24"/>
          <w:szCs w:val="24"/>
        </w:rPr>
      </w:pPr>
      <w:r w:rsidRPr="00DB1DFD">
        <w:rPr>
          <w:rFonts w:ascii="Book Antiqua" w:hAnsi="Book Antiqua"/>
          <w:sz w:val="24"/>
          <w:szCs w:val="24"/>
        </w:rPr>
        <w:t xml:space="preserve">En cuanto al contenido de las enmiendas, la </w:t>
      </w:r>
      <w:r w:rsidR="00871728">
        <w:rPr>
          <w:rFonts w:ascii="Book Antiqua" w:hAnsi="Book Antiqua"/>
          <w:sz w:val="24"/>
          <w:szCs w:val="24"/>
        </w:rPr>
        <w:t>OSL</w:t>
      </w:r>
      <w:r w:rsidRPr="00DB1DFD">
        <w:rPr>
          <w:rFonts w:ascii="Book Antiqua" w:hAnsi="Book Antiqua"/>
          <w:sz w:val="24"/>
          <w:szCs w:val="24"/>
        </w:rPr>
        <w:t xml:space="preserve"> destacó la conveniencia de flexibilizar la denominación de la comisión cameral encargada de reglamentar la beca, sustituyendo el nombre específico de la comisión por una referencia a la comisión que ostente jurisdicción sobre la educación especial. Esto evita que la aplicación de la ley quede supeditada a los cambios de estructura o nombres de comisiones que ocurren al inicio de cada cuatrienio legislativo. Adicionalmente, la </w:t>
      </w:r>
      <w:r w:rsidR="0097571C">
        <w:rPr>
          <w:rFonts w:ascii="Book Antiqua" w:hAnsi="Book Antiqua"/>
          <w:sz w:val="24"/>
          <w:szCs w:val="24"/>
        </w:rPr>
        <w:t>OSL</w:t>
      </w:r>
      <w:r w:rsidRPr="00DB1DFD">
        <w:rPr>
          <w:rFonts w:ascii="Book Antiqua" w:hAnsi="Book Antiqua"/>
          <w:sz w:val="24"/>
          <w:szCs w:val="24"/>
        </w:rPr>
        <w:t xml:space="preserve"> refrendó la aclaración técnica referente a que los programas académicos puedan ser cursados en instituciones acreditadas en Puerto Rico o en cualquier otra jurisdicción de los Estados Unidos, así como la precisión de la obligación anual de financiamiento en el presupuesto de la Cámara de Representantes. La </w:t>
      </w:r>
      <w:r w:rsidR="0097571C">
        <w:rPr>
          <w:rFonts w:ascii="Book Antiqua" w:hAnsi="Book Antiqua"/>
          <w:sz w:val="24"/>
          <w:szCs w:val="24"/>
        </w:rPr>
        <w:t>OSL</w:t>
      </w:r>
      <w:r w:rsidRPr="00DB1DFD">
        <w:rPr>
          <w:rFonts w:ascii="Book Antiqua" w:hAnsi="Book Antiqua"/>
          <w:sz w:val="24"/>
          <w:szCs w:val="24"/>
        </w:rPr>
        <w:t xml:space="preserve"> acompañó su escrito con sugerencias de redacción y correcciones gramaticales, las cuales han sido acogidas de forma sustancial por esta Comisión. </w:t>
      </w:r>
    </w:p>
    <w:p w14:paraId="5E4F51A5" w14:textId="77777777" w:rsidR="00285725" w:rsidRPr="00DB1DFD" w:rsidRDefault="00285725" w:rsidP="00DB1DFD">
      <w:pPr>
        <w:ind w:firstLine="720"/>
        <w:jc w:val="both"/>
        <w:rPr>
          <w:rFonts w:ascii="Book Antiqua" w:hAnsi="Book Antiqua"/>
          <w:sz w:val="24"/>
          <w:szCs w:val="24"/>
        </w:rPr>
      </w:pPr>
    </w:p>
    <w:p w14:paraId="6E02F8D3" w14:textId="06161D24" w:rsidR="00DB1DFD" w:rsidRDefault="00DB1DFD" w:rsidP="00DB1DFD">
      <w:pPr>
        <w:ind w:firstLine="720"/>
        <w:jc w:val="both"/>
        <w:rPr>
          <w:rFonts w:ascii="Book Antiqua" w:hAnsi="Book Antiqua"/>
          <w:sz w:val="24"/>
          <w:szCs w:val="24"/>
        </w:rPr>
      </w:pPr>
      <w:r w:rsidRPr="00DB1DFD">
        <w:rPr>
          <w:rFonts w:ascii="Book Antiqua" w:hAnsi="Book Antiqua"/>
          <w:sz w:val="24"/>
          <w:szCs w:val="24"/>
        </w:rPr>
        <w:t>Por su parte, la Oficina de Presupuesto de la Asamblea Legislativa</w:t>
      </w:r>
      <w:r w:rsidR="00B85F68">
        <w:rPr>
          <w:rFonts w:ascii="Book Antiqua" w:hAnsi="Book Antiqua"/>
          <w:sz w:val="24"/>
          <w:szCs w:val="24"/>
        </w:rPr>
        <w:t xml:space="preserve"> (OPAL)</w:t>
      </w:r>
      <w:r w:rsidRPr="00DB1DFD">
        <w:rPr>
          <w:rFonts w:ascii="Book Antiqua" w:hAnsi="Book Antiqua"/>
          <w:sz w:val="24"/>
          <w:szCs w:val="24"/>
        </w:rPr>
        <w:t xml:space="preserve"> emitió el Informe 2026-294 sobre el efecto fiscal de la pieza legislativa. En su análisis, la </w:t>
      </w:r>
      <w:r w:rsidR="00B85F68">
        <w:rPr>
          <w:rFonts w:ascii="Book Antiqua" w:hAnsi="Book Antiqua"/>
          <w:sz w:val="24"/>
          <w:szCs w:val="24"/>
        </w:rPr>
        <w:t>OPAL</w:t>
      </w:r>
      <w:r w:rsidRPr="00DB1DFD">
        <w:rPr>
          <w:rFonts w:ascii="Book Antiqua" w:hAnsi="Book Antiqua"/>
          <w:sz w:val="24"/>
          <w:szCs w:val="24"/>
        </w:rPr>
        <w:t xml:space="preserve"> confirmó que el proyecto busca actualizar la estructura directiva de la beca, ampliar la elegibilidad institucional y requerir la separación de quince mil dólares anuales en el Presupuesto General de Gastos de la Cámara de Representantes. Luego de realizar las consultas correspondientes con la Oficina de Finanzas y Presupuesto de la Cámara de Representantes, la </w:t>
      </w:r>
      <w:r w:rsidR="00B85F68">
        <w:rPr>
          <w:rFonts w:ascii="Book Antiqua" w:hAnsi="Book Antiqua"/>
          <w:sz w:val="24"/>
          <w:szCs w:val="24"/>
        </w:rPr>
        <w:t>OPAL</w:t>
      </w:r>
      <w:r w:rsidRPr="00DB1DFD">
        <w:rPr>
          <w:rFonts w:ascii="Book Antiqua" w:hAnsi="Book Antiqua"/>
          <w:sz w:val="24"/>
          <w:szCs w:val="24"/>
        </w:rPr>
        <w:t xml:space="preserve"> identificó que actualmente se asignan cinco mil dólares para este programa. Por lo tanto, la </w:t>
      </w:r>
      <w:r w:rsidR="00B85F68">
        <w:rPr>
          <w:rFonts w:ascii="Book Antiqua" w:hAnsi="Book Antiqua"/>
          <w:sz w:val="24"/>
          <w:szCs w:val="24"/>
        </w:rPr>
        <w:t>OPAL</w:t>
      </w:r>
      <w:r w:rsidRPr="00DB1DFD">
        <w:rPr>
          <w:rFonts w:ascii="Book Antiqua" w:hAnsi="Book Antiqua"/>
          <w:sz w:val="24"/>
          <w:szCs w:val="24"/>
        </w:rPr>
        <w:t xml:space="preserve"> determinó de forma categórica que la aprobación del P. de la C. 876 genera un impacto fiscal neto de diez mil</w:t>
      </w:r>
      <w:r w:rsidR="00B85F68">
        <w:rPr>
          <w:rFonts w:ascii="Book Antiqua" w:hAnsi="Book Antiqua"/>
          <w:sz w:val="24"/>
          <w:szCs w:val="24"/>
        </w:rPr>
        <w:t xml:space="preserve"> ($10,000)</w:t>
      </w:r>
      <w:r w:rsidRPr="00DB1DFD">
        <w:rPr>
          <w:rFonts w:ascii="Book Antiqua" w:hAnsi="Book Antiqua"/>
          <w:sz w:val="24"/>
          <w:szCs w:val="24"/>
        </w:rPr>
        <w:t xml:space="preserve"> dólares adicionales a partir del año fiscal 2026, cantidad que resulta perfectamente sostenible dentro del presupuesto operacional de este Cuerpo. </w:t>
      </w:r>
    </w:p>
    <w:p w14:paraId="4F98A2EF" w14:textId="6CC136FF" w:rsidR="00C73BF9" w:rsidRPr="000A310C" w:rsidRDefault="00C73BF9" w:rsidP="000A310C">
      <w:pPr>
        <w:jc w:val="both"/>
        <w:rPr>
          <w:rFonts w:ascii="Book Antiqua" w:hAnsi="Book Antiqua"/>
          <w:sz w:val="24"/>
          <w:szCs w:val="24"/>
        </w:rPr>
      </w:pPr>
    </w:p>
    <w:p w14:paraId="6D691E20" w14:textId="77777777" w:rsidR="00C73BF9" w:rsidRPr="00DB1DFD" w:rsidRDefault="00C73BF9"/>
    <w:p w14:paraId="74B5AB3B" w14:textId="77777777" w:rsidR="00C73BF9" w:rsidRPr="00DB1DFD" w:rsidRDefault="004815E0" w:rsidP="00F73A8A">
      <w:pPr>
        <w:jc w:val="center"/>
      </w:pPr>
      <w:r w:rsidRPr="00DB1DFD">
        <w:rPr>
          <w:rFonts w:ascii="Book Antiqua" w:eastAsia="Book Antiqua" w:hAnsi="Book Antiqua" w:cs="Book Antiqua"/>
          <w:b/>
          <w:bCs/>
          <w:sz w:val="24"/>
          <w:szCs w:val="24"/>
        </w:rPr>
        <w:t>CONCLUSIÓN Y RECOMENDACIÓN</w:t>
      </w:r>
    </w:p>
    <w:p w14:paraId="7876EF24" w14:textId="77777777" w:rsidR="00C73BF9" w:rsidRPr="00DB1DFD" w:rsidRDefault="00C73BF9"/>
    <w:p w14:paraId="14CFD1F6" w14:textId="77777777" w:rsidR="000A310C" w:rsidRDefault="000A310C" w:rsidP="000A310C">
      <w:pPr>
        <w:ind w:firstLine="720"/>
        <w:jc w:val="both"/>
        <w:rPr>
          <w:rFonts w:ascii="Book Antiqua" w:eastAsia="Book Antiqua" w:hAnsi="Book Antiqua" w:cs="Book Antiqua"/>
          <w:sz w:val="24"/>
          <w:szCs w:val="24"/>
        </w:rPr>
      </w:pPr>
      <w:r w:rsidRPr="000A310C">
        <w:rPr>
          <w:rFonts w:ascii="Book Antiqua" w:eastAsia="Book Antiqua" w:hAnsi="Book Antiqua" w:cs="Book Antiqua"/>
          <w:sz w:val="24"/>
          <w:szCs w:val="24"/>
        </w:rPr>
        <w:t xml:space="preserve">Luego de ponderar las recomendaciones expresadas por la Oficina de Servicios Legislativos y por la Oficina de Presupuesto de la Asamblea Legislativa, la Comisión de Asuntos Internos concluye que las enmiendas propuestas fortalecen la intención legislativa original de la Ley 119-2007. Las modificaciones técnicas garantizan una </w:t>
      </w:r>
      <w:r w:rsidRPr="000A310C">
        <w:rPr>
          <w:rFonts w:ascii="Book Antiqua" w:eastAsia="Book Antiqua" w:hAnsi="Book Antiqua" w:cs="Book Antiqua"/>
          <w:sz w:val="24"/>
          <w:szCs w:val="24"/>
        </w:rPr>
        <w:lastRenderedPageBreak/>
        <w:t xml:space="preserve">administración más ágil, aseguran la disponibilidad de recursos económicos de manera recurrente y eliminan trabas burocráticas que afectaban la concesión de las becas. </w:t>
      </w:r>
    </w:p>
    <w:p w14:paraId="2D190198" w14:textId="77777777" w:rsidR="000A310C" w:rsidRPr="000A310C" w:rsidRDefault="000A310C" w:rsidP="000A310C">
      <w:pPr>
        <w:ind w:firstLine="720"/>
        <w:jc w:val="both"/>
        <w:rPr>
          <w:rFonts w:ascii="Book Antiqua" w:eastAsia="Book Antiqua" w:hAnsi="Book Antiqua" w:cs="Book Antiqua"/>
          <w:sz w:val="24"/>
          <w:szCs w:val="24"/>
        </w:rPr>
      </w:pPr>
    </w:p>
    <w:p w14:paraId="05C129E6" w14:textId="31C5DA81" w:rsidR="00C73BF9" w:rsidRDefault="000A310C" w:rsidP="000A310C">
      <w:pPr>
        <w:ind w:firstLine="720"/>
        <w:jc w:val="both"/>
        <w:rPr>
          <w:rFonts w:ascii="Book Antiqua" w:eastAsia="Book Antiqua" w:hAnsi="Book Antiqua" w:cs="Book Antiqua"/>
          <w:sz w:val="24"/>
          <w:szCs w:val="24"/>
        </w:rPr>
      </w:pPr>
      <w:r w:rsidRPr="000A310C">
        <w:rPr>
          <w:rFonts w:ascii="Book Antiqua" w:eastAsia="Book Antiqua" w:hAnsi="Book Antiqua" w:cs="Book Antiqua"/>
          <w:sz w:val="24"/>
          <w:szCs w:val="24"/>
        </w:rPr>
        <w:t>Por todo lo antes expuesto, la Comisión de Asuntos Internos de la Cámara de Representantes de Puerto Rico recomienda de forma favorable la aprobación del Proyecto de la Cámara 876, con las enmiendas contenidas en el entirillado electrónico adjunto.</w:t>
      </w:r>
    </w:p>
    <w:p w14:paraId="3E4F9BAC" w14:textId="77777777" w:rsidR="00876C05" w:rsidRPr="000A310C" w:rsidRDefault="00876C05" w:rsidP="000A310C">
      <w:pPr>
        <w:ind w:firstLine="720"/>
        <w:jc w:val="both"/>
        <w:rPr>
          <w:rFonts w:ascii="Book Antiqua" w:eastAsia="Book Antiqua" w:hAnsi="Book Antiqua" w:cs="Book Antiqua"/>
          <w:sz w:val="24"/>
          <w:szCs w:val="24"/>
        </w:rPr>
      </w:pPr>
    </w:p>
    <w:p w14:paraId="5E710CBB" w14:textId="77777777" w:rsidR="00C73BF9" w:rsidRPr="00DB1DFD" w:rsidRDefault="00C73BF9"/>
    <w:p w14:paraId="32025A45" w14:textId="77777777" w:rsidR="00C73BF9" w:rsidRPr="00DB1DFD" w:rsidRDefault="004815E0">
      <w:pPr>
        <w:rPr>
          <w:rFonts w:ascii="Book Antiqua" w:eastAsia="Book Antiqua" w:hAnsi="Book Antiqua" w:cs="Book Antiqua"/>
          <w:sz w:val="24"/>
          <w:szCs w:val="24"/>
        </w:rPr>
      </w:pPr>
      <w:r w:rsidRPr="00DB1DFD">
        <w:rPr>
          <w:rFonts w:ascii="Book Antiqua" w:eastAsia="Book Antiqua" w:hAnsi="Book Antiqua" w:cs="Book Antiqua"/>
          <w:sz w:val="24"/>
          <w:szCs w:val="24"/>
        </w:rPr>
        <w:t>Respetuosamente sometido,</w:t>
      </w:r>
    </w:p>
    <w:p w14:paraId="1F4DD7F8" w14:textId="77777777" w:rsidR="00F73A8A" w:rsidRPr="00DB1DFD" w:rsidRDefault="00F73A8A"/>
    <w:p w14:paraId="086302D7" w14:textId="77777777" w:rsidR="00C73BF9" w:rsidRPr="00DB1DFD" w:rsidRDefault="00C73BF9"/>
    <w:p w14:paraId="597098FE" w14:textId="77777777" w:rsidR="00C73BF9" w:rsidRPr="00DB1DFD" w:rsidRDefault="00C73BF9"/>
    <w:p w14:paraId="6C5A85CB" w14:textId="77777777" w:rsidR="00C75102" w:rsidRPr="00DB1DFD" w:rsidRDefault="00C75102"/>
    <w:p w14:paraId="4FAA2C87" w14:textId="77777777" w:rsidR="00C73BF9" w:rsidRPr="00DB1DFD" w:rsidRDefault="00C73BF9"/>
    <w:p w14:paraId="4E7B123B" w14:textId="77777777" w:rsidR="00C73BF9" w:rsidRPr="00DB1DFD" w:rsidRDefault="004815E0">
      <w:r w:rsidRPr="00DB1DFD">
        <w:rPr>
          <w:rFonts w:ascii="Book Antiqua" w:eastAsia="Book Antiqua" w:hAnsi="Book Antiqua" w:cs="Book Antiqua"/>
          <w:b/>
          <w:bCs/>
          <w:sz w:val="24"/>
          <w:szCs w:val="24"/>
        </w:rPr>
        <w:t>PEDRO JULIO SANTIAGO GUZMÁN</w:t>
      </w:r>
    </w:p>
    <w:p w14:paraId="62773D72" w14:textId="77777777" w:rsidR="00C73BF9" w:rsidRPr="00DB1DFD" w:rsidRDefault="004815E0">
      <w:r w:rsidRPr="00DB1DFD">
        <w:rPr>
          <w:rFonts w:ascii="Book Antiqua" w:eastAsia="Book Antiqua" w:hAnsi="Book Antiqua" w:cs="Book Antiqua"/>
          <w:sz w:val="24"/>
          <w:szCs w:val="24"/>
        </w:rPr>
        <w:t>Presidente</w:t>
      </w:r>
    </w:p>
    <w:p w14:paraId="137D1A5B" w14:textId="77777777" w:rsidR="00C73BF9" w:rsidRPr="00552008" w:rsidRDefault="004815E0">
      <w:r w:rsidRPr="00DB1DFD">
        <w:rPr>
          <w:rFonts w:ascii="Book Antiqua" w:eastAsia="Book Antiqua" w:hAnsi="Book Antiqua" w:cs="Book Antiqua"/>
          <w:sz w:val="24"/>
          <w:szCs w:val="24"/>
        </w:rPr>
        <w:t>Comisión de Asuntos Internos</w:t>
      </w:r>
    </w:p>
    <w:sectPr w:rsidR="00C73BF9" w:rsidRPr="00552008">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64551" w14:textId="77777777" w:rsidR="003A6485" w:rsidRPr="00DB1DFD" w:rsidRDefault="003A6485" w:rsidP="00571553">
      <w:r w:rsidRPr="00DB1DFD">
        <w:separator/>
      </w:r>
    </w:p>
  </w:endnote>
  <w:endnote w:type="continuationSeparator" w:id="0">
    <w:p w14:paraId="72052A04" w14:textId="77777777" w:rsidR="003A6485" w:rsidRPr="00DB1DFD" w:rsidRDefault="003A6485" w:rsidP="00571553">
      <w:r w:rsidRPr="00DB1D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368415336"/>
      <w:docPartObj>
        <w:docPartGallery w:val="Page Numbers (Bottom of Page)"/>
        <w:docPartUnique/>
      </w:docPartObj>
    </w:sdtPr>
    <w:sdtEndPr/>
    <w:sdtContent>
      <w:p w14:paraId="1BA98F24" w14:textId="1A5005C8" w:rsidR="00571553" w:rsidRPr="00DB1DFD" w:rsidRDefault="00571553">
        <w:pPr>
          <w:pStyle w:val="Footer"/>
          <w:jc w:val="center"/>
          <w:rPr>
            <w:rFonts w:ascii="Book Antiqua" w:hAnsi="Book Antiqua"/>
          </w:rPr>
        </w:pPr>
        <w:r w:rsidRPr="00DB1DFD">
          <w:rPr>
            <w:rFonts w:ascii="Book Antiqua" w:hAnsi="Book Antiqua"/>
          </w:rPr>
          <w:fldChar w:fldCharType="begin"/>
        </w:r>
        <w:r w:rsidRPr="00DB1DFD">
          <w:rPr>
            <w:rFonts w:ascii="Book Antiqua" w:hAnsi="Book Antiqua"/>
          </w:rPr>
          <w:instrText xml:space="preserve"> PAGE   \* MERGEFORMAT </w:instrText>
        </w:r>
        <w:r w:rsidRPr="00DB1DFD">
          <w:rPr>
            <w:rFonts w:ascii="Book Antiqua" w:hAnsi="Book Antiqua"/>
          </w:rPr>
          <w:fldChar w:fldCharType="separate"/>
        </w:r>
        <w:r w:rsidRPr="00DB1DFD">
          <w:rPr>
            <w:rFonts w:ascii="Book Antiqua" w:hAnsi="Book Antiqua"/>
          </w:rPr>
          <w:t>2</w:t>
        </w:r>
        <w:r w:rsidRPr="00DB1DFD">
          <w:rPr>
            <w:rFonts w:ascii="Book Antiqua" w:hAnsi="Book Antiqua"/>
          </w:rPr>
          <w:fldChar w:fldCharType="end"/>
        </w:r>
      </w:p>
    </w:sdtContent>
  </w:sdt>
  <w:p w14:paraId="75A547C6" w14:textId="77777777" w:rsidR="00571553" w:rsidRPr="00DB1DFD" w:rsidRDefault="00571553">
    <w:pPr>
      <w:pStyle w:val="Footer"/>
      <w:rPr>
        <w:rFonts w:ascii="Book Antiqua" w:hAnsi="Book Antiq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81D2F" w14:textId="77777777" w:rsidR="003A6485" w:rsidRPr="00DB1DFD" w:rsidRDefault="003A6485" w:rsidP="00571553">
      <w:r w:rsidRPr="00DB1DFD">
        <w:separator/>
      </w:r>
    </w:p>
  </w:footnote>
  <w:footnote w:type="continuationSeparator" w:id="0">
    <w:p w14:paraId="61A35643" w14:textId="77777777" w:rsidR="003A6485" w:rsidRPr="00DB1DFD" w:rsidRDefault="003A6485" w:rsidP="00571553">
      <w:r w:rsidRPr="00DB1DF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B713C"/>
    <w:multiLevelType w:val="hybridMultilevel"/>
    <w:tmpl w:val="97C4E61A"/>
    <w:lvl w:ilvl="0" w:tplc="35488738">
      <w:start w:val="1"/>
      <w:numFmt w:val="bullet"/>
      <w:lvlText w:val="●"/>
      <w:lvlJc w:val="left"/>
      <w:pPr>
        <w:ind w:left="720" w:hanging="360"/>
      </w:pPr>
    </w:lvl>
    <w:lvl w:ilvl="1" w:tplc="1978572C">
      <w:start w:val="1"/>
      <w:numFmt w:val="bullet"/>
      <w:lvlText w:val="○"/>
      <w:lvlJc w:val="left"/>
      <w:pPr>
        <w:ind w:left="1440" w:hanging="360"/>
      </w:pPr>
    </w:lvl>
    <w:lvl w:ilvl="2" w:tplc="97F03CD2">
      <w:start w:val="1"/>
      <w:numFmt w:val="bullet"/>
      <w:lvlText w:val="■"/>
      <w:lvlJc w:val="left"/>
      <w:pPr>
        <w:ind w:left="2160" w:hanging="360"/>
      </w:pPr>
    </w:lvl>
    <w:lvl w:ilvl="3" w:tplc="A1AE1D80">
      <w:start w:val="1"/>
      <w:numFmt w:val="bullet"/>
      <w:lvlText w:val="●"/>
      <w:lvlJc w:val="left"/>
      <w:pPr>
        <w:ind w:left="2880" w:hanging="360"/>
      </w:pPr>
    </w:lvl>
    <w:lvl w:ilvl="4" w:tplc="007ABE20">
      <w:start w:val="1"/>
      <w:numFmt w:val="bullet"/>
      <w:lvlText w:val="○"/>
      <w:lvlJc w:val="left"/>
      <w:pPr>
        <w:ind w:left="3600" w:hanging="360"/>
      </w:pPr>
    </w:lvl>
    <w:lvl w:ilvl="5" w:tplc="7EA4C33A">
      <w:start w:val="1"/>
      <w:numFmt w:val="bullet"/>
      <w:lvlText w:val="■"/>
      <w:lvlJc w:val="left"/>
      <w:pPr>
        <w:ind w:left="4320" w:hanging="360"/>
      </w:pPr>
    </w:lvl>
    <w:lvl w:ilvl="6" w:tplc="1ED07386">
      <w:start w:val="1"/>
      <w:numFmt w:val="bullet"/>
      <w:lvlText w:val="●"/>
      <w:lvlJc w:val="left"/>
      <w:pPr>
        <w:ind w:left="5040" w:hanging="360"/>
      </w:pPr>
    </w:lvl>
    <w:lvl w:ilvl="7" w:tplc="59D263A2">
      <w:start w:val="1"/>
      <w:numFmt w:val="bullet"/>
      <w:lvlText w:val="●"/>
      <w:lvlJc w:val="left"/>
      <w:pPr>
        <w:ind w:left="5760" w:hanging="360"/>
      </w:pPr>
    </w:lvl>
    <w:lvl w:ilvl="8" w:tplc="A75A9136">
      <w:start w:val="1"/>
      <w:numFmt w:val="bullet"/>
      <w:lvlText w:val="●"/>
      <w:lvlJc w:val="left"/>
      <w:pPr>
        <w:ind w:left="6480" w:hanging="360"/>
      </w:pPr>
    </w:lvl>
  </w:abstractNum>
  <w:num w:numId="1" w16cid:durableId="10350391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3BF9"/>
    <w:rsid w:val="00056323"/>
    <w:rsid w:val="000A310C"/>
    <w:rsid w:val="000A63AD"/>
    <w:rsid w:val="000D2C30"/>
    <w:rsid w:val="001036FF"/>
    <w:rsid w:val="00206D36"/>
    <w:rsid w:val="00285725"/>
    <w:rsid w:val="0028619F"/>
    <w:rsid w:val="002A4359"/>
    <w:rsid w:val="0030574D"/>
    <w:rsid w:val="003210BB"/>
    <w:rsid w:val="00387806"/>
    <w:rsid w:val="003A6485"/>
    <w:rsid w:val="0043313F"/>
    <w:rsid w:val="00441324"/>
    <w:rsid w:val="004815E0"/>
    <w:rsid w:val="004B7DFC"/>
    <w:rsid w:val="004C5545"/>
    <w:rsid w:val="00521FAC"/>
    <w:rsid w:val="00552008"/>
    <w:rsid w:val="00561E83"/>
    <w:rsid w:val="00571553"/>
    <w:rsid w:val="005931DD"/>
    <w:rsid w:val="006046D3"/>
    <w:rsid w:val="00647AED"/>
    <w:rsid w:val="00686B26"/>
    <w:rsid w:val="006B015B"/>
    <w:rsid w:val="006D1645"/>
    <w:rsid w:val="006E233F"/>
    <w:rsid w:val="006F04CA"/>
    <w:rsid w:val="00700FD9"/>
    <w:rsid w:val="00747818"/>
    <w:rsid w:val="00770D48"/>
    <w:rsid w:val="007A7F76"/>
    <w:rsid w:val="0084137F"/>
    <w:rsid w:val="00863DEC"/>
    <w:rsid w:val="00871728"/>
    <w:rsid w:val="00876C05"/>
    <w:rsid w:val="0088498A"/>
    <w:rsid w:val="008B663D"/>
    <w:rsid w:val="0097571C"/>
    <w:rsid w:val="00A24EC5"/>
    <w:rsid w:val="00A34376"/>
    <w:rsid w:val="00A949CF"/>
    <w:rsid w:val="00B74154"/>
    <w:rsid w:val="00B85F68"/>
    <w:rsid w:val="00C007E1"/>
    <w:rsid w:val="00C73BF9"/>
    <w:rsid w:val="00C75102"/>
    <w:rsid w:val="00CC3709"/>
    <w:rsid w:val="00D51835"/>
    <w:rsid w:val="00DB1DFD"/>
    <w:rsid w:val="00DE1558"/>
    <w:rsid w:val="00E43731"/>
    <w:rsid w:val="00E77265"/>
    <w:rsid w:val="00EA6989"/>
    <w:rsid w:val="00EC61A0"/>
    <w:rsid w:val="00F356BF"/>
    <w:rsid w:val="00F73A8A"/>
    <w:rsid w:val="00F922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6B1F11"/>
  <w15:docId w15:val="{42B9D1D0-2252-4A00-BA15-7934AB5E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Title2">
    <w:name w:val="Title2"/>
    <w:basedOn w:val="Normal"/>
    <w:next w:val="Normal"/>
    <w:rsid w:val="00E77265"/>
    <w:pPr>
      <w:tabs>
        <w:tab w:val="left" w:pos="648"/>
        <w:tab w:val="right" w:pos="7776"/>
        <w:tab w:val="left" w:pos="7848"/>
      </w:tabs>
    </w:pPr>
    <w:rPr>
      <w:sz w:val="24"/>
    </w:rPr>
  </w:style>
  <w:style w:type="paragraph" w:styleId="Header">
    <w:name w:val="header"/>
    <w:basedOn w:val="Normal"/>
    <w:link w:val="HeaderChar"/>
    <w:uiPriority w:val="99"/>
    <w:unhideWhenUsed/>
    <w:rsid w:val="00571553"/>
    <w:pPr>
      <w:tabs>
        <w:tab w:val="center" w:pos="4680"/>
        <w:tab w:val="right" w:pos="9360"/>
      </w:tabs>
    </w:pPr>
  </w:style>
  <w:style w:type="character" w:customStyle="1" w:styleId="HeaderChar">
    <w:name w:val="Header Char"/>
    <w:basedOn w:val="DefaultParagraphFont"/>
    <w:link w:val="Header"/>
    <w:uiPriority w:val="99"/>
    <w:rsid w:val="00571553"/>
  </w:style>
  <w:style w:type="paragraph" w:styleId="Footer">
    <w:name w:val="footer"/>
    <w:basedOn w:val="Normal"/>
    <w:link w:val="FooterChar"/>
    <w:uiPriority w:val="99"/>
    <w:unhideWhenUsed/>
    <w:rsid w:val="00571553"/>
    <w:pPr>
      <w:tabs>
        <w:tab w:val="center" w:pos="4680"/>
        <w:tab w:val="right" w:pos="9360"/>
      </w:tabs>
    </w:pPr>
  </w:style>
  <w:style w:type="character" w:customStyle="1" w:styleId="FooterChar">
    <w:name w:val="Footer Char"/>
    <w:basedOn w:val="DefaultParagraphFont"/>
    <w:link w:val="Footer"/>
    <w:uiPriority w:val="99"/>
    <w:rsid w:val="00571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765</Words>
  <Characters>4364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3</cp:revision>
  <dcterms:created xsi:type="dcterms:W3CDTF">2026-07-09T16:04:00Z</dcterms:created>
  <dcterms:modified xsi:type="dcterms:W3CDTF">2026-07-13T18:45:00Z</dcterms:modified>
</cp:coreProperties>
</file>