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867AC" w:rsidRPr="00700566" w:rsidRDefault="0085373F">
      <w:pPr>
        <w:tabs>
          <w:tab w:val="center" w:pos="4680"/>
        </w:tabs>
        <w:rPr>
          <w:rFonts w:ascii="Book Antiqua" w:eastAsia="Book Antiqua" w:hAnsi="Book Antiqua" w:cs="Book Antiqua"/>
          <w:sz w:val="28"/>
          <w:szCs w:val="28"/>
        </w:rPr>
      </w:pPr>
      <w:r>
        <w:rPr>
          <w:rFonts w:ascii="Book Antiqua" w:eastAsia="Book Antiqua" w:hAnsi="Book Antiqua" w:cs="Book Antiqua"/>
          <w:sz w:val="28"/>
          <w:szCs w:val="28"/>
        </w:rPr>
        <w:tab/>
      </w:r>
      <w:r w:rsidRPr="00700566">
        <w:rPr>
          <w:rFonts w:ascii="Book Antiqua" w:eastAsia="Book Antiqua" w:hAnsi="Book Antiqua" w:cs="Book Antiqua"/>
          <w:sz w:val="28"/>
          <w:szCs w:val="28"/>
        </w:rPr>
        <w:t>GOBIERNO DE PUERTO RICO</w:t>
      </w:r>
    </w:p>
    <w:p w14:paraId="00000002" w14:textId="77777777" w:rsidR="003867AC" w:rsidRPr="00700566" w:rsidRDefault="003867AC">
      <w:pPr>
        <w:tabs>
          <w:tab w:val="center" w:pos="4680"/>
        </w:tabs>
        <w:rPr>
          <w:rFonts w:ascii="Book Antiqua" w:eastAsia="Book Antiqua" w:hAnsi="Book Antiqua" w:cs="Book Antiqua"/>
          <w:sz w:val="28"/>
          <w:szCs w:val="28"/>
        </w:rPr>
      </w:pPr>
    </w:p>
    <w:p w14:paraId="00000003" w14:textId="19E876B3" w:rsidR="003867AC" w:rsidRPr="00700566" w:rsidRDefault="0085373F">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7E6F6E">
        <w:rPr>
          <w:rFonts w:ascii="Book Antiqua" w:eastAsia="Book Antiqua" w:hAnsi="Book Antiqua" w:cs="Book Antiqua"/>
        </w:rPr>
        <w:t>3</w:t>
      </w:r>
      <w:r w:rsidR="007E6F6E">
        <w:rPr>
          <w:rFonts w:ascii="Book Antiqua" w:eastAsia="Book Antiqua" w:hAnsi="Book Antiqua" w:cs="Book Antiqua"/>
          <w:vertAlign w:val="superscript"/>
        </w:rPr>
        <w:t>r</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0000004" w14:textId="77777777" w:rsidR="003867AC" w:rsidRPr="00700566" w:rsidRDefault="0085373F">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00000005" w14:textId="77777777" w:rsidR="003867AC" w:rsidRPr="00700566" w:rsidRDefault="003867AC">
      <w:pPr>
        <w:spacing w:line="360" w:lineRule="auto"/>
        <w:jc w:val="center"/>
        <w:rPr>
          <w:rFonts w:ascii="Book Antiqua" w:eastAsia="Book Antiqua" w:hAnsi="Book Antiqua" w:cs="Book Antiqua"/>
          <w:b/>
          <w:sz w:val="36"/>
          <w:szCs w:val="36"/>
        </w:rPr>
      </w:pPr>
    </w:p>
    <w:p w14:paraId="00000006" w14:textId="77777777" w:rsidR="003867AC" w:rsidRPr="00700566" w:rsidRDefault="0085373F">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00000007" w14:textId="516DBE6F" w:rsidR="003867AC" w:rsidRPr="00700566" w:rsidRDefault="002F0CEB">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R</w:t>
      </w:r>
      <w:r w:rsidR="00747FD2">
        <w:rPr>
          <w:rFonts w:ascii="Book Antiqua" w:eastAsia="Book Antiqua" w:hAnsi="Book Antiqua" w:cs="Book Antiqua"/>
          <w:b/>
          <w:sz w:val="52"/>
          <w:szCs w:val="52"/>
        </w:rPr>
        <w:t xml:space="preserve">. </w:t>
      </w:r>
      <w:r>
        <w:rPr>
          <w:rFonts w:ascii="Book Antiqua" w:eastAsia="Book Antiqua" w:hAnsi="Book Antiqua" w:cs="Book Antiqua"/>
          <w:b/>
          <w:sz w:val="52"/>
          <w:szCs w:val="52"/>
        </w:rPr>
        <w:t xml:space="preserve">C. </w:t>
      </w:r>
      <w:r w:rsidR="0085373F" w:rsidRPr="00700566">
        <w:rPr>
          <w:rFonts w:ascii="Book Antiqua" w:eastAsia="Book Antiqua" w:hAnsi="Book Antiqua" w:cs="Book Antiqua"/>
          <w:b/>
          <w:sz w:val="52"/>
          <w:szCs w:val="52"/>
        </w:rPr>
        <w:t>de la</w:t>
      </w:r>
      <w:r w:rsidR="004A35A7">
        <w:rPr>
          <w:rFonts w:ascii="Book Antiqua" w:eastAsia="Book Antiqua" w:hAnsi="Book Antiqua" w:cs="Book Antiqua"/>
          <w:b/>
          <w:sz w:val="52"/>
          <w:szCs w:val="52"/>
        </w:rPr>
        <w:t xml:space="preserve"> C</w:t>
      </w:r>
      <w:r w:rsidR="0085373F" w:rsidRPr="00700566">
        <w:rPr>
          <w:rFonts w:ascii="Book Antiqua" w:eastAsia="Book Antiqua" w:hAnsi="Book Antiqua" w:cs="Book Antiqua"/>
          <w:b/>
          <w:sz w:val="52"/>
          <w:szCs w:val="52"/>
        </w:rPr>
        <w:t xml:space="preserve">. </w:t>
      </w:r>
      <w:r>
        <w:rPr>
          <w:rFonts w:ascii="Book Antiqua" w:eastAsia="Book Antiqua" w:hAnsi="Book Antiqua" w:cs="Book Antiqua"/>
          <w:b/>
          <w:sz w:val="52"/>
          <w:szCs w:val="52"/>
        </w:rPr>
        <w:t>209</w:t>
      </w:r>
    </w:p>
    <w:p w14:paraId="00000008" w14:textId="0CCE079F" w:rsidR="003867AC" w:rsidRPr="00700566" w:rsidRDefault="0085373F">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 xml:space="preserve">INFORME </w:t>
      </w:r>
      <w:r w:rsidR="003649BC">
        <w:rPr>
          <w:rFonts w:ascii="Book Antiqua" w:eastAsia="Book Antiqua" w:hAnsi="Book Antiqua" w:cs="Book Antiqua"/>
          <w:b/>
          <w:sz w:val="28"/>
          <w:szCs w:val="28"/>
        </w:rPr>
        <w:t>NEGATIVO</w:t>
      </w:r>
    </w:p>
    <w:p w14:paraId="00000009" w14:textId="41484CA1" w:rsidR="003867AC" w:rsidRPr="00700566" w:rsidRDefault="00B21E78">
      <w:pPr>
        <w:spacing w:line="360" w:lineRule="auto"/>
        <w:jc w:val="center"/>
        <w:rPr>
          <w:rFonts w:ascii="Book Antiqua" w:eastAsia="Book Antiqua" w:hAnsi="Book Antiqua" w:cs="Book Antiqua"/>
          <w:b/>
        </w:rPr>
      </w:pPr>
      <w:r>
        <w:rPr>
          <w:rFonts w:ascii="Book Antiqua" w:eastAsia="Book Antiqua" w:hAnsi="Book Antiqua" w:cs="Book Antiqua"/>
        </w:rPr>
        <w:t>15</w:t>
      </w:r>
      <w:r w:rsidR="0085373F" w:rsidRPr="00700566">
        <w:rPr>
          <w:rFonts w:ascii="Book Antiqua" w:eastAsia="Book Antiqua" w:hAnsi="Book Antiqua" w:cs="Book Antiqua"/>
        </w:rPr>
        <w:t xml:space="preserve"> de </w:t>
      </w:r>
      <w:r w:rsidR="007E6F6E">
        <w:rPr>
          <w:rFonts w:ascii="Book Antiqua" w:eastAsia="Book Antiqua" w:hAnsi="Book Antiqua" w:cs="Book Antiqua"/>
        </w:rPr>
        <w:t>junio</w:t>
      </w:r>
      <w:r w:rsidR="0085373F" w:rsidRPr="00700566">
        <w:rPr>
          <w:rFonts w:ascii="Book Antiqua" w:eastAsia="Book Antiqua" w:hAnsi="Book Antiqua" w:cs="Book Antiqua"/>
        </w:rPr>
        <w:t xml:space="preserve"> de 2025</w:t>
      </w:r>
    </w:p>
    <w:p w14:paraId="0000000A" w14:textId="77777777" w:rsidR="003867AC" w:rsidRPr="00700566" w:rsidRDefault="003867AC">
      <w:pPr>
        <w:jc w:val="both"/>
        <w:rPr>
          <w:rFonts w:ascii="Book Antiqua" w:eastAsia="Book Antiqua" w:hAnsi="Book Antiqua" w:cs="Book Antiqua"/>
          <w:b/>
        </w:rPr>
      </w:pPr>
    </w:p>
    <w:p w14:paraId="0000000B" w14:textId="77777777" w:rsidR="003867AC" w:rsidRPr="00700566" w:rsidRDefault="0085373F">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0000000C" w14:textId="77777777" w:rsidR="003867AC" w:rsidRPr="00700566" w:rsidRDefault="003867AC">
      <w:pPr>
        <w:ind w:firstLine="360"/>
        <w:jc w:val="both"/>
        <w:rPr>
          <w:rFonts w:ascii="Book Antiqua" w:eastAsia="Book Antiqua" w:hAnsi="Book Antiqua" w:cs="Book Antiqua"/>
        </w:rPr>
      </w:pPr>
    </w:p>
    <w:p w14:paraId="0000000D" w14:textId="31225938" w:rsidR="003867AC" w:rsidRPr="00700566" w:rsidRDefault="0085373F">
      <w:pPr>
        <w:ind w:firstLine="720"/>
        <w:jc w:val="both"/>
        <w:rPr>
          <w:rFonts w:ascii="Book Antiqua" w:eastAsia="Book Antiqua" w:hAnsi="Book Antiqua" w:cs="Book Antiqua"/>
        </w:rPr>
      </w:pPr>
      <w:r w:rsidRPr="00700566">
        <w:rPr>
          <w:rFonts w:ascii="Book Antiqua" w:eastAsia="Book Antiqua" w:hAnsi="Book Antiqua" w:cs="Book Antiqua"/>
        </w:rPr>
        <w:t xml:space="preserve">La Comisión de Transportación e Infraestructura de la Cámara de Representantes del Gobierno de Puerto Rico, previo estudio y consideración del </w:t>
      </w:r>
      <w:r w:rsidR="002F0CEB">
        <w:rPr>
          <w:rFonts w:ascii="Book Antiqua" w:eastAsia="Book Antiqua" w:hAnsi="Book Antiqua" w:cs="Book Antiqua"/>
        </w:rPr>
        <w:t>R</w:t>
      </w:r>
      <w:r w:rsidR="00747FD2">
        <w:rPr>
          <w:rFonts w:ascii="Book Antiqua" w:eastAsia="Book Antiqua" w:hAnsi="Book Antiqua" w:cs="Book Antiqua"/>
        </w:rPr>
        <w:t>.</w:t>
      </w:r>
      <w:r w:rsidRPr="00700566">
        <w:rPr>
          <w:rFonts w:ascii="Book Antiqua" w:eastAsia="Book Antiqua" w:hAnsi="Book Antiqua" w:cs="Book Antiqua"/>
        </w:rPr>
        <w:t xml:space="preserve"> </w:t>
      </w:r>
      <w:r w:rsidR="002F0CEB">
        <w:rPr>
          <w:rFonts w:ascii="Book Antiqua" w:eastAsia="Book Antiqua" w:hAnsi="Book Antiqua" w:cs="Book Antiqua"/>
        </w:rPr>
        <w:t xml:space="preserve">C. </w:t>
      </w:r>
      <w:r w:rsidRPr="00700566">
        <w:rPr>
          <w:rFonts w:ascii="Book Antiqua" w:eastAsia="Book Antiqua" w:hAnsi="Book Antiqua" w:cs="Book Antiqua"/>
        </w:rPr>
        <w:t xml:space="preserve">de la </w:t>
      </w:r>
      <w:r w:rsidR="004A35A7">
        <w:rPr>
          <w:rFonts w:ascii="Book Antiqua" w:eastAsia="Book Antiqua" w:hAnsi="Book Antiqua" w:cs="Book Antiqua"/>
        </w:rPr>
        <w:t>C</w:t>
      </w:r>
      <w:r w:rsidRPr="00700566">
        <w:rPr>
          <w:rFonts w:ascii="Book Antiqua" w:eastAsia="Book Antiqua" w:hAnsi="Book Antiqua" w:cs="Book Antiqua"/>
        </w:rPr>
        <w:t>.</w:t>
      </w:r>
      <w:r w:rsidR="00C924E3">
        <w:rPr>
          <w:rFonts w:ascii="Book Antiqua" w:eastAsia="Book Antiqua" w:hAnsi="Book Antiqua" w:cs="Book Antiqua"/>
        </w:rPr>
        <w:t xml:space="preserve"> </w:t>
      </w:r>
      <w:r w:rsidR="002F0CEB">
        <w:rPr>
          <w:rFonts w:ascii="Book Antiqua" w:eastAsia="Book Antiqua" w:hAnsi="Book Antiqua" w:cs="Book Antiqua"/>
        </w:rPr>
        <w:t>209</w:t>
      </w:r>
      <w:r w:rsidRPr="00700566">
        <w:rPr>
          <w:rFonts w:ascii="Book Antiqua" w:eastAsia="Book Antiqua" w:hAnsi="Book Antiqua" w:cs="Book Antiqua"/>
        </w:rPr>
        <w:t>,</w:t>
      </w:r>
      <w:r w:rsidR="00747FD2">
        <w:rPr>
          <w:rFonts w:ascii="Book Antiqua" w:eastAsia="Book Antiqua" w:hAnsi="Book Antiqua" w:cs="Book Antiqua"/>
        </w:rPr>
        <w:t xml:space="preserve"> </w:t>
      </w:r>
      <w:r w:rsidRPr="00700566">
        <w:rPr>
          <w:rFonts w:ascii="Book Antiqua" w:eastAsia="Book Antiqua" w:hAnsi="Book Antiqua" w:cs="Book Antiqua"/>
        </w:rPr>
        <w:t xml:space="preserve">tiene a bien </w:t>
      </w:r>
      <w:r w:rsidR="003649BC">
        <w:rPr>
          <w:rFonts w:ascii="Book Antiqua" w:eastAsia="Book Antiqua" w:hAnsi="Book Antiqua" w:cs="Book Antiqua"/>
        </w:rPr>
        <w:t>someter</w:t>
      </w:r>
      <w:r w:rsidRPr="00700566">
        <w:rPr>
          <w:rFonts w:ascii="Book Antiqua" w:eastAsia="Book Antiqua" w:hAnsi="Book Antiqua" w:cs="Book Antiqua"/>
        </w:rPr>
        <w:t xml:space="preserve"> a este Alto Cuerpo </w:t>
      </w:r>
      <w:r w:rsidR="003649BC">
        <w:rPr>
          <w:rFonts w:ascii="Book Antiqua" w:eastAsia="Book Antiqua" w:hAnsi="Book Antiqua" w:cs="Book Antiqua"/>
        </w:rPr>
        <w:t xml:space="preserve">su </w:t>
      </w:r>
      <w:r w:rsidR="00C924E3">
        <w:rPr>
          <w:rFonts w:ascii="Book Antiqua" w:eastAsia="Book Antiqua" w:hAnsi="Book Antiqua" w:cs="Book Antiqua"/>
        </w:rPr>
        <w:t>I</w:t>
      </w:r>
      <w:r w:rsidR="003649BC">
        <w:rPr>
          <w:rFonts w:ascii="Book Antiqua" w:eastAsia="Book Antiqua" w:hAnsi="Book Antiqua" w:cs="Book Antiqua"/>
        </w:rPr>
        <w:t xml:space="preserve">nforme </w:t>
      </w:r>
      <w:r w:rsidR="00C924E3">
        <w:rPr>
          <w:rFonts w:ascii="Book Antiqua" w:eastAsia="Book Antiqua" w:hAnsi="Book Antiqua" w:cs="Book Antiqua"/>
        </w:rPr>
        <w:t>N</w:t>
      </w:r>
      <w:r w:rsidR="003649BC">
        <w:rPr>
          <w:rFonts w:ascii="Book Antiqua" w:eastAsia="Book Antiqua" w:hAnsi="Book Antiqua" w:cs="Book Antiqua"/>
        </w:rPr>
        <w:t>egativo de la medida</w:t>
      </w:r>
      <w:r w:rsidRPr="00700566">
        <w:rPr>
          <w:rFonts w:ascii="Book Antiqua" w:eastAsia="Book Antiqua" w:hAnsi="Book Antiqua" w:cs="Book Antiqua"/>
        </w:rPr>
        <w:t xml:space="preserve">. </w:t>
      </w:r>
    </w:p>
    <w:p w14:paraId="0000000E" w14:textId="77777777" w:rsidR="003867AC" w:rsidRPr="00700566" w:rsidRDefault="003867AC">
      <w:pPr>
        <w:rPr>
          <w:rFonts w:ascii="Book Antiqua" w:eastAsia="Book Antiqua" w:hAnsi="Book Antiqua" w:cs="Book Antiqua"/>
          <w:b/>
          <w:sz w:val="32"/>
          <w:szCs w:val="32"/>
        </w:rPr>
      </w:pPr>
    </w:p>
    <w:p w14:paraId="0000000F" w14:textId="77777777" w:rsidR="003867AC" w:rsidRPr="00700566" w:rsidRDefault="0085373F">
      <w:pPr>
        <w:jc w:val="center"/>
        <w:rPr>
          <w:rFonts w:ascii="Book Antiqua" w:eastAsia="Book Antiqua" w:hAnsi="Book Antiqua" w:cs="Book Antiqua"/>
          <w:b/>
        </w:rPr>
      </w:pPr>
      <w:r w:rsidRPr="00700566">
        <w:rPr>
          <w:rFonts w:ascii="Book Antiqua" w:eastAsia="Book Antiqua" w:hAnsi="Book Antiqua" w:cs="Book Antiqua"/>
          <w:b/>
        </w:rPr>
        <w:t>ALCANCE DE LA MEDIDA</w:t>
      </w:r>
    </w:p>
    <w:p w14:paraId="00000010" w14:textId="77777777" w:rsidR="003867AC" w:rsidRPr="00700566" w:rsidRDefault="003867AC">
      <w:pPr>
        <w:jc w:val="both"/>
        <w:rPr>
          <w:rFonts w:ascii="Book Antiqua" w:eastAsia="Book Antiqua" w:hAnsi="Book Antiqua" w:cs="Book Antiqua"/>
        </w:rPr>
      </w:pPr>
    </w:p>
    <w:p w14:paraId="36F856CE" w14:textId="16167C17" w:rsidR="008F3D78" w:rsidRPr="00D627B8" w:rsidRDefault="008F3D78" w:rsidP="0024361A">
      <w:pPr>
        <w:ind w:firstLine="720"/>
        <w:jc w:val="both"/>
        <w:rPr>
          <w:rFonts w:ascii="Book Antiqua" w:eastAsia="Book Antiqua" w:hAnsi="Book Antiqua" w:cs="Book Antiqua"/>
          <w:bCs/>
          <w:lang w:val="es-PR"/>
        </w:rPr>
      </w:pPr>
      <w:bookmarkStart w:id="0" w:name="_heading=h.gjdgxs" w:colFirst="0" w:colLast="0"/>
      <w:bookmarkEnd w:id="0"/>
      <w:r w:rsidRPr="00D627B8">
        <w:rPr>
          <w:rFonts w:ascii="Book Antiqua" w:eastAsia="Book Antiqua" w:hAnsi="Book Antiqua" w:cs="Book Antiqua"/>
          <w:bCs/>
          <w:lang w:val="es-PR"/>
        </w:rPr>
        <w:t xml:space="preserve">La Resolución Conjunta de la Cámara 209 propone ordenar al Departamento de Transportación y Obras Públicas de Puerto Rico (DTOP) investigar la viabilidad de la construcción de un muro </w:t>
      </w:r>
      <w:proofErr w:type="spellStart"/>
      <w:r w:rsidRPr="00D627B8">
        <w:rPr>
          <w:rFonts w:ascii="Book Antiqua" w:eastAsia="Book Antiqua" w:hAnsi="Book Antiqua" w:cs="Book Antiqua"/>
          <w:bCs/>
          <w:lang w:val="es-PR"/>
        </w:rPr>
        <w:t>anti-ruido</w:t>
      </w:r>
      <w:proofErr w:type="spellEnd"/>
      <w:r w:rsidRPr="00D627B8">
        <w:rPr>
          <w:rFonts w:ascii="Book Antiqua" w:eastAsia="Book Antiqua" w:hAnsi="Book Antiqua" w:cs="Book Antiqua"/>
          <w:bCs/>
          <w:lang w:val="es-PR"/>
        </w:rPr>
        <w:t xml:space="preserve"> en la colindancia entre el Condominio Portales de Alhelí y la carretera PR-177. Además, ordena a dicha agencia rendir informes parciales y un informe final sobre sus hallazgos, conclusiones y recomendaciones.</w:t>
      </w:r>
    </w:p>
    <w:p w14:paraId="64F5C30B" w14:textId="77777777" w:rsidR="00D627B8" w:rsidRPr="00D627B8" w:rsidRDefault="00D627B8" w:rsidP="0024361A">
      <w:pPr>
        <w:jc w:val="both"/>
        <w:rPr>
          <w:rFonts w:ascii="Book Antiqua" w:eastAsia="Book Antiqua" w:hAnsi="Book Antiqua" w:cs="Book Antiqua"/>
          <w:bCs/>
          <w:lang w:val="es-PR"/>
        </w:rPr>
      </w:pPr>
    </w:p>
    <w:p w14:paraId="1DA21A37" w14:textId="0297968F" w:rsidR="00744008" w:rsidRPr="00F67151" w:rsidRDefault="008F3D78" w:rsidP="0024361A">
      <w:pPr>
        <w:ind w:firstLine="720"/>
        <w:jc w:val="both"/>
        <w:rPr>
          <w:rFonts w:ascii="Book Antiqua" w:eastAsia="Book Antiqua" w:hAnsi="Book Antiqua" w:cs="Book Antiqua"/>
          <w:bCs/>
          <w:lang w:val="es-PR"/>
        </w:rPr>
      </w:pPr>
      <w:r w:rsidRPr="00D627B8">
        <w:rPr>
          <w:rFonts w:ascii="Book Antiqua" w:eastAsia="Book Antiqua" w:hAnsi="Book Antiqua" w:cs="Book Antiqua"/>
          <w:bCs/>
          <w:lang w:val="es-PR"/>
        </w:rPr>
        <w:t>Según la Exposición de Motivos, los residentes del referido complejo residencial alegan que la verja existente no provee privacidad ni seguridad adecuada y que tampoco atenúa efectivamente el ruido generado por el tránsito vehicular que circula por la PR-177.</w:t>
      </w:r>
    </w:p>
    <w:p w14:paraId="68C6C555" w14:textId="77777777" w:rsidR="00744008" w:rsidRDefault="00744008" w:rsidP="00744008">
      <w:pPr>
        <w:jc w:val="center"/>
        <w:rPr>
          <w:rFonts w:ascii="Book Antiqua" w:eastAsia="Book Antiqua" w:hAnsi="Book Antiqua" w:cs="Book Antiqua"/>
          <w:b/>
          <w:lang w:val="es-419"/>
        </w:rPr>
      </w:pPr>
    </w:p>
    <w:p w14:paraId="7BB69E02" w14:textId="77777777" w:rsidR="00F67151" w:rsidRPr="00744008" w:rsidRDefault="00F67151" w:rsidP="00744008">
      <w:pPr>
        <w:jc w:val="center"/>
        <w:rPr>
          <w:rFonts w:ascii="Book Antiqua" w:eastAsia="Book Antiqua" w:hAnsi="Book Antiqua" w:cs="Book Antiqua"/>
          <w:b/>
          <w:lang w:val="es-419"/>
        </w:rPr>
      </w:pPr>
    </w:p>
    <w:p w14:paraId="2E4823CB" w14:textId="6ED47CDB" w:rsidR="00744008" w:rsidRPr="00744008" w:rsidRDefault="0085373F" w:rsidP="00744008">
      <w:pPr>
        <w:jc w:val="center"/>
        <w:rPr>
          <w:rFonts w:ascii="Book Antiqua" w:eastAsia="Book Antiqua" w:hAnsi="Book Antiqua" w:cs="Book Antiqua"/>
          <w:b/>
        </w:rPr>
      </w:pPr>
      <w:r w:rsidRPr="00744008">
        <w:rPr>
          <w:rFonts w:ascii="Book Antiqua" w:eastAsia="Book Antiqua" w:hAnsi="Book Antiqua" w:cs="Book Antiqua"/>
          <w:b/>
        </w:rPr>
        <w:t>ANÁLISIS DE LA MEDIDA</w:t>
      </w:r>
    </w:p>
    <w:p w14:paraId="3E124807" w14:textId="77777777" w:rsidR="001D424E" w:rsidRPr="00744008" w:rsidRDefault="001D424E" w:rsidP="002E62AC">
      <w:pPr>
        <w:jc w:val="both"/>
        <w:rPr>
          <w:rFonts w:ascii="Book Antiqua" w:eastAsia="Helvetica Neue" w:hAnsi="Book Antiqua" w:cs="Helvetica Neue"/>
          <w:b/>
          <w:bCs/>
          <w:lang w:val="es-419"/>
        </w:rPr>
      </w:pPr>
    </w:p>
    <w:p w14:paraId="40EEBC89" w14:textId="77777777" w:rsidR="00F968DA" w:rsidRPr="00F968DA" w:rsidRDefault="00F968DA" w:rsidP="00F968DA">
      <w:pPr>
        <w:ind w:firstLine="720"/>
        <w:jc w:val="both"/>
        <w:rPr>
          <w:rFonts w:ascii="Book Antiqua" w:eastAsia="Helvetica Neue" w:hAnsi="Book Antiqua" w:cs="Helvetica Neue"/>
          <w:lang w:val="es-PR"/>
        </w:rPr>
      </w:pPr>
      <w:r w:rsidRPr="00F968DA">
        <w:rPr>
          <w:rFonts w:ascii="Book Antiqua" w:eastAsia="Helvetica Neue" w:hAnsi="Book Antiqua" w:cs="Helvetica Neue"/>
          <w:lang w:val="es-PR"/>
        </w:rPr>
        <w:t>Como parte del proceso de evaluación de esta medida, la Comisión solicitó comentarios al Departamento de Transportación y Obras Públicas (DTOP).</w:t>
      </w:r>
    </w:p>
    <w:p w14:paraId="04F36D7B" w14:textId="77777777" w:rsidR="00F968DA" w:rsidRDefault="00F968DA" w:rsidP="00F67151">
      <w:pPr>
        <w:rPr>
          <w:rFonts w:ascii="Book Antiqua" w:eastAsia="Helvetica Neue" w:hAnsi="Book Antiqua" w:cs="Helvetica Neue"/>
          <w:b/>
          <w:bCs/>
          <w:u w:val="single"/>
          <w:lang w:val="es-PR"/>
        </w:rPr>
      </w:pPr>
    </w:p>
    <w:p w14:paraId="622597FC" w14:textId="77777777" w:rsidR="00F67151" w:rsidRDefault="00F67151" w:rsidP="00E61AE4">
      <w:pPr>
        <w:jc w:val="center"/>
        <w:rPr>
          <w:rFonts w:ascii="Book Antiqua" w:eastAsia="Helvetica Neue" w:hAnsi="Book Antiqua" w:cs="Helvetica Neue"/>
          <w:b/>
          <w:bCs/>
          <w:u w:val="single"/>
          <w:lang w:val="es-PR"/>
        </w:rPr>
      </w:pPr>
    </w:p>
    <w:p w14:paraId="51F837BB" w14:textId="77777777" w:rsidR="0071402A" w:rsidRDefault="0071402A" w:rsidP="00E61AE4">
      <w:pPr>
        <w:jc w:val="center"/>
        <w:rPr>
          <w:rFonts w:ascii="Book Antiqua" w:eastAsia="Helvetica Neue" w:hAnsi="Book Antiqua" w:cs="Helvetica Neue"/>
          <w:b/>
          <w:bCs/>
          <w:u w:val="single"/>
          <w:lang w:val="es-PR"/>
        </w:rPr>
      </w:pPr>
    </w:p>
    <w:p w14:paraId="1CEBB73A" w14:textId="14210637" w:rsidR="00E61AE4" w:rsidRPr="00E61AE4" w:rsidRDefault="00E61AE4" w:rsidP="00E61AE4">
      <w:pPr>
        <w:jc w:val="center"/>
        <w:rPr>
          <w:rFonts w:ascii="Book Antiqua" w:eastAsia="Helvetica Neue" w:hAnsi="Book Antiqua" w:cs="Helvetica Neue"/>
          <w:b/>
          <w:bCs/>
          <w:u w:val="single"/>
          <w:lang w:val="es-PR"/>
        </w:rPr>
      </w:pPr>
      <w:r w:rsidRPr="00E61AE4">
        <w:rPr>
          <w:rFonts w:ascii="Book Antiqua" w:eastAsia="Helvetica Neue" w:hAnsi="Book Antiqua" w:cs="Helvetica Neue"/>
          <w:b/>
          <w:bCs/>
          <w:u w:val="single"/>
          <w:lang w:val="es-PR"/>
        </w:rPr>
        <w:lastRenderedPageBreak/>
        <w:t>Departamento de Transportación y Obras Públicas</w:t>
      </w:r>
      <w:r>
        <w:rPr>
          <w:rFonts w:ascii="Book Antiqua" w:eastAsia="Helvetica Neue" w:hAnsi="Book Antiqua" w:cs="Helvetica Neue"/>
          <w:b/>
          <w:bCs/>
          <w:u w:val="single"/>
          <w:lang w:val="es-PR"/>
        </w:rPr>
        <w:t xml:space="preserve"> </w:t>
      </w:r>
      <w:r w:rsidR="0034725D">
        <w:rPr>
          <w:rFonts w:ascii="Book Antiqua" w:eastAsia="Helvetica Neue" w:hAnsi="Book Antiqua" w:cs="Helvetica Neue"/>
          <w:b/>
          <w:bCs/>
          <w:u w:val="single"/>
          <w:lang w:val="es-PR"/>
        </w:rPr>
        <w:t>(</w:t>
      </w:r>
      <w:r>
        <w:rPr>
          <w:rFonts w:ascii="Book Antiqua" w:eastAsia="Helvetica Neue" w:hAnsi="Book Antiqua" w:cs="Helvetica Neue"/>
          <w:b/>
          <w:bCs/>
          <w:u w:val="single"/>
          <w:lang w:val="es-PR"/>
        </w:rPr>
        <w:t>DTOP</w:t>
      </w:r>
      <w:r w:rsidR="0034725D">
        <w:rPr>
          <w:rFonts w:ascii="Book Antiqua" w:eastAsia="Helvetica Neue" w:hAnsi="Book Antiqua" w:cs="Helvetica Neue"/>
          <w:b/>
          <w:bCs/>
          <w:u w:val="single"/>
          <w:lang w:val="es-PR"/>
        </w:rPr>
        <w:t>)</w:t>
      </w:r>
    </w:p>
    <w:p w14:paraId="43467473" w14:textId="77777777" w:rsidR="00E61AE4" w:rsidRDefault="00E61AE4" w:rsidP="00E61AE4">
      <w:pPr>
        <w:ind w:firstLine="720"/>
        <w:jc w:val="both"/>
        <w:rPr>
          <w:rFonts w:ascii="Book Antiqua" w:eastAsia="Helvetica Neue" w:hAnsi="Book Antiqua" w:cs="Helvetica Neue"/>
          <w:lang w:val="es-PR"/>
        </w:rPr>
      </w:pPr>
    </w:p>
    <w:p w14:paraId="67595C93" w14:textId="4F712933" w:rsidR="00E61AE4" w:rsidRDefault="00E61AE4" w:rsidP="00E61AE4">
      <w:pPr>
        <w:ind w:firstLine="720"/>
        <w:jc w:val="both"/>
        <w:rPr>
          <w:rFonts w:ascii="Book Antiqua" w:eastAsia="Helvetica Neue" w:hAnsi="Book Antiqua" w:cs="Helvetica Neue"/>
          <w:lang w:val="es-PR"/>
        </w:rPr>
      </w:pPr>
      <w:r w:rsidRPr="00E61AE4">
        <w:rPr>
          <w:rFonts w:ascii="Book Antiqua" w:eastAsia="Helvetica Neue" w:hAnsi="Book Antiqua" w:cs="Helvetica Neue"/>
          <w:lang w:val="es-PR"/>
        </w:rPr>
        <w:t>La agencia señaló que no considera medidas de mitigación de ruido cuando el impacto surge como consecuencia de desarrollos privados construidos adyacentes a proyectos de transportación existentes o planificados. Indicó además que, cuando las agencias reguladoras han requerido estudios de ruido o medidas de mitigación durante el proceso de permisos, corresponde al desarrollador privado implementar dichas medidas y no al Gobierno de Puerto Rico.</w:t>
      </w:r>
    </w:p>
    <w:p w14:paraId="0480491E" w14:textId="77777777" w:rsidR="00F968DA" w:rsidRPr="00E61AE4" w:rsidRDefault="00F968DA" w:rsidP="00E61AE4">
      <w:pPr>
        <w:ind w:firstLine="720"/>
        <w:jc w:val="both"/>
        <w:rPr>
          <w:rFonts w:ascii="Book Antiqua" w:eastAsia="Helvetica Neue" w:hAnsi="Book Antiqua" w:cs="Helvetica Neue"/>
          <w:lang w:val="es-PR"/>
        </w:rPr>
      </w:pPr>
    </w:p>
    <w:p w14:paraId="6A4166B7" w14:textId="77777777" w:rsidR="00E61AE4" w:rsidRDefault="00E61AE4" w:rsidP="00E61AE4">
      <w:pPr>
        <w:ind w:firstLine="720"/>
        <w:jc w:val="both"/>
        <w:rPr>
          <w:rFonts w:ascii="Book Antiqua" w:eastAsia="Helvetica Neue" w:hAnsi="Book Antiqua" w:cs="Helvetica Neue"/>
          <w:lang w:val="es-PR"/>
        </w:rPr>
      </w:pPr>
      <w:r w:rsidRPr="00E61AE4">
        <w:rPr>
          <w:rFonts w:ascii="Book Antiqua" w:eastAsia="Helvetica Neue" w:hAnsi="Book Antiqua" w:cs="Helvetica Neue"/>
          <w:lang w:val="es-PR"/>
        </w:rPr>
        <w:t>El DTOP sostuvo que las barreras de atenuación de ruido no se construyen con el propósito de proveer privacidad o seguridad, y que dichos asuntos corresponden a las juntas de titulares y administraciones de los complejos residenciales.</w:t>
      </w:r>
    </w:p>
    <w:p w14:paraId="356FD803" w14:textId="77777777" w:rsidR="00F968DA" w:rsidRPr="00E61AE4" w:rsidRDefault="00F968DA" w:rsidP="00E61AE4">
      <w:pPr>
        <w:ind w:firstLine="720"/>
        <w:jc w:val="both"/>
        <w:rPr>
          <w:rFonts w:ascii="Book Antiqua" w:eastAsia="Helvetica Neue" w:hAnsi="Book Antiqua" w:cs="Helvetica Neue"/>
          <w:lang w:val="es-PR"/>
        </w:rPr>
      </w:pPr>
    </w:p>
    <w:p w14:paraId="6A0E6939" w14:textId="77777777" w:rsidR="00E61AE4" w:rsidRDefault="00E61AE4" w:rsidP="00E61AE4">
      <w:pPr>
        <w:ind w:firstLine="720"/>
        <w:jc w:val="both"/>
        <w:rPr>
          <w:rFonts w:ascii="Book Antiqua" w:eastAsia="Helvetica Neue" w:hAnsi="Book Antiqua" w:cs="Helvetica Neue"/>
          <w:lang w:val="es-PR"/>
        </w:rPr>
      </w:pPr>
      <w:r w:rsidRPr="00E61AE4">
        <w:rPr>
          <w:rFonts w:ascii="Book Antiqua" w:eastAsia="Helvetica Neue" w:hAnsi="Book Antiqua" w:cs="Helvetica Neue"/>
          <w:lang w:val="es-PR"/>
        </w:rPr>
        <w:t>Asimismo, la agencia informó que realizó una revisión histórica de la construcción de la carretera PR-177 y del desarrollo residencial Portales de Alhelí. Según surge de las fotografías y documentos examinados, la PR-177 ya se encontraba construida para el año 1991, mientras que el desarrollo residencial comenzó posteriormente. Por ello, el DTOP concluyó que el proyecto residencial fue construido en un lugar donde era previsible la existencia de ruido vehicular asociado a dicha carretera.</w:t>
      </w:r>
    </w:p>
    <w:p w14:paraId="1459D562" w14:textId="77777777" w:rsidR="00F968DA" w:rsidRPr="00E61AE4" w:rsidRDefault="00F968DA" w:rsidP="00E61AE4">
      <w:pPr>
        <w:ind w:firstLine="720"/>
        <w:jc w:val="both"/>
        <w:rPr>
          <w:rFonts w:ascii="Book Antiqua" w:eastAsia="Helvetica Neue" w:hAnsi="Book Antiqua" w:cs="Helvetica Neue"/>
          <w:lang w:val="es-PR"/>
        </w:rPr>
      </w:pPr>
    </w:p>
    <w:p w14:paraId="440C0DBB" w14:textId="77A77E4C" w:rsidR="008F4C1B" w:rsidRPr="00F67151" w:rsidRDefault="00E61AE4" w:rsidP="00F67151">
      <w:pPr>
        <w:ind w:firstLine="720"/>
        <w:jc w:val="both"/>
        <w:rPr>
          <w:rFonts w:ascii="Book Antiqua" w:eastAsia="Helvetica Neue" w:hAnsi="Book Antiqua" w:cs="Helvetica Neue"/>
          <w:lang w:val="es-PR"/>
        </w:rPr>
      </w:pPr>
      <w:r w:rsidRPr="00E61AE4">
        <w:rPr>
          <w:rFonts w:ascii="Book Antiqua" w:eastAsia="Helvetica Neue" w:hAnsi="Book Antiqua" w:cs="Helvetica Neue"/>
          <w:lang w:val="es-PR"/>
        </w:rPr>
        <w:t>La agencia enfatizó que no es política pública del DTOP recomendar ni construir barreras de ruido para este tipo de desarrollo residencial privado y concluyó que la responsabilidad de atender cualquier situación relacionada con ruido corresponde a quienes desarrollaron el proyecto y a los mecanismos de mitigación que debieron contemplarse durante su planificación y construcción</w:t>
      </w:r>
      <w:r w:rsidR="00F67151">
        <w:rPr>
          <w:rFonts w:ascii="Book Antiqua" w:eastAsia="Helvetica Neue" w:hAnsi="Book Antiqua" w:cs="Helvetica Neue"/>
          <w:lang w:val="es-PR"/>
        </w:rPr>
        <w:t>.</w:t>
      </w:r>
    </w:p>
    <w:p w14:paraId="42347D60" w14:textId="77777777" w:rsidR="004277D8" w:rsidRPr="00744008" w:rsidRDefault="004277D8" w:rsidP="004277D8">
      <w:pPr>
        <w:jc w:val="both"/>
        <w:rPr>
          <w:rFonts w:ascii="Book Antiqua" w:eastAsia="Helvetica Neue" w:hAnsi="Book Antiqua" w:cs="Helvetica Neue"/>
        </w:rPr>
      </w:pPr>
    </w:p>
    <w:p w14:paraId="110BFE22" w14:textId="77777777" w:rsidR="0071402A" w:rsidRDefault="0071402A">
      <w:pPr>
        <w:jc w:val="center"/>
        <w:rPr>
          <w:rFonts w:ascii="Book Antiqua" w:eastAsia="Book Antiqua" w:hAnsi="Book Antiqua" w:cs="Book Antiqua"/>
          <w:b/>
        </w:rPr>
      </w:pPr>
    </w:p>
    <w:p w14:paraId="00000021" w14:textId="410251E1" w:rsidR="003867AC" w:rsidRPr="00744008" w:rsidRDefault="002A15A8">
      <w:pPr>
        <w:jc w:val="center"/>
        <w:rPr>
          <w:rFonts w:ascii="Book Antiqua" w:eastAsia="Book Antiqua" w:hAnsi="Book Antiqua" w:cs="Book Antiqua"/>
          <w:b/>
        </w:rPr>
      </w:pPr>
      <w:r w:rsidRPr="00744008">
        <w:rPr>
          <w:rFonts w:ascii="Book Antiqua" w:eastAsia="Book Antiqua" w:hAnsi="Book Antiqua" w:cs="Book Antiqua"/>
          <w:b/>
        </w:rPr>
        <w:t xml:space="preserve"> </w:t>
      </w:r>
      <w:r w:rsidR="0085373F" w:rsidRPr="00744008">
        <w:rPr>
          <w:rFonts w:ascii="Book Antiqua" w:eastAsia="Book Antiqua" w:hAnsi="Book Antiqua" w:cs="Book Antiqua"/>
          <w:b/>
        </w:rPr>
        <w:t>CONCLUSIÓN</w:t>
      </w:r>
    </w:p>
    <w:p w14:paraId="5A7926EC" w14:textId="77777777" w:rsidR="003649BC" w:rsidRPr="00744008" w:rsidRDefault="003649BC" w:rsidP="007C0950">
      <w:pPr>
        <w:jc w:val="both"/>
        <w:rPr>
          <w:rFonts w:ascii="Book Antiqua" w:eastAsia="Book Antiqua" w:hAnsi="Book Antiqua" w:cs="Book Antiqua"/>
        </w:rPr>
      </w:pPr>
    </w:p>
    <w:p w14:paraId="7BC2AF14" w14:textId="77777777" w:rsidR="0071402A" w:rsidRPr="0071402A" w:rsidRDefault="0071402A" w:rsidP="0071402A">
      <w:pPr>
        <w:ind w:firstLine="720"/>
        <w:jc w:val="both"/>
        <w:rPr>
          <w:rFonts w:ascii="Book Antiqua" w:eastAsia="Book Antiqua" w:hAnsi="Book Antiqua" w:cs="Book Antiqua"/>
          <w:lang w:val="es-PR"/>
        </w:rPr>
      </w:pPr>
      <w:r w:rsidRPr="0071402A">
        <w:rPr>
          <w:rFonts w:ascii="Book Antiqua" w:eastAsia="Book Antiqua" w:hAnsi="Book Antiqua" w:cs="Book Antiqua"/>
          <w:lang w:val="es-PR"/>
        </w:rPr>
        <w:t>La Comisión de Transportación e Infraestructura reconoce las preocupaciones planteadas por los residentes del Condominio Portales de Alhelí. Sin embargo, los comentarios recibidos del Departamento de Transportación y Obras Públicas demuestran que la carretera PR-177 antecede la construcción del desarrollo residencial y que la responsabilidad de mitigar cualquier impacto relacionado con ruido corresponde a los desarrolladores privados y no al Estado.</w:t>
      </w:r>
    </w:p>
    <w:p w14:paraId="4196B4D3" w14:textId="77777777" w:rsidR="0071402A" w:rsidRPr="0071402A" w:rsidRDefault="0071402A" w:rsidP="002A15A8">
      <w:pPr>
        <w:ind w:firstLine="720"/>
        <w:jc w:val="both"/>
        <w:rPr>
          <w:rFonts w:ascii="Book Antiqua" w:eastAsia="Book Antiqua" w:hAnsi="Book Antiqua" w:cs="Book Antiqua"/>
          <w:lang w:val="es-PR"/>
        </w:rPr>
      </w:pPr>
    </w:p>
    <w:p w14:paraId="2632D4AA" w14:textId="56978365" w:rsidR="00A11D0B" w:rsidRPr="00744008" w:rsidRDefault="00A11D0B" w:rsidP="002A15A8">
      <w:pPr>
        <w:ind w:firstLine="720"/>
        <w:jc w:val="both"/>
        <w:rPr>
          <w:rFonts w:ascii="Book Antiqua" w:eastAsia="Book Antiqua" w:hAnsi="Book Antiqua" w:cs="Book Antiqua"/>
        </w:rPr>
      </w:pPr>
      <w:r w:rsidRPr="00744008">
        <w:rPr>
          <w:rFonts w:ascii="Book Antiqua" w:eastAsia="Book Antiqua" w:hAnsi="Book Antiqua" w:cs="Book Antiqua"/>
        </w:rPr>
        <w:t xml:space="preserve">Por los fundamentos antes expuestos, la Comisión de Transportación e Infraestructura, somete el presente Informe </w:t>
      </w:r>
      <w:r w:rsidR="003649BC" w:rsidRPr="00744008">
        <w:rPr>
          <w:rFonts w:ascii="Book Antiqua" w:eastAsia="Book Antiqua" w:hAnsi="Book Antiqua" w:cs="Book Antiqua"/>
        </w:rPr>
        <w:t>Negativo</w:t>
      </w:r>
      <w:r w:rsidR="004277D8" w:rsidRPr="00744008">
        <w:rPr>
          <w:rFonts w:ascii="Book Antiqua" w:eastAsia="Book Antiqua" w:hAnsi="Book Antiqua" w:cs="Book Antiqua"/>
        </w:rPr>
        <w:t xml:space="preserve"> de</w:t>
      </w:r>
      <w:r w:rsidR="007C0950">
        <w:rPr>
          <w:rFonts w:ascii="Book Antiqua" w:eastAsia="Book Antiqua" w:hAnsi="Book Antiqua" w:cs="Book Antiqua"/>
        </w:rPr>
        <w:t xml:space="preserve"> </w:t>
      </w:r>
      <w:r w:rsidR="004F5778">
        <w:rPr>
          <w:rFonts w:ascii="Book Antiqua" w:eastAsia="Book Antiqua" w:hAnsi="Book Antiqua" w:cs="Book Antiqua"/>
        </w:rPr>
        <w:t>l</w:t>
      </w:r>
      <w:r w:rsidR="007C0950">
        <w:rPr>
          <w:rFonts w:ascii="Book Antiqua" w:eastAsia="Book Antiqua" w:hAnsi="Book Antiqua" w:cs="Book Antiqua"/>
        </w:rPr>
        <w:t>a</w:t>
      </w:r>
      <w:r w:rsidR="004F5778">
        <w:rPr>
          <w:rFonts w:ascii="Book Antiqua" w:eastAsia="Book Antiqua" w:hAnsi="Book Antiqua" w:cs="Book Antiqua"/>
        </w:rPr>
        <w:t xml:space="preserve"> </w:t>
      </w:r>
      <w:r w:rsidR="0024361A">
        <w:rPr>
          <w:rFonts w:ascii="Book Antiqua" w:eastAsia="Book Antiqua" w:hAnsi="Book Antiqua" w:cs="Book Antiqua"/>
        </w:rPr>
        <w:t>Resolución Conjunta</w:t>
      </w:r>
      <w:r w:rsidR="00E82BA6" w:rsidRPr="00744008">
        <w:rPr>
          <w:rFonts w:ascii="Book Antiqua" w:eastAsia="Book Antiqua" w:hAnsi="Book Antiqua" w:cs="Book Antiqua"/>
        </w:rPr>
        <w:t xml:space="preserve"> </w:t>
      </w:r>
      <w:r w:rsidR="004277D8" w:rsidRPr="00744008">
        <w:rPr>
          <w:rFonts w:ascii="Book Antiqua" w:eastAsia="Book Antiqua" w:hAnsi="Book Antiqua" w:cs="Book Antiqua"/>
        </w:rPr>
        <w:t xml:space="preserve">de la </w:t>
      </w:r>
      <w:r w:rsidR="004F5778" w:rsidRPr="00744008">
        <w:rPr>
          <w:rFonts w:ascii="Book Antiqua" w:eastAsia="Book Antiqua" w:hAnsi="Book Antiqua" w:cs="Book Antiqua"/>
        </w:rPr>
        <w:t>C</w:t>
      </w:r>
      <w:r w:rsidR="004F5778">
        <w:rPr>
          <w:rFonts w:ascii="Book Antiqua" w:eastAsia="Book Antiqua" w:hAnsi="Book Antiqua" w:cs="Book Antiqua"/>
        </w:rPr>
        <w:t>ámara</w:t>
      </w:r>
      <w:r w:rsidR="004277D8" w:rsidRPr="00744008">
        <w:rPr>
          <w:rFonts w:ascii="Book Antiqua" w:eastAsia="Book Antiqua" w:hAnsi="Book Antiqua" w:cs="Book Antiqua"/>
        </w:rPr>
        <w:t xml:space="preserve"> </w:t>
      </w:r>
      <w:r w:rsidR="00AB0EE4">
        <w:rPr>
          <w:rFonts w:ascii="Book Antiqua" w:eastAsia="Book Antiqua" w:hAnsi="Book Antiqua" w:cs="Book Antiqua"/>
        </w:rPr>
        <w:t>2</w:t>
      </w:r>
      <w:r w:rsidR="007C0950">
        <w:rPr>
          <w:rFonts w:ascii="Book Antiqua" w:eastAsia="Book Antiqua" w:hAnsi="Book Antiqua" w:cs="Book Antiqua"/>
        </w:rPr>
        <w:t>09</w:t>
      </w:r>
      <w:r w:rsidR="003649BC" w:rsidRPr="00744008">
        <w:rPr>
          <w:rFonts w:ascii="Book Antiqua" w:eastAsia="Book Antiqua" w:hAnsi="Book Antiqua" w:cs="Book Antiqua"/>
        </w:rPr>
        <w:t xml:space="preserve">. </w:t>
      </w:r>
    </w:p>
    <w:p w14:paraId="00000027" w14:textId="77777777" w:rsidR="003867AC" w:rsidRDefault="003867AC">
      <w:pPr>
        <w:jc w:val="both"/>
        <w:rPr>
          <w:rFonts w:ascii="Book Antiqua" w:eastAsia="Book Antiqua" w:hAnsi="Book Antiqua" w:cs="Book Antiqua"/>
        </w:rPr>
      </w:pPr>
    </w:p>
    <w:p w14:paraId="7D2D161D" w14:textId="77777777" w:rsidR="0071402A" w:rsidRDefault="0071402A">
      <w:pPr>
        <w:jc w:val="both"/>
        <w:rPr>
          <w:rFonts w:ascii="Book Antiqua" w:eastAsia="Book Antiqua" w:hAnsi="Book Antiqua" w:cs="Book Antiqua"/>
        </w:rPr>
      </w:pPr>
    </w:p>
    <w:p w14:paraId="7D729644" w14:textId="77777777" w:rsidR="0071402A" w:rsidRDefault="0071402A">
      <w:pPr>
        <w:jc w:val="both"/>
        <w:rPr>
          <w:rFonts w:ascii="Book Antiqua" w:eastAsia="Book Antiqua" w:hAnsi="Book Antiqua" w:cs="Book Antiqua"/>
        </w:rPr>
      </w:pPr>
    </w:p>
    <w:p w14:paraId="650393CF" w14:textId="77777777" w:rsidR="0071402A" w:rsidRPr="00744008" w:rsidRDefault="0071402A">
      <w:pPr>
        <w:jc w:val="both"/>
        <w:rPr>
          <w:rFonts w:ascii="Book Antiqua" w:eastAsia="Book Antiqua" w:hAnsi="Book Antiqua" w:cs="Book Antiqua"/>
        </w:rPr>
      </w:pPr>
    </w:p>
    <w:p w14:paraId="00000028" w14:textId="77777777" w:rsidR="003867AC" w:rsidRPr="00744008" w:rsidRDefault="0085373F">
      <w:pPr>
        <w:jc w:val="both"/>
        <w:rPr>
          <w:rFonts w:ascii="Book Antiqua" w:eastAsia="Book Antiqua" w:hAnsi="Book Antiqua" w:cs="Book Antiqua"/>
        </w:rPr>
      </w:pPr>
      <w:r w:rsidRPr="00744008">
        <w:rPr>
          <w:rFonts w:ascii="Book Antiqua" w:eastAsia="Book Antiqua" w:hAnsi="Book Antiqua" w:cs="Book Antiqua"/>
        </w:rPr>
        <w:lastRenderedPageBreak/>
        <w:t>Respetuosamente sometido,</w:t>
      </w:r>
    </w:p>
    <w:p w14:paraId="00000029" w14:textId="77777777" w:rsidR="003867AC" w:rsidRPr="00744008" w:rsidRDefault="003867AC">
      <w:pPr>
        <w:jc w:val="both"/>
        <w:rPr>
          <w:rFonts w:ascii="Book Antiqua" w:eastAsia="Book Antiqua" w:hAnsi="Book Antiqua" w:cs="Book Antiqua"/>
        </w:rPr>
      </w:pPr>
    </w:p>
    <w:p w14:paraId="0000002A" w14:textId="77777777" w:rsidR="003867AC" w:rsidRPr="00744008" w:rsidRDefault="003867AC">
      <w:pPr>
        <w:jc w:val="both"/>
        <w:rPr>
          <w:rFonts w:ascii="Book Antiqua" w:eastAsia="Book Antiqua" w:hAnsi="Book Antiqua" w:cs="Book Antiqua"/>
        </w:rPr>
      </w:pPr>
    </w:p>
    <w:p w14:paraId="0000002C" w14:textId="77777777" w:rsidR="003867AC" w:rsidRPr="00744008" w:rsidRDefault="003867AC">
      <w:pPr>
        <w:jc w:val="both"/>
        <w:rPr>
          <w:rFonts w:ascii="Book Antiqua" w:eastAsia="Book Antiqua" w:hAnsi="Book Antiqua" w:cs="Book Antiqua"/>
        </w:rPr>
      </w:pPr>
    </w:p>
    <w:p w14:paraId="0000002D" w14:textId="1C56B817" w:rsidR="003867AC" w:rsidRPr="00744008" w:rsidRDefault="0085373F">
      <w:pPr>
        <w:jc w:val="both"/>
        <w:rPr>
          <w:rFonts w:ascii="Book Antiqua" w:eastAsia="Book Antiqua" w:hAnsi="Book Antiqua" w:cs="Book Antiqua"/>
        </w:rPr>
      </w:pPr>
      <w:r w:rsidRPr="00744008">
        <w:rPr>
          <w:rFonts w:ascii="Book Antiqua" w:eastAsia="Book Antiqua" w:hAnsi="Book Antiqua" w:cs="Book Antiqua"/>
        </w:rPr>
        <w:t xml:space="preserve">José </w:t>
      </w:r>
      <w:r w:rsidR="00A11D0B" w:rsidRPr="00744008">
        <w:rPr>
          <w:rFonts w:ascii="Book Antiqua" w:eastAsia="Book Antiqua" w:hAnsi="Book Antiqua" w:cs="Book Antiqua"/>
        </w:rPr>
        <w:t xml:space="preserve">A. </w:t>
      </w:r>
      <w:r w:rsidRPr="00744008">
        <w:rPr>
          <w:rFonts w:ascii="Book Antiqua" w:eastAsia="Book Antiqua" w:hAnsi="Book Antiqua" w:cs="Book Antiqua"/>
        </w:rPr>
        <w:t xml:space="preserve">Hernández Concepción </w:t>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t xml:space="preserve"> </w:t>
      </w:r>
    </w:p>
    <w:p w14:paraId="0000002E" w14:textId="77777777" w:rsidR="003867AC" w:rsidRPr="00744008" w:rsidRDefault="0085373F">
      <w:pPr>
        <w:jc w:val="both"/>
        <w:rPr>
          <w:rFonts w:ascii="Book Antiqua" w:eastAsia="Book Antiqua" w:hAnsi="Book Antiqua" w:cs="Book Antiqua"/>
        </w:rPr>
      </w:pPr>
      <w:r w:rsidRPr="00744008">
        <w:rPr>
          <w:rFonts w:ascii="Book Antiqua" w:eastAsia="Book Antiqua" w:hAnsi="Book Antiqua" w:cs="Book Antiqua"/>
        </w:rPr>
        <w:t>Presidente</w:t>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r w:rsidRPr="00744008">
        <w:rPr>
          <w:rFonts w:ascii="Book Antiqua" w:eastAsia="Book Antiqua" w:hAnsi="Book Antiqua" w:cs="Book Antiqua"/>
        </w:rPr>
        <w:tab/>
      </w:r>
    </w:p>
    <w:p w14:paraId="0000002F" w14:textId="77777777" w:rsidR="003867AC" w:rsidRPr="00744008" w:rsidRDefault="0085373F">
      <w:pPr>
        <w:jc w:val="both"/>
        <w:rPr>
          <w:rFonts w:ascii="Book Antiqua" w:eastAsia="Book Antiqua" w:hAnsi="Book Antiqua" w:cs="Book Antiqua"/>
        </w:rPr>
      </w:pPr>
      <w:r w:rsidRPr="00744008">
        <w:rPr>
          <w:rFonts w:ascii="Book Antiqua" w:eastAsia="Book Antiqua" w:hAnsi="Book Antiqua" w:cs="Book Antiqua"/>
        </w:rPr>
        <w:t xml:space="preserve">Comisión de Transportación e Infraestructura </w:t>
      </w:r>
    </w:p>
    <w:p w14:paraId="00000030" w14:textId="77777777" w:rsidR="003867AC" w:rsidRPr="00700566" w:rsidRDefault="003867AC">
      <w:pPr>
        <w:jc w:val="both"/>
        <w:rPr>
          <w:rFonts w:ascii="Book Antiqua" w:eastAsia="Book Antiqua" w:hAnsi="Book Antiqua" w:cs="Book Antiqua"/>
        </w:rPr>
      </w:pPr>
    </w:p>
    <w:sectPr w:rsidR="003867AC"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C3B40" w14:textId="77777777" w:rsidR="001B1958" w:rsidRDefault="001B1958">
      <w:r>
        <w:separator/>
      </w:r>
    </w:p>
  </w:endnote>
  <w:endnote w:type="continuationSeparator" w:id="0">
    <w:p w14:paraId="2AFE5109" w14:textId="77777777" w:rsidR="001B1958" w:rsidRDefault="001B1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DD87B2F-999B-4E0E-A40A-609467377F03}"/>
  </w:font>
  <w:font w:name="Helvetica">
    <w:panose1 w:val="020B0604020202020204"/>
    <w:charset w:val="00"/>
    <w:family w:val="swiss"/>
    <w:pitch w:val="variable"/>
    <w:sig w:usb0="E0002EFF" w:usb1="C000785B" w:usb2="00000009" w:usb3="00000000" w:csb0="000001FF" w:csb1="00000000"/>
    <w:embedRegular r:id="rId2" w:fontKey="{DB950ABA-34C9-4ECF-835C-6067FE4E218A}"/>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51C1D93B-9487-4853-B0AB-5BB0A452F16E}"/>
  </w:font>
  <w:font w:name="Georgia">
    <w:panose1 w:val="02040502050405020303"/>
    <w:charset w:val="00"/>
    <w:family w:val="roman"/>
    <w:pitch w:val="variable"/>
    <w:sig w:usb0="00000287" w:usb1="00000000" w:usb2="00000000" w:usb3="00000000" w:csb0="0000009F" w:csb1="00000000"/>
    <w:embedRegular r:id="rId4" w:fontKey="{A72697DE-0034-414D-AE5D-518E68B9ED7E}"/>
    <w:embedItalic r:id="rId5" w:fontKey="{E86610B8-6657-406B-9D0C-B054D0E2C5AD}"/>
  </w:font>
  <w:font w:name="Book Antiqua">
    <w:panose1 w:val="02040602050305030304"/>
    <w:charset w:val="00"/>
    <w:family w:val="roman"/>
    <w:pitch w:val="variable"/>
    <w:sig w:usb0="00000287" w:usb1="00000000" w:usb2="00000000" w:usb3="00000000" w:csb0="0000009F" w:csb1="00000000"/>
    <w:embedRegular r:id="rId6" w:fontKey="{ECB561F8-35BC-4261-AD0A-FE9F62F1B04D}"/>
    <w:embedBold r:id="rId7" w:fontKey="{1A3EC6F3-3DB8-42B2-8C96-A3AF309F40A2}"/>
  </w:font>
  <w:font w:name="Helvetica Neue">
    <w:charset w:val="00"/>
    <w:family w:val="auto"/>
    <w:pitch w:val="default"/>
    <w:embedRegular r:id="rId8" w:fontKey="{CFBDACF4-4975-4E6E-BDCA-CA47F6E1CA06}"/>
    <w:embedBold r:id="rId9" w:fontKey="{F919FCA8-91D0-4EA3-847A-4D9968E7BE74}"/>
  </w:font>
  <w:font w:name="Lustria">
    <w:altName w:val="Calibri"/>
    <w:charset w:val="00"/>
    <w:family w:val="auto"/>
    <w:pitch w:val="default"/>
    <w:embedRegular r:id="rId10" w:fontKey="{79263D9F-0859-451F-BDAC-D109BC61D825}"/>
    <w:embedBoldItalic r:id="rId11" w:fontKey="{F0EB7EC1-E421-4FED-A012-6C52B5DD64C8}"/>
  </w:font>
  <w:font w:name="Cambria">
    <w:panose1 w:val="02040503050406030204"/>
    <w:charset w:val="00"/>
    <w:family w:val="roman"/>
    <w:pitch w:val="variable"/>
    <w:sig w:usb0="E00006FF" w:usb1="420024FF" w:usb2="02000000" w:usb3="00000000" w:csb0="0000019F" w:csb1="00000000"/>
    <w:embedRegular r:id="rId12" w:fontKey="{DE866F2D-51F1-4AD2-BEA8-9205A191A35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64E1B" w14:textId="77777777" w:rsidR="001B1958" w:rsidRDefault="001B1958">
      <w:r>
        <w:separator/>
      </w:r>
    </w:p>
  </w:footnote>
  <w:footnote w:type="continuationSeparator" w:id="0">
    <w:p w14:paraId="2184453D" w14:textId="77777777" w:rsidR="001B1958" w:rsidRDefault="001B19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38091584"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Informe</w:t>
    </w:r>
    <w:r w:rsidR="003649BC">
      <w:rPr>
        <w:rFonts w:ascii="Lustria" w:eastAsia="Lustria" w:hAnsi="Lustria" w:cs="Lustria"/>
        <w:b/>
        <w:i/>
        <w:sz w:val="22"/>
        <w:szCs w:val="22"/>
      </w:rPr>
      <w:t xml:space="preserve"> Negativo</w:t>
    </w:r>
    <w:r>
      <w:rPr>
        <w:rFonts w:ascii="Lustria" w:eastAsia="Lustria" w:hAnsi="Lustria" w:cs="Lustria"/>
        <w:b/>
        <w:i/>
        <w:sz w:val="22"/>
        <w:szCs w:val="22"/>
      </w:rPr>
      <w:t xml:space="preserve"> sobre el </w:t>
    </w:r>
    <w:r w:rsidR="002F0CEB">
      <w:rPr>
        <w:rFonts w:ascii="Lustria" w:eastAsia="Lustria" w:hAnsi="Lustria" w:cs="Lustria"/>
        <w:b/>
        <w:i/>
        <w:sz w:val="22"/>
        <w:szCs w:val="22"/>
      </w:rPr>
      <w:t>R. C.</w:t>
    </w:r>
    <w:r w:rsidR="00E82BA6">
      <w:rPr>
        <w:rFonts w:ascii="Lustria" w:eastAsia="Lustria" w:hAnsi="Lustria" w:cs="Lustria"/>
        <w:b/>
        <w:i/>
        <w:sz w:val="22"/>
        <w:szCs w:val="22"/>
      </w:rPr>
      <w:t xml:space="preserve"> </w:t>
    </w:r>
    <w:r>
      <w:rPr>
        <w:rFonts w:ascii="Lustria" w:eastAsia="Lustria" w:hAnsi="Lustria" w:cs="Lustria"/>
        <w:b/>
        <w:i/>
        <w:sz w:val="22"/>
        <w:szCs w:val="22"/>
      </w:rPr>
      <w:t xml:space="preserve">de la </w:t>
    </w:r>
    <w:r w:rsidR="004A35A7">
      <w:rPr>
        <w:rFonts w:ascii="Lustria" w:eastAsia="Lustria" w:hAnsi="Lustria" w:cs="Lustria"/>
        <w:b/>
        <w:i/>
        <w:sz w:val="22"/>
        <w:szCs w:val="22"/>
      </w:rPr>
      <w:t>C</w:t>
    </w:r>
    <w:r>
      <w:rPr>
        <w:rFonts w:ascii="Lustria" w:eastAsia="Lustria" w:hAnsi="Lustria" w:cs="Lustria"/>
        <w:b/>
        <w:i/>
        <w:sz w:val="22"/>
        <w:szCs w:val="22"/>
      </w:rPr>
      <w:t xml:space="preserve">. </w:t>
    </w:r>
    <w:r w:rsidR="00AE1C17">
      <w:rPr>
        <w:rFonts w:ascii="Lustria" w:eastAsia="Lustria" w:hAnsi="Lustria" w:cs="Lustria"/>
        <w:b/>
        <w:i/>
        <w:sz w:val="22"/>
        <w:szCs w:val="22"/>
      </w:rPr>
      <w:t>2</w:t>
    </w:r>
    <w:r w:rsidR="002F0CEB">
      <w:rPr>
        <w:rFonts w:ascii="Lustria" w:eastAsia="Lustria" w:hAnsi="Lustria" w:cs="Lustria"/>
        <w:b/>
        <w:i/>
        <w:sz w:val="22"/>
        <w:szCs w:val="22"/>
      </w:rPr>
      <w:t>09</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20305"/>
    <w:rsid w:val="0002740C"/>
    <w:rsid w:val="00051D05"/>
    <w:rsid w:val="000562AB"/>
    <w:rsid w:val="00074013"/>
    <w:rsid w:val="00080F3B"/>
    <w:rsid w:val="000825C8"/>
    <w:rsid w:val="000A0BC8"/>
    <w:rsid w:val="000A23A1"/>
    <w:rsid w:val="000A752D"/>
    <w:rsid w:val="000C098A"/>
    <w:rsid w:val="000E0981"/>
    <w:rsid w:val="000F7A24"/>
    <w:rsid w:val="00101FB4"/>
    <w:rsid w:val="0012417C"/>
    <w:rsid w:val="00147B7C"/>
    <w:rsid w:val="00156ED3"/>
    <w:rsid w:val="00160C1F"/>
    <w:rsid w:val="001619B2"/>
    <w:rsid w:val="00166443"/>
    <w:rsid w:val="001714C4"/>
    <w:rsid w:val="00191185"/>
    <w:rsid w:val="001A3E93"/>
    <w:rsid w:val="001B1958"/>
    <w:rsid w:val="001D424E"/>
    <w:rsid w:val="001E16CE"/>
    <w:rsid w:val="001E2EB4"/>
    <w:rsid w:val="001E6E24"/>
    <w:rsid w:val="00202B9F"/>
    <w:rsid w:val="00204C67"/>
    <w:rsid w:val="00220975"/>
    <w:rsid w:val="00222393"/>
    <w:rsid w:val="00235829"/>
    <w:rsid w:val="0024361A"/>
    <w:rsid w:val="00266B2F"/>
    <w:rsid w:val="00274850"/>
    <w:rsid w:val="002927A8"/>
    <w:rsid w:val="002A15A8"/>
    <w:rsid w:val="002D4DC3"/>
    <w:rsid w:val="002E1FA6"/>
    <w:rsid w:val="002E2622"/>
    <w:rsid w:val="002E62AC"/>
    <w:rsid w:val="002E69C5"/>
    <w:rsid w:val="002E6DD3"/>
    <w:rsid w:val="002F0CEB"/>
    <w:rsid w:val="00316E29"/>
    <w:rsid w:val="0032546D"/>
    <w:rsid w:val="003277C8"/>
    <w:rsid w:val="00333FB4"/>
    <w:rsid w:val="003448B4"/>
    <w:rsid w:val="0034725D"/>
    <w:rsid w:val="0035050C"/>
    <w:rsid w:val="0035616B"/>
    <w:rsid w:val="003649BC"/>
    <w:rsid w:val="0037197C"/>
    <w:rsid w:val="00373E49"/>
    <w:rsid w:val="00382780"/>
    <w:rsid w:val="00383D79"/>
    <w:rsid w:val="003867AC"/>
    <w:rsid w:val="0039352E"/>
    <w:rsid w:val="0039437F"/>
    <w:rsid w:val="003A0F94"/>
    <w:rsid w:val="003B1A27"/>
    <w:rsid w:val="003E479C"/>
    <w:rsid w:val="00400B99"/>
    <w:rsid w:val="00421CAC"/>
    <w:rsid w:val="004277D8"/>
    <w:rsid w:val="00431557"/>
    <w:rsid w:val="004673DA"/>
    <w:rsid w:val="0047119B"/>
    <w:rsid w:val="00471A39"/>
    <w:rsid w:val="00472C8D"/>
    <w:rsid w:val="004730E0"/>
    <w:rsid w:val="00473D39"/>
    <w:rsid w:val="00475814"/>
    <w:rsid w:val="0049326F"/>
    <w:rsid w:val="004A35A7"/>
    <w:rsid w:val="004A6565"/>
    <w:rsid w:val="004D3D36"/>
    <w:rsid w:val="004E219C"/>
    <w:rsid w:val="004E28E4"/>
    <w:rsid w:val="004F5778"/>
    <w:rsid w:val="00501798"/>
    <w:rsid w:val="00505653"/>
    <w:rsid w:val="005059B4"/>
    <w:rsid w:val="0050681B"/>
    <w:rsid w:val="00506A3D"/>
    <w:rsid w:val="005227C0"/>
    <w:rsid w:val="005456F5"/>
    <w:rsid w:val="00550313"/>
    <w:rsid w:val="00557604"/>
    <w:rsid w:val="00565CDF"/>
    <w:rsid w:val="005858EA"/>
    <w:rsid w:val="005871B4"/>
    <w:rsid w:val="00596F5B"/>
    <w:rsid w:val="005A1843"/>
    <w:rsid w:val="005E4A2F"/>
    <w:rsid w:val="00605CE1"/>
    <w:rsid w:val="0060692B"/>
    <w:rsid w:val="006354F3"/>
    <w:rsid w:val="00642646"/>
    <w:rsid w:val="00653262"/>
    <w:rsid w:val="00662B84"/>
    <w:rsid w:val="00677312"/>
    <w:rsid w:val="00677380"/>
    <w:rsid w:val="006908FA"/>
    <w:rsid w:val="00691E06"/>
    <w:rsid w:val="006A552A"/>
    <w:rsid w:val="006A7E5E"/>
    <w:rsid w:val="006B26BD"/>
    <w:rsid w:val="006D297F"/>
    <w:rsid w:val="006E029C"/>
    <w:rsid w:val="006F71C7"/>
    <w:rsid w:val="00700566"/>
    <w:rsid w:val="0071402A"/>
    <w:rsid w:val="0071797E"/>
    <w:rsid w:val="00735C8F"/>
    <w:rsid w:val="00744008"/>
    <w:rsid w:val="00747FD2"/>
    <w:rsid w:val="00766B8B"/>
    <w:rsid w:val="00772095"/>
    <w:rsid w:val="00775172"/>
    <w:rsid w:val="00785FCE"/>
    <w:rsid w:val="0079045F"/>
    <w:rsid w:val="00790497"/>
    <w:rsid w:val="007923B1"/>
    <w:rsid w:val="00797E58"/>
    <w:rsid w:val="00797FCC"/>
    <w:rsid w:val="007A023B"/>
    <w:rsid w:val="007C0950"/>
    <w:rsid w:val="007C31AB"/>
    <w:rsid w:val="007C3C34"/>
    <w:rsid w:val="007C6404"/>
    <w:rsid w:val="007E4F82"/>
    <w:rsid w:val="007E6F6E"/>
    <w:rsid w:val="007F05CC"/>
    <w:rsid w:val="007F0CDC"/>
    <w:rsid w:val="00817784"/>
    <w:rsid w:val="00830D73"/>
    <w:rsid w:val="0083404D"/>
    <w:rsid w:val="008355F8"/>
    <w:rsid w:val="00835F7B"/>
    <w:rsid w:val="00842EBD"/>
    <w:rsid w:val="0085373F"/>
    <w:rsid w:val="0085568D"/>
    <w:rsid w:val="00875CE7"/>
    <w:rsid w:val="00880662"/>
    <w:rsid w:val="008A645B"/>
    <w:rsid w:val="008A65F0"/>
    <w:rsid w:val="008A7B90"/>
    <w:rsid w:val="008B1D55"/>
    <w:rsid w:val="008B5454"/>
    <w:rsid w:val="008C6705"/>
    <w:rsid w:val="008D3F5B"/>
    <w:rsid w:val="008E7719"/>
    <w:rsid w:val="008F04C1"/>
    <w:rsid w:val="008F30F0"/>
    <w:rsid w:val="008F3D78"/>
    <w:rsid w:val="008F4C1B"/>
    <w:rsid w:val="00903883"/>
    <w:rsid w:val="009048A3"/>
    <w:rsid w:val="0091544D"/>
    <w:rsid w:val="00940A79"/>
    <w:rsid w:val="009742B0"/>
    <w:rsid w:val="009821D1"/>
    <w:rsid w:val="009E0BE7"/>
    <w:rsid w:val="009E7555"/>
    <w:rsid w:val="00A11D0B"/>
    <w:rsid w:val="00A16802"/>
    <w:rsid w:val="00A24012"/>
    <w:rsid w:val="00A27CCB"/>
    <w:rsid w:val="00A43849"/>
    <w:rsid w:val="00A57E02"/>
    <w:rsid w:val="00A62FD8"/>
    <w:rsid w:val="00A95142"/>
    <w:rsid w:val="00AB0EE4"/>
    <w:rsid w:val="00AB45BB"/>
    <w:rsid w:val="00AC7FD7"/>
    <w:rsid w:val="00AD05EA"/>
    <w:rsid w:val="00AE1C17"/>
    <w:rsid w:val="00AE1FD3"/>
    <w:rsid w:val="00AE44CF"/>
    <w:rsid w:val="00B21E78"/>
    <w:rsid w:val="00B43BBC"/>
    <w:rsid w:val="00B457FD"/>
    <w:rsid w:val="00B45C76"/>
    <w:rsid w:val="00B46ABC"/>
    <w:rsid w:val="00B52476"/>
    <w:rsid w:val="00B5291E"/>
    <w:rsid w:val="00B57A56"/>
    <w:rsid w:val="00B816C5"/>
    <w:rsid w:val="00BA4DF7"/>
    <w:rsid w:val="00BC7E43"/>
    <w:rsid w:val="00C023B0"/>
    <w:rsid w:val="00C13D9D"/>
    <w:rsid w:val="00C1423C"/>
    <w:rsid w:val="00C20AF9"/>
    <w:rsid w:val="00C41F71"/>
    <w:rsid w:val="00C54554"/>
    <w:rsid w:val="00C667AF"/>
    <w:rsid w:val="00C73728"/>
    <w:rsid w:val="00C82CE2"/>
    <w:rsid w:val="00C87206"/>
    <w:rsid w:val="00C924E3"/>
    <w:rsid w:val="00C944CF"/>
    <w:rsid w:val="00CA549E"/>
    <w:rsid w:val="00CA6335"/>
    <w:rsid w:val="00CB5781"/>
    <w:rsid w:val="00CC0947"/>
    <w:rsid w:val="00CD59A0"/>
    <w:rsid w:val="00CD62E0"/>
    <w:rsid w:val="00CE3657"/>
    <w:rsid w:val="00D13155"/>
    <w:rsid w:val="00D16C60"/>
    <w:rsid w:val="00D44616"/>
    <w:rsid w:val="00D5029F"/>
    <w:rsid w:val="00D60BBD"/>
    <w:rsid w:val="00D627B8"/>
    <w:rsid w:val="00D64D19"/>
    <w:rsid w:val="00D82337"/>
    <w:rsid w:val="00D83118"/>
    <w:rsid w:val="00DB02F9"/>
    <w:rsid w:val="00DB46A4"/>
    <w:rsid w:val="00DC3142"/>
    <w:rsid w:val="00DD6D1E"/>
    <w:rsid w:val="00DE6658"/>
    <w:rsid w:val="00E15339"/>
    <w:rsid w:val="00E16D68"/>
    <w:rsid w:val="00E24AC1"/>
    <w:rsid w:val="00E27B7F"/>
    <w:rsid w:val="00E3056E"/>
    <w:rsid w:val="00E374AE"/>
    <w:rsid w:val="00E61AE4"/>
    <w:rsid w:val="00E62D96"/>
    <w:rsid w:val="00E776D5"/>
    <w:rsid w:val="00E82BA6"/>
    <w:rsid w:val="00E8576C"/>
    <w:rsid w:val="00E86FC9"/>
    <w:rsid w:val="00E94557"/>
    <w:rsid w:val="00EA26A1"/>
    <w:rsid w:val="00EB340F"/>
    <w:rsid w:val="00EE495C"/>
    <w:rsid w:val="00EE5B6A"/>
    <w:rsid w:val="00F01A45"/>
    <w:rsid w:val="00F01B4D"/>
    <w:rsid w:val="00F0263C"/>
    <w:rsid w:val="00F032FA"/>
    <w:rsid w:val="00F05EFF"/>
    <w:rsid w:val="00F0620F"/>
    <w:rsid w:val="00F104E1"/>
    <w:rsid w:val="00F246B3"/>
    <w:rsid w:val="00F26D5A"/>
    <w:rsid w:val="00F366B9"/>
    <w:rsid w:val="00F64D5F"/>
    <w:rsid w:val="00F67151"/>
    <w:rsid w:val="00F84592"/>
    <w:rsid w:val="00F84D5C"/>
    <w:rsid w:val="00F968DA"/>
    <w:rsid w:val="00FA71C8"/>
    <w:rsid w:val="00FA747A"/>
    <w:rsid w:val="00FB1972"/>
    <w:rsid w:val="00FB2FCA"/>
    <w:rsid w:val="00FD0780"/>
    <w:rsid w:val="00FD2347"/>
    <w:rsid w:val="00FD3EF5"/>
    <w:rsid w:val="00FE33BD"/>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831780">
      <w:bodyDiv w:val="1"/>
      <w:marLeft w:val="0"/>
      <w:marRight w:val="0"/>
      <w:marTop w:val="0"/>
      <w:marBottom w:val="0"/>
      <w:divBdr>
        <w:top w:val="none" w:sz="0" w:space="0" w:color="auto"/>
        <w:left w:val="none" w:sz="0" w:space="0" w:color="auto"/>
        <w:bottom w:val="none" w:sz="0" w:space="0" w:color="auto"/>
        <w:right w:val="none" w:sz="0" w:space="0" w:color="auto"/>
      </w:divBdr>
    </w:div>
    <w:div w:id="364255584">
      <w:bodyDiv w:val="1"/>
      <w:marLeft w:val="0"/>
      <w:marRight w:val="0"/>
      <w:marTop w:val="0"/>
      <w:marBottom w:val="0"/>
      <w:divBdr>
        <w:top w:val="none" w:sz="0" w:space="0" w:color="auto"/>
        <w:left w:val="none" w:sz="0" w:space="0" w:color="auto"/>
        <w:bottom w:val="none" w:sz="0" w:space="0" w:color="auto"/>
        <w:right w:val="none" w:sz="0" w:space="0" w:color="auto"/>
      </w:divBdr>
    </w:div>
    <w:div w:id="587932887">
      <w:bodyDiv w:val="1"/>
      <w:marLeft w:val="0"/>
      <w:marRight w:val="0"/>
      <w:marTop w:val="0"/>
      <w:marBottom w:val="0"/>
      <w:divBdr>
        <w:top w:val="none" w:sz="0" w:space="0" w:color="auto"/>
        <w:left w:val="none" w:sz="0" w:space="0" w:color="auto"/>
        <w:bottom w:val="none" w:sz="0" w:space="0" w:color="auto"/>
        <w:right w:val="none" w:sz="0" w:space="0" w:color="auto"/>
      </w:divBdr>
    </w:div>
    <w:div w:id="608856417">
      <w:bodyDiv w:val="1"/>
      <w:marLeft w:val="0"/>
      <w:marRight w:val="0"/>
      <w:marTop w:val="0"/>
      <w:marBottom w:val="0"/>
      <w:divBdr>
        <w:top w:val="none" w:sz="0" w:space="0" w:color="auto"/>
        <w:left w:val="none" w:sz="0" w:space="0" w:color="auto"/>
        <w:bottom w:val="none" w:sz="0" w:space="0" w:color="auto"/>
        <w:right w:val="none" w:sz="0" w:space="0" w:color="auto"/>
      </w:divBdr>
    </w:div>
    <w:div w:id="649096755">
      <w:bodyDiv w:val="1"/>
      <w:marLeft w:val="0"/>
      <w:marRight w:val="0"/>
      <w:marTop w:val="0"/>
      <w:marBottom w:val="0"/>
      <w:divBdr>
        <w:top w:val="none" w:sz="0" w:space="0" w:color="auto"/>
        <w:left w:val="none" w:sz="0" w:space="0" w:color="auto"/>
        <w:bottom w:val="none" w:sz="0" w:space="0" w:color="auto"/>
        <w:right w:val="none" w:sz="0" w:space="0" w:color="auto"/>
      </w:divBdr>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909845261">
      <w:bodyDiv w:val="1"/>
      <w:marLeft w:val="0"/>
      <w:marRight w:val="0"/>
      <w:marTop w:val="0"/>
      <w:marBottom w:val="0"/>
      <w:divBdr>
        <w:top w:val="none" w:sz="0" w:space="0" w:color="auto"/>
        <w:left w:val="none" w:sz="0" w:space="0" w:color="auto"/>
        <w:bottom w:val="none" w:sz="0" w:space="0" w:color="auto"/>
        <w:right w:val="none" w:sz="0" w:space="0" w:color="auto"/>
      </w:divBdr>
    </w:div>
    <w:div w:id="959649130">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397631117">
      <w:bodyDiv w:val="1"/>
      <w:marLeft w:val="0"/>
      <w:marRight w:val="0"/>
      <w:marTop w:val="0"/>
      <w:marBottom w:val="0"/>
      <w:divBdr>
        <w:top w:val="none" w:sz="0" w:space="0" w:color="auto"/>
        <w:left w:val="none" w:sz="0" w:space="0" w:color="auto"/>
        <w:bottom w:val="none" w:sz="0" w:space="0" w:color="auto"/>
        <w:right w:val="none" w:sz="0" w:space="0" w:color="auto"/>
      </w:divBdr>
    </w:div>
    <w:div w:id="1929073374">
      <w:bodyDiv w:val="1"/>
      <w:marLeft w:val="0"/>
      <w:marRight w:val="0"/>
      <w:marTop w:val="0"/>
      <w:marBottom w:val="0"/>
      <w:divBdr>
        <w:top w:val="none" w:sz="0" w:space="0" w:color="auto"/>
        <w:left w:val="none" w:sz="0" w:space="0" w:color="auto"/>
        <w:bottom w:val="none" w:sz="0" w:space="0" w:color="auto"/>
        <w:right w:val="none" w:sz="0" w:space="0" w:color="auto"/>
      </w:divBdr>
      <w:divsChild>
        <w:div w:id="1995179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94756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551</Words>
  <Characters>3146</Characters>
  <Application>Microsoft Office Word</Application>
  <DocSecurity>4</DocSecurity>
  <Lines>26</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2025-09-15T20:01:00Z</cp:lastPrinted>
  <dcterms:created xsi:type="dcterms:W3CDTF">2026-06-15T20:43:00Z</dcterms:created>
  <dcterms:modified xsi:type="dcterms:W3CDTF">2026-06-15T20:43:00Z</dcterms:modified>
</cp:coreProperties>
</file>