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07687" w14:textId="77777777" w:rsidR="00BE5494" w:rsidRDefault="00BE5494" w:rsidP="00BE5494">
      <w:pPr>
        <w:jc w:val="center"/>
        <w:rPr>
          <w:rFonts w:ascii="Book Antiqua" w:hAnsi="Book Antiqua"/>
          <w:sz w:val="28"/>
          <w:lang w:val="es-ES_tradnl"/>
        </w:rPr>
      </w:pPr>
      <w:r>
        <w:rPr>
          <w:rFonts w:ascii="Book Antiqua" w:hAnsi="Book Antiqua"/>
          <w:sz w:val="28"/>
          <w:lang w:val="es-ES_tradnl"/>
        </w:rPr>
        <w:t>GOBIERNO DE PUERTO RICO</w:t>
      </w:r>
    </w:p>
    <w:p w14:paraId="7A5FDD13" w14:textId="77777777" w:rsidR="00BE5494" w:rsidRPr="003F1675" w:rsidRDefault="00BE5494" w:rsidP="00BE5494">
      <w:pPr>
        <w:jc w:val="center"/>
        <w:rPr>
          <w:rFonts w:ascii="Book Antiqua" w:hAnsi="Book Antiqua"/>
          <w:szCs w:val="24"/>
          <w:lang w:val="es-ES_tradnl"/>
        </w:rPr>
      </w:pPr>
    </w:p>
    <w:p w14:paraId="4AB11F68" w14:textId="49CF1E58" w:rsidR="00BE5494" w:rsidRPr="00A230B0" w:rsidRDefault="00BE5494" w:rsidP="00BE5494">
      <w:pPr>
        <w:pStyle w:val="Title2"/>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8312DD">
        <w:rPr>
          <w:rFonts w:ascii="Book Antiqua" w:hAnsi="Book Antiqua"/>
          <w:lang w:val="es-PR"/>
        </w:rPr>
        <w:t>2d</w:t>
      </w:r>
      <w:r w:rsidRPr="00A230B0">
        <w:rPr>
          <w:rFonts w:ascii="Book Antiqua" w:hAnsi="Book Antiqua"/>
          <w:lang w:val="es-PR"/>
        </w:rPr>
        <w:t>a.</w:t>
      </w:r>
      <w:r w:rsidRPr="00A230B0">
        <w:rPr>
          <w:lang w:val="es-PR"/>
        </w:rPr>
        <w:t xml:space="preserve"> </w:t>
      </w:r>
      <w:r w:rsidRPr="00A230B0">
        <w:rPr>
          <w:rFonts w:ascii="Book Antiqua" w:hAnsi="Book Antiqua"/>
          <w:lang w:val="es-PR"/>
        </w:rPr>
        <w:t>Sesión</w:t>
      </w:r>
    </w:p>
    <w:p w14:paraId="080EBC37" w14:textId="77777777" w:rsidR="00BE5494" w:rsidRPr="00A230B0" w:rsidRDefault="00BE5494" w:rsidP="00BE5494">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38573EE1" w14:textId="77777777" w:rsidR="00BE5494" w:rsidRPr="00717EEF" w:rsidRDefault="00BE5494" w:rsidP="00BE5494">
      <w:pPr>
        <w:rPr>
          <w:lang w:val="es-PR"/>
        </w:rPr>
      </w:pPr>
    </w:p>
    <w:p w14:paraId="061420B9" w14:textId="77777777" w:rsidR="00BE5494" w:rsidRDefault="00BE5494" w:rsidP="00BE5494">
      <w:pPr>
        <w:jc w:val="center"/>
        <w:rPr>
          <w:rFonts w:ascii="Book Antiqua" w:hAnsi="Book Antiqua"/>
          <w:b/>
          <w:sz w:val="36"/>
          <w:lang w:val="es-ES_tradnl"/>
        </w:rPr>
      </w:pPr>
      <w:r>
        <w:rPr>
          <w:rFonts w:ascii="Book Antiqua" w:hAnsi="Book Antiqua"/>
          <w:b/>
          <w:sz w:val="36"/>
          <w:lang w:val="es-ES_tradnl"/>
        </w:rPr>
        <w:t>CÁMARA DE REPRESENTANTES</w:t>
      </w:r>
    </w:p>
    <w:p w14:paraId="4D380AA9" w14:textId="77777777" w:rsidR="00BE5494" w:rsidRPr="00A97479" w:rsidRDefault="00BE5494" w:rsidP="00BE5494">
      <w:pPr>
        <w:jc w:val="center"/>
        <w:rPr>
          <w:rFonts w:ascii="Book Antiqua" w:hAnsi="Book Antiqua"/>
          <w:b/>
          <w:szCs w:val="24"/>
          <w:lang w:val="es-ES_tradnl"/>
        </w:rPr>
      </w:pPr>
    </w:p>
    <w:p w14:paraId="79FDCABC" w14:textId="7CD1B8C3" w:rsidR="00BE5494" w:rsidRDefault="00BE5494" w:rsidP="00BE5494">
      <w:pPr>
        <w:jc w:val="center"/>
        <w:rPr>
          <w:rFonts w:ascii="Book Antiqua" w:hAnsi="Book Antiqua"/>
          <w:b/>
          <w:sz w:val="52"/>
          <w:lang w:val="es-ES_tradnl"/>
        </w:rPr>
      </w:pPr>
      <w:r>
        <w:rPr>
          <w:rFonts w:ascii="Book Antiqua" w:hAnsi="Book Antiqua"/>
          <w:b/>
          <w:sz w:val="52"/>
          <w:lang w:val="es-ES_tradnl"/>
        </w:rPr>
        <w:t xml:space="preserve">R. de la C. </w:t>
      </w:r>
      <w:r w:rsidR="00DA3A36">
        <w:rPr>
          <w:rFonts w:ascii="Book Antiqua" w:hAnsi="Book Antiqua"/>
          <w:b/>
          <w:sz w:val="52"/>
          <w:lang w:val="es-ES_tradnl"/>
        </w:rPr>
        <w:t>453</w:t>
      </w:r>
    </w:p>
    <w:p w14:paraId="18578A3B" w14:textId="77777777" w:rsidR="00BE5494" w:rsidRPr="00212D00" w:rsidRDefault="00BE5494" w:rsidP="00BE5494">
      <w:pPr>
        <w:jc w:val="center"/>
        <w:rPr>
          <w:rFonts w:ascii="Book Antiqua" w:hAnsi="Book Antiqua"/>
          <w:b/>
          <w:szCs w:val="24"/>
          <w:lang w:val="es-ES_tradnl"/>
        </w:rPr>
      </w:pPr>
    </w:p>
    <w:p w14:paraId="715EBDB1" w14:textId="6E6A6D5A" w:rsidR="00BE5494" w:rsidRDefault="00DA3A36" w:rsidP="00BE5494">
      <w:pPr>
        <w:jc w:val="center"/>
        <w:rPr>
          <w:rFonts w:ascii="Book Antiqua" w:hAnsi="Book Antiqua"/>
          <w:lang w:val="es-ES_tradnl"/>
        </w:rPr>
      </w:pPr>
      <w:r>
        <w:rPr>
          <w:rFonts w:ascii="Book Antiqua" w:hAnsi="Book Antiqua"/>
          <w:lang w:val="es-ES_tradnl"/>
        </w:rPr>
        <w:t xml:space="preserve">24 </w:t>
      </w:r>
      <w:r w:rsidR="008312DD">
        <w:rPr>
          <w:rFonts w:ascii="Book Antiqua" w:hAnsi="Book Antiqua"/>
          <w:lang w:val="es-ES_tradnl"/>
        </w:rPr>
        <w:t>DE SEPTIEMBRE DE 2025</w:t>
      </w:r>
    </w:p>
    <w:p w14:paraId="5AA01B59" w14:textId="77777777" w:rsidR="00BE5494" w:rsidRDefault="00BE5494" w:rsidP="00BE5494">
      <w:pPr>
        <w:jc w:val="center"/>
        <w:rPr>
          <w:rFonts w:ascii="Book Antiqua" w:hAnsi="Book Antiqua"/>
          <w:lang w:val="es-ES_tradnl"/>
        </w:rPr>
      </w:pPr>
    </w:p>
    <w:p w14:paraId="4B45FC79" w14:textId="77777777" w:rsidR="00BE5494" w:rsidRDefault="00BE5494" w:rsidP="00BE5494">
      <w:pPr>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56F39150" w14:textId="77777777" w:rsidR="00BE5494" w:rsidRDefault="00BE5494" w:rsidP="00BE5494">
      <w:pPr>
        <w:jc w:val="center"/>
        <w:rPr>
          <w:rFonts w:ascii="Book Antiqua" w:hAnsi="Book Antiqua"/>
          <w:lang w:val="es-ES_tradnl"/>
        </w:rPr>
      </w:pPr>
    </w:p>
    <w:p w14:paraId="6859705E" w14:textId="0C49446A" w:rsidR="000F0666" w:rsidRPr="000D7F03" w:rsidRDefault="000F0666" w:rsidP="000F0666">
      <w:pPr>
        <w:jc w:val="center"/>
        <w:rPr>
          <w:rFonts w:ascii="Book Antiqua" w:hAnsi="Book Antiqua"/>
          <w:color w:val="000000"/>
          <w:lang w:val="es-PR"/>
        </w:rPr>
      </w:pPr>
      <w:r w:rsidRPr="00375A3B">
        <w:rPr>
          <w:rFonts w:ascii="Book Antiqua" w:hAnsi="Book Antiqua"/>
          <w:color w:val="000000"/>
          <w:szCs w:val="24"/>
          <w:lang w:val="es-PR"/>
        </w:rPr>
        <w:t xml:space="preserve">Referida a </w:t>
      </w:r>
      <w:r>
        <w:rPr>
          <w:rFonts w:ascii="Book Antiqua" w:hAnsi="Book Antiqua"/>
          <w:color w:val="000000"/>
          <w:szCs w:val="24"/>
          <w:lang w:val="es-PR"/>
        </w:rPr>
        <w:t>la Comisión de Asuntos Internos</w:t>
      </w:r>
    </w:p>
    <w:p w14:paraId="591A7E5B" w14:textId="4A38C71A" w:rsidR="00BE5494" w:rsidRPr="000F0666" w:rsidRDefault="00BE5494" w:rsidP="00BE5494">
      <w:pPr>
        <w:jc w:val="center"/>
        <w:rPr>
          <w:rFonts w:ascii="Book Antiqua" w:hAnsi="Book Antiqua"/>
          <w:lang w:val="es-PR"/>
        </w:rPr>
      </w:pPr>
    </w:p>
    <w:p w14:paraId="3205239D" w14:textId="77777777" w:rsidR="00BE5494" w:rsidRPr="00C7405D" w:rsidRDefault="00BE5494" w:rsidP="00BE5494">
      <w:pPr>
        <w:jc w:val="center"/>
        <w:rPr>
          <w:rFonts w:ascii="Book Antiqua" w:hAnsi="Book Antiqua"/>
          <w:b/>
          <w:sz w:val="28"/>
          <w:lang w:val="es-ES_tradnl"/>
        </w:rPr>
      </w:pPr>
      <w:r w:rsidRPr="00C7405D">
        <w:rPr>
          <w:rFonts w:ascii="Book Antiqua" w:hAnsi="Book Antiqua"/>
          <w:b/>
          <w:sz w:val="28"/>
          <w:lang w:val="es-ES_tradnl"/>
        </w:rPr>
        <w:t>RESOLUCIÓN</w:t>
      </w:r>
    </w:p>
    <w:p w14:paraId="0A33FEA1" w14:textId="77777777" w:rsidR="00BE5494" w:rsidRPr="00D53276" w:rsidRDefault="00BE5494" w:rsidP="00BE5494">
      <w:pPr>
        <w:jc w:val="both"/>
        <w:rPr>
          <w:rFonts w:ascii="Book Antiqua" w:hAnsi="Book Antiqua"/>
          <w:lang w:val="es-ES_tradnl"/>
        </w:rPr>
      </w:pPr>
    </w:p>
    <w:p w14:paraId="07BC09A2" w14:textId="069796E9" w:rsidR="00BE5494" w:rsidRDefault="00BE5494" w:rsidP="00DD6FD6">
      <w:pPr>
        <w:ind w:left="720" w:hanging="720"/>
        <w:jc w:val="both"/>
        <w:rPr>
          <w:rFonts w:ascii="Book Antiqua" w:hAnsi="Book Antiqua"/>
          <w:lang w:val="es-PR"/>
        </w:rPr>
      </w:pPr>
      <w:r w:rsidRPr="00D53276">
        <w:rPr>
          <w:rFonts w:ascii="Book Antiqua" w:hAnsi="Book Antiqua"/>
          <w:lang w:val="es-ES_tradnl"/>
        </w:rPr>
        <w:t xml:space="preserve">Para </w:t>
      </w:r>
      <w:r w:rsidRPr="00D53276">
        <w:rPr>
          <w:rFonts w:ascii="Book Antiqua" w:hAnsi="Book Antiqua"/>
          <w:lang w:val="es-PR"/>
        </w:rPr>
        <w:t xml:space="preserve">ordenar a la Comisión de Turismo de la Cámara de Representantes del </w:t>
      </w:r>
      <w:r w:rsidR="008312DD">
        <w:rPr>
          <w:rFonts w:ascii="Book Antiqua" w:hAnsi="Book Antiqua"/>
          <w:lang w:val="es-PR"/>
        </w:rPr>
        <w:t>Gobierno</w:t>
      </w:r>
      <w:r w:rsidRPr="00D53276">
        <w:rPr>
          <w:rFonts w:ascii="Book Antiqua" w:hAnsi="Book Antiqua"/>
          <w:lang w:val="es-PR"/>
        </w:rPr>
        <w:t xml:space="preserve"> de Puerto Rico, realizar una investigación sobre el estado de la industria de juegos en Puerto Rico, la posible saturación de este sector económico,</w:t>
      </w:r>
      <w:r w:rsidRPr="00D53276">
        <w:rPr>
          <w:rFonts w:ascii="Book Antiqua" w:hAnsi="Book Antiqua"/>
          <w:iCs/>
          <w:lang w:val="es-PR"/>
        </w:rPr>
        <w:t xml:space="preserve"> así como</w:t>
      </w:r>
      <w:r w:rsidRPr="00D53276">
        <w:rPr>
          <w:rFonts w:ascii="Book Antiqua" w:hAnsi="Book Antiqua"/>
          <w:lang w:val="es-PR"/>
        </w:rPr>
        <w:t xml:space="preserve"> la captación</w:t>
      </w:r>
      <w:r w:rsidRPr="00D53276">
        <w:rPr>
          <w:rFonts w:ascii="Book Antiqua" w:hAnsi="Book Antiqua"/>
          <w:iCs/>
          <w:lang w:val="es-PR"/>
        </w:rPr>
        <w:t xml:space="preserve"> del gobierno</w:t>
      </w:r>
      <w:r w:rsidRPr="00D53276">
        <w:rPr>
          <w:rFonts w:ascii="Book Antiqua" w:hAnsi="Book Antiqua"/>
          <w:lang w:val="es-PR"/>
        </w:rPr>
        <w:t xml:space="preserve"> de los ingresos provenientes de los distintos segmentos de la industria</w:t>
      </w:r>
      <w:r w:rsidRPr="00D53276">
        <w:rPr>
          <w:rFonts w:ascii="Book Antiqua" w:hAnsi="Book Antiqua"/>
          <w:iCs/>
          <w:lang w:val="es-PR"/>
        </w:rPr>
        <w:t>;</w:t>
      </w:r>
      <w:r w:rsidRPr="00D53276">
        <w:rPr>
          <w:rFonts w:ascii="Book Antiqua" w:hAnsi="Book Antiqua"/>
          <w:lang w:val="es-PR"/>
        </w:rPr>
        <w:t xml:space="preserve"> y para otros fines relacionados</w:t>
      </w:r>
      <w:r w:rsidRPr="00C7405D">
        <w:rPr>
          <w:rFonts w:ascii="Book Antiqua" w:hAnsi="Book Antiqua"/>
          <w:lang w:val="es-PR"/>
        </w:rPr>
        <w:t>.</w:t>
      </w:r>
    </w:p>
    <w:p w14:paraId="53CA4698" w14:textId="77777777" w:rsidR="00BE5494" w:rsidRPr="00C7405D" w:rsidRDefault="00BE5494" w:rsidP="00BE5494">
      <w:pPr>
        <w:ind w:hanging="360"/>
        <w:jc w:val="both"/>
        <w:rPr>
          <w:rFonts w:ascii="Book Antiqua" w:hAnsi="Book Antiqua"/>
          <w:lang w:val="es-ES_tradnl"/>
        </w:rPr>
      </w:pPr>
    </w:p>
    <w:p w14:paraId="12031EA5" w14:textId="77777777" w:rsidR="00BE5494" w:rsidRDefault="00BE5494" w:rsidP="00BE5494">
      <w:pPr>
        <w:ind w:firstLine="360"/>
        <w:jc w:val="center"/>
        <w:rPr>
          <w:rFonts w:ascii="Book Antiqua" w:hAnsi="Book Antiqua"/>
          <w:lang w:val="es-ES_tradnl"/>
        </w:rPr>
      </w:pPr>
      <w:r w:rsidRPr="00C7405D">
        <w:rPr>
          <w:rFonts w:ascii="Book Antiqua" w:hAnsi="Book Antiqua"/>
          <w:lang w:val="es-ES_tradnl"/>
        </w:rPr>
        <w:t>EXPOSICIÓN DE MOTIVOS</w:t>
      </w:r>
    </w:p>
    <w:p w14:paraId="1CBB6939" w14:textId="77777777" w:rsidR="00BE5494" w:rsidRPr="00C7405D" w:rsidRDefault="00BE5494" w:rsidP="00BE5494">
      <w:pPr>
        <w:ind w:firstLine="360"/>
        <w:jc w:val="center"/>
        <w:rPr>
          <w:rFonts w:ascii="Book Antiqua" w:hAnsi="Book Antiqua"/>
          <w:lang w:val="es-ES_tradnl"/>
        </w:rPr>
      </w:pPr>
    </w:p>
    <w:p w14:paraId="5CC07BE8" w14:textId="69BD1D97" w:rsidR="00BE5494" w:rsidRDefault="00BE5494" w:rsidP="00DD6FD6">
      <w:pPr>
        <w:ind w:firstLine="720"/>
        <w:jc w:val="both"/>
        <w:rPr>
          <w:rFonts w:ascii="Book Antiqua" w:hAnsi="Book Antiqua"/>
          <w:lang w:val="es-PR"/>
        </w:rPr>
      </w:pPr>
      <w:r w:rsidRPr="00D53276">
        <w:rPr>
          <w:rFonts w:ascii="Book Antiqua" w:hAnsi="Book Antiqua"/>
          <w:lang w:val="es-PR"/>
        </w:rPr>
        <w:t xml:space="preserve">La Ley Núm. 81-2019, según enmendada, conocida como “Ley de la Comisión de Juegos del Gobierno de Puerto Rico”, fue aprobada para, entre otras cosas, autorizar actividades que allegaran ingresos al Fondo General y que contribuyeran al desarrollo económico de la isla. De este modo, la referida ley autorizó las apuestas en eventos deportivos, ligas de juegos electrónicos, tales como </w:t>
      </w:r>
      <w:proofErr w:type="spellStart"/>
      <w:r w:rsidRPr="00D53276">
        <w:rPr>
          <w:rFonts w:ascii="Book Antiqua" w:hAnsi="Book Antiqua"/>
          <w:lang w:val="es-PR"/>
        </w:rPr>
        <w:t>eSports</w:t>
      </w:r>
      <w:proofErr w:type="spellEnd"/>
      <w:r w:rsidRPr="00D53276">
        <w:rPr>
          <w:rFonts w:ascii="Book Antiqua" w:hAnsi="Book Antiqua"/>
          <w:lang w:val="es-PR"/>
        </w:rPr>
        <w:t xml:space="preserve">, y los concursos de fantasía. Estas actividades se autorizaron por primera vez en la </w:t>
      </w:r>
      <w:r w:rsidR="00DD6FD6">
        <w:rPr>
          <w:rFonts w:ascii="Book Antiqua" w:hAnsi="Book Antiqua"/>
          <w:lang w:val="es-PR"/>
        </w:rPr>
        <w:t>I</w:t>
      </w:r>
      <w:r w:rsidRPr="00D53276">
        <w:rPr>
          <w:rFonts w:ascii="Book Antiqua" w:hAnsi="Book Antiqua"/>
          <w:lang w:val="es-PR"/>
        </w:rPr>
        <w:t xml:space="preserve">sla, siguiendo un estudio de mercado realizado por </w:t>
      </w:r>
      <w:proofErr w:type="spellStart"/>
      <w:r w:rsidRPr="00D53276">
        <w:rPr>
          <w:rFonts w:ascii="Book Antiqua" w:hAnsi="Book Antiqua"/>
          <w:lang w:val="es-PR"/>
        </w:rPr>
        <w:t>Spectrum</w:t>
      </w:r>
      <w:proofErr w:type="spellEnd"/>
      <w:r w:rsidRPr="00D53276">
        <w:rPr>
          <w:rFonts w:ascii="Book Antiqua" w:hAnsi="Book Antiqua"/>
          <w:lang w:val="es-PR"/>
        </w:rPr>
        <w:t xml:space="preserve"> </w:t>
      </w:r>
      <w:proofErr w:type="spellStart"/>
      <w:r w:rsidRPr="00D53276">
        <w:rPr>
          <w:rFonts w:ascii="Book Antiqua" w:hAnsi="Book Antiqua"/>
          <w:lang w:val="es-PR"/>
        </w:rPr>
        <w:t>Gaming</w:t>
      </w:r>
      <w:proofErr w:type="spellEnd"/>
      <w:r w:rsidRPr="00D53276">
        <w:rPr>
          <w:rFonts w:ascii="Book Antiqua" w:hAnsi="Book Antiqua"/>
          <w:lang w:val="es-PR"/>
        </w:rPr>
        <w:t xml:space="preserve"> </w:t>
      </w:r>
      <w:proofErr w:type="spellStart"/>
      <w:r w:rsidRPr="00D53276">
        <w:rPr>
          <w:rFonts w:ascii="Book Antiqua" w:hAnsi="Book Antiqua"/>
          <w:lang w:val="es-PR"/>
        </w:rPr>
        <w:t>Group</w:t>
      </w:r>
      <w:proofErr w:type="spellEnd"/>
      <w:r w:rsidRPr="00D53276">
        <w:rPr>
          <w:rFonts w:ascii="Book Antiqua" w:hAnsi="Book Antiqua"/>
          <w:iCs/>
          <w:lang w:val="es-PR"/>
        </w:rPr>
        <w:t>.</w:t>
      </w:r>
      <w:r w:rsidRPr="00D53276">
        <w:rPr>
          <w:rFonts w:ascii="Book Antiqua" w:hAnsi="Book Antiqua"/>
          <w:lang w:val="es-PR"/>
        </w:rPr>
        <w:t xml:space="preserve"> </w:t>
      </w:r>
      <w:r w:rsidRPr="00D53276">
        <w:rPr>
          <w:rFonts w:ascii="Book Antiqua" w:hAnsi="Book Antiqua"/>
          <w:iCs/>
          <w:lang w:val="es-PR"/>
        </w:rPr>
        <w:t>El mismo</w:t>
      </w:r>
      <w:r w:rsidRPr="00D53276">
        <w:rPr>
          <w:rFonts w:ascii="Book Antiqua" w:hAnsi="Book Antiqua"/>
          <w:lang w:val="es-PR"/>
        </w:rPr>
        <w:t xml:space="preserve"> estimó que las apuestas deportivas podrían generar entre $44 y $62 millones anuales. </w:t>
      </w:r>
    </w:p>
    <w:p w14:paraId="5F5E6911" w14:textId="77777777" w:rsidR="00BE5494" w:rsidRPr="00D53276" w:rsidRDefault="00BE5494" w:rsidP="00BE5494">
      <w:pPr>
        <w:ind w:firstLine="360"/>
        <w:jc w:val="both"/>
        <w:rPr>
          <w:rFonts w:ascii="Book Antiqua" w:hAnsi="Book Antiqua"/>
          <w:lang w:val="es-PR"/>
        </w:rPr>
      </w:pPr>
    </w:p>
    <w:p w14:paraId="43F19FB2" w14:textId="77777777" w:rsidR="00BE5494" w:rsidRDefault="00BE5494" w:rsidP="00DD6FD6">
      <w:pPr>
        <w:ind w:firstLine="720"/>
        <w:jc w:val="both"/>
        <w:rPr>
          <w:rFonts w:ascii="Book Antiqua" w:hAnsi="Book Antiqua"/>
          <w:lang w:val="es-PR"/>
        </w:rPr>
      </w:pPr>
      <w:r w:rsidRPr="00D53276">
        <w:rPr>
          <w:rFonts w:ascii="Book Antiqua" w:hAnsi="Book Antiqua"/>
          <w:lang w:val="es-PR"/>
        </w:rPr>
        <w:t xml:space="preserve"> Por otro lado, mediante la Ley Núm. 257-2018</w:t>
      </w:r>
      <w:r w:rsidRPr="00D53276">
        <w:rPr>
          <w:rFonts w:ascii="Book Antiqua" w:hAnsi="Book Antiqua"/>
          <w:iCs/>
          <w:lang w:val="es-PR"/>
        </w:rPr>
        <w:t>,</w:t>
      </w:r>
      <w:r w:rsidRPr="00D53276">
        <w:rPr>
          <w:rFonts w:ascii="Book Antiqua" w:hAnsi="Book Antiqua"/>
          <w:lang w:val="es-PR"/>
        </w:rPr>
        <w:t xml:space="preserve"> se autorizó </w:t>
      </w:r>
      <w:r w:rsidRPr="00D53276">
        <w:rPr>
          <w:rFonts w:ascii="Book Antiqua" w:hAnsi="Book Antiqua"/>
          <w:iCs/>
          <w:lang w:val="es-PR"/>
        </w:rPr>
        <w:t xml:space="preserve">de forma limitada, la introducción, manufactura, posesión, uso, funcionamiento, instalación y operación, de </w:t>
      </w:r>
      <w:r w:rsidRPr="00D53276">
        <w:rPr>
          <w:rFonts w:ascii="Book Antiqua" w:hAnsi="Book Antiqua"/>
          <w:lang w:val="es-PR"/>
        </w:rPr>
        <w:t>las llamadas máquinas de juegos de azar en ruta</w:t>
      </w:r>
      <w:r w:rsidRPr="00D53276">
        <w:rPr>
          <w:rFonts w:ascii="Book Antiqua" w:hAnsi="Book Antiqua"/>
          <w:iCs/>
          <w:lang w:val="es-PR"/>
        </w:rPr>
        <w:t>,</w:t>
      </w:r>
      <w:r w:rsidRPr="00D53276">
        <w:rPr>
          <w:rFonts w:ascii="Book Antiqua" w:hAnsi="Book Antiqua"/>
          <w:lang w:val="es-PR"/>
        </w:rPr>
        <w:t xml:space="preserve"> que operaban de manera ilegal en negocios a través de la isla. </w:t>
      </w:r>
      <w:r w:rsidRPr="00D53276">
        <w:rPr>
          <w:rFonts w:ascii="Book Antiqua" w:hAnsi="Book Antiqua"/>
          <w:iCs/>
          <w:lang w:val="es-PR"/>
        </w:rPr>
        <w:t>Se</w:t>
      </w:r>
      <w:r w:rsidRPr="00D53276">
        <w:rPr>
          <w:rFonts w:ascii="Book Antiqua" w:hAnsi="Book Antiqua"/>
          <w:lang w:val="es-PR"/>
        </w:rPr>
        <w:t xml:space="preserve"> autorizó un máximo de 25,000 máquinas de juegos de azar en ruta durante los primeros dos años de vigencia de la ley. Dicha suma podía aumentar cada</w:t>
      </w:r>
      <w:r w:rsidRPr="00C7405D">
        <w:rPr>
          <w:rFonts w:ascii="Book Antiqua" w:hAnsi="Book Antiqua"/>
          <w:lang w:val="es-PR"/>
        </w:rPr>
        <w:t xml:space="preserve"> año por 10,000, hasta llegar a un máximo de 45,000 máquinas, siempre y cuando se realizara un estudio que concluyera que no existe saturación en el mercado. Sobre estas </w:t>
      </w:r>
      <w:r w:rsidRPr="00C7405D">
        <w:rPr>
          <w:rFonts w:ascii="Book Antiqua" w:hAnsi="Book Antiqua"/>
          <w:lang w:val="es-PR"/>
        </w:rPr>
        <w:lastRenderedPageBreak/>
        <w:t xml:space="preserve">enmiendas de Ley, no se produjo un estimado formal de su impacto fiscal, especialmente sobre otros sectores de la industria de juegos que producen ingresos considerables para el fisco. La preocupación fue levantada por la Junta de Supervisión Fiscal mediante carta con fecha de 27 de diciembre de 2018. </w:t>
      </w:r>
    </w:p>
    <w:p w14:paraId="3508B9E3" w14:textId="77777777" w:rsidR="00BE5494" w:rsidRPr="00D53276" w:rsidRDefault="00BE5494" w:rsidP="00FB67CA">
      <w:pPr>
        <w:jc w:val="both"/>
        <w:rPr>
          <w:rFonts w:ascii="Book Antiqua" w:hAnsi="Book Antiqua"/>
          <w:lang w:val="es-PR"/>
        </w:rPr>
      </w:pPr>
    </w:p>
    <w:p w14:paraId="2AD00645" w14:textId="77D56E16" w:rsidR="00BE5494" w:rsidRDefault="00BE5494" w:rsidP="00BE5494">
      <w:pPr>
        <w:ind w:firstLine="360"/>
        <w:jc w:val="both"/>
        <w:rPr>
          <w:rFonts w:ascii="Book Antiqua" w:hAnsi="Book Antiqua"/>
          <w:lang w:val="es-PR"/>
        </w:rPr>
      </w:pPr>
      <w:r w:rsidRPr="00C7405D">
        <w:rPr>
          <w:rFonts w:ascii="Book Antiqua" w:hAnsi="Book Antiqua"/>
          <w:lang w:val="es-PR"/>
        </w:rPr>
        <w:t xml:space="preserve"> </w:t>
      </w:r>
      <w:r w:rsidR="00DD6FD6">
        <w:rPr>
          <w:rFonts w:ascii="Book Antiqua" w:hAnsi="Book Antiqua"/>
          <w:lang w:val="es-PR"/>
        </w:rPr>
        <w:tab/>
      </w:r>
      <w:r w:rsidRPr="00D53276">
        <w:rPr>
          <w:rFonts w:ascii="Book Antiqua" w:hAnsi="Book Antiqua"/>
          <w:iCs/>
          <w:lang w:val="es-PR"/>
        </w:rPr>
        <w:t>Así también</w:t>
      </w:r>
      <w:r w:rsidRPr="00D53276">
        <w:rPr>
          <w:rFonts w:ascii="Book Antiqua" w:hAnsi="Book Antiqua"/>
          <w:lang w:val="es-PR"/>
        </w:rPr>
        <w:t>, en los últimos años se ha proliferado la cantidad de juegos administrados por el Negociado de la Lotería. En lo que respecta a la Lotería Electrónica, lo que comenzó con el sorteo de la llamada “Loto”, hoy cuenta con una variedad de sorteos. Al presente, los sorteos de la Lotería Electrónica son: Loto Cash</w:t>
      </w:r>
      <w:r w:rsidR="00DD6FD6">
        <w:rPr>
          <w:rFonts w:ascii="Book Antiqua" w:hAnsi="Book Antiqua"/>
          <w:lang w:val="es-PR"/>
        </w:rPr>
        <w:t xml:space="preserve">, </w:t>
      </w:r>
      <w:proofErr w:type="spellStart"/>
      <w:r w:rsidRPr="00D53276">
        <w:rPr>
          <w:rFonts w:ascii="Book Antiqua" w:hAnsi="Book Antiqua"/>
          <w:lang w:val="es-PR"/>
        </w:rPr>
        <w:t>Power</w:t>
      </w:r>
      <w:proofErr w:type="spellEnd"/>
      <w:r w:rsidRPr="00D53276">
        <w:rPr>
          <w:rFonts w:ascii="Book Antiqua" w:hAnsi="Book Antiqua"/>
          <w:lang w:val="es-PR"/>
        </w:rPr>
        <w:t xml:space="preserve"> Ball</w:t>
      </w:r>
      <w:r w:rsidR="00DD6FD6">
        <w:rPr>
          <w:rFonts w:ascii="Book Antiqua" w:hAnsi="Book Antiqua"/>
          <w:lang w:val="es-PR"/>
        </w:rPr>
        <w:t xml:space="preserve">, </w:t>
      </w:r>
      <w:r w:rsidRPr="00D53276">
        <w:rPr>
          <w:rFonts w:ascii="Book Antiqua" w:hAnsi="Book Antiqua"/>
          <w:lang w:val="es-PR"/>
        </w:rPr>
        <w:t xml:space="preserve">Pega 2, Pega 3 y Pega 4, Kino y los juegos instantáneos. </w:t>
      </w:r>
    </w:p>
    <w:p w14:paraId="098D3F84" w14:textId="77777777" w:rsidR="00BE5494" w:rsidRPr="00D53276" w:rsidRDefault="00BE5494" w:rsidP="00BE5494">
      <w:pPr>
        <w:ind w:firstLine="360"/>
        <w:jc w:val="both"/>
        <w:rPr>
          <w:rFonts w:ascii="Book Antiqua" w:hAnsi="Book Antiqua"/>
          <w:lang w:val="es-PR"/>
        </w:rPr>
      </w:pPr>
    </w:p>
    <w:p w14:paraId="0ACA5225" w14:textId="77777777" w:rsidR="00BE5494" w:rsidRDefault="00BE5494" w:rsidP="00DD6FD6">
      <w:pPr>
        <w:ind w:firstLine="720"/>
        <w:jc w:val="both"/>
        <w:rPr>
          <w:rFonts w:ascii="Book Antiqua" w:hAnsi="Book Antiqua"/>
          <w:lang w:val="es-PR"/>
        </w:rPr>
      </w:pPr>
      <w:r w:rsidRPr="00D53276">
        <w:rPr>
          <w:rFonts w:ascii="Book Antiqua" w:hAnsi="Book Antiqua"/>
          <w:lang w:val="es-PR"/>
        </w:rPr>
        <w:t xml:space="preserve">Igualmente, en lo que respecta a la industria hípica todos </w:t>
      </w:r>
      <w:r w:rsidRPr="00D53276">
        <w:rPr>
          <w:rFonts w:ascii="Book Antiqua" w:hAnsi="Book Antiqua"/>
          <w:iCs/>
          <w:lang w:val="es-PR"/>
        </w:rPr>
        <w:t>los</w:t>
      </w:r>
      <w:r w:rsidRPr="00D53276">
        <w:rPr>
          <w:rFonts w:ascii="Book Antiqua" w:hAnsi="Book Antiqua"/>
          <w:lang w:val="es-PR"/>
        </w:rPr>
        <w:t xml:space="preserve"> días hay eventos que conllevan apuestas. Según revela el propio portal cibernético del Hipódromo Camarero, </w:t>
      </w:r>
      <w:r w:rsidRPr="00D53276">
        <w:rPr>
          <w:rFonts w:ascii="Book Antiqua" w:hAnsi="Book Antiqua"/>
          <w:iCs/>
          <w:lang w:val="es-PR"/>
        </w:rPr>
        <w:t>los</w:t>
      </w:r>
      <w:r w:rsidRPr="00D53276">
        <w:rPr>
          <w:rFonts w:ascii="Book Antiqua" w:hAnsi="Book Antiqua"/>
          <w:lang w:val="es-PR"/>
        </w:rPr>
        <w:t xml:space="preserve"> siete días de la semana se celebran carreras bajo el llamado Pool-Pote, Pool o </w:t>
      </w:r>
      <w:proofErr w:type="spellStart"/>
      <w:r w:rsidRPr="00D53276">
        <w:rPr>
          <w:rFonts w:ascii="Book Antiqua" w:hAnsi="Book Antiqua"/>
          <w:lang w:val="es-PR"/>
        </w:rPr>
        <w:t>Simulcast</w:t>
      </w:r>
      <w:proofErr w:type="spellEnd"/>
      <w:r w:rsidRPr="00D53276">
        <w:rPr>
          <w:rFonts w:ascii="Book Antiqua" w:hAnsi="Book Antiqua"/>
          <w:lang w:val="es-PR"/>
        </w:rPr>
        <w:t>. Incluso, en la actualidad se puede apostar a través de dicho portal o bajando la aplicación</w:t>
      </w:r>
      <w:r w:rsidRPr="00C7405D">
        <w:rPr>
          <w:rFonts w:ascii="Book Antiqua" w:hAnsi="Book Antiqua"/>
          <w:lang w:val="es-PR"/>
        </w:rPr>
        <w:t xml:space="preserve"> llamada “Gana Donde Sea”, sin necesidad de acudir a una Agencia Hípica. Asimismo, por la última década, tanto el Hipódromo como las agencias hípicas cuentan con terminales del sistema de video juegos conocido como “Lucky Cash”. </w:t>
      </w:r>
    </w:p>
    <w:p w14:paraId="0EBE08D8" w14:textId="77777777" w:rsidR="00BE5494" w:rsidRPr="00C7405D" w:rsidRDefault="00BE5494" w:rsidP="00BE5494">
      <w:pPr>
        <w:ind w:firstLine="360"/>
        <w:jc w:val="both"/>
        <w:rPr>
          <w:rFonts w:ascii="Book Antiqua" w:hAnsi="Book Antiqua"/>
          <w:lang w:val="es-PR"/>
        </w:rPr>
      </w:pPr>
    </w:p>
    <w:p w14:paraId="2B66112D" w14:textId="0091EDBF" w:rsidR="00BE5494" w:rsidRPr="00C7405D" w:rsidRDefault="00FB67CA" w:rsidP="00DD6FD6">
      <w:pPr>
        <w:ind w:firstLine="720"/>
        <w:jc w:val="both"/>
        <w:rPr>
          <w:rFonts w:ascii="Book Antiqua" w:hAnsi="Book Antiqua"/>
          <w:lang w:val="es-PR"/>
        </w:rPr>
      </w:pPr>
      <w:r>
        <w:rPr>
          <w:rFonts w:ascii="Book Antiqua" w:hAnsi="Book Antiqua"/>
          <w:lang w:val="es-PR"/>
        </w:rPr>
        <w:t>Por todo lo antes expuesto,</w:t>
      </w:r>
      <w:r w:rsidR="00BE5494" w:rsidRPr="00C7405D">
        <w:rPr>
          <w:rFonts w:ascii="Book Antiqua" w:hAnsi="Book Antiqua"/>
          <w:lang w:val="es-PR"/>
        </w:rPr>
        <w:t xml:space="preserve"> esta Cámara de Representantes estima meritorio investigar el estado de la industria de juegos en la isla, la posible saturación de este sector económico, así como los ingresos para el estado que cada segmento de la industria representa.</w:t>
      </w:r>
    </w:p>
    <w:p w14:paraId="05ADA280" w14:textId="77777777" w:rsidR="00BE5494" w:rsidRPr="00C7405D" w:rsidRDefault="00BE5494" w:rsidP="00BE5494">
      <w:pPr>
        <w:ind w:firstLine="360"/>
        <w:jc w:val="both"/>
        <w:rPr>
          <w:rFonts w:ascii="Book Antiqua" w:hAnsi="Book Antiqua"/>
          <w:lang w:val="es-ES_tradnl"/>
        </w:rPr>
      </w:pPr>
    </w:p>
    <w:p w14:paraId="713FAFFC" w14:textId="77777777" w:rsidR="00BE5494" w:rsidRPr="00C7405D" w:rsidRDefault="00BE5494" w:rsidP="000F0666">
      <w:pPr>
        <w:spacing w:line="480" w:lineRule="auto"/>
        <w:rPr>
          <w:rFonts w:ascii="Book Antiqua" w:hAnsi="Book Antiqua"/>
          <w:i/>
          <w:lang w:val="es-ES_tradnl"/>
        </w:rPr>
      </w:pPr>
      <w:r w:rsidRPr="00C7405D">
        <w:rPr>
          <w:rFonts w:ascii="Book Antiqua" w:hAnsi="Book Antiqua"/>
          <w:i/>
          <w:lang w:val="es-ES_tradnl"/>
        </w:rPr>
        <w:t>RESUÉLVESE POR LA CÁMARA DE REPRESENTANTES DE PUERTO RICO:</w:t>
      </w:r>
    </w:p>
    <w:p w14:paraId="042A87D0" w14:textId="67391275" w:rsidR="00BE5494" w:rsidRPr="00D53276" w:rsidRDefault="00BE5494" w:rsidP="000F0666">
      <w:pPr>
        <w:spacing w:line="480" w:lineRule="auto"/>
        <w:ind w:firstLine="360"/>
        <w:jc w:val="both"/>
        <w:rPr>
          <w:rFonts w:ascii="Book Antiqua" w:hAnsi="Book Antiqua"/>
          <w:lang w:val="es-PR"/>
        </w:rPr>
      </w:pPr>
      <w:r w:rsidRPr="00D53276">
        <w:rPr>
          <w:rFonts w:ascii="Book Antiqua" w:hAnsi="Book Antiqua"/>
          <w:lang w:val="es-PR"/>
        </w:rPr>
        <w:t xml:space="preserve">Sección 1.- Se ordena a la Comisión de Turismo de la Cámara de Representantes </w:t>
      </w:r>
      <w:r w:rsidR="005072BB">
        <w:rPr>
          <w:rFonts w:ascii="Book Antiqua" w:hAnsi="Book Antiqua"/>
          <w:lang w:val="es-PR"/>
        </w:rPr>
        <w:t>del Gobierno</w:t>
      </w:r>
      <w:r w:rsidRPr="00D53276">
        <w:rPr>
          <w:rFonts w:ascii="Book Antiqua" w:hAnsi="Book Antiqua"/>
          <w:lang w:val="es-PR"/>
        </w:rPr>
        <w:t xml:space="preserve"> de Puerto Rico, realizar una investigación</w:t>
      </w:r>
      <w:r>
        <w:rPr>
          <w:rFonts w:ascii="Book Antiqua" w:hAnsi="Book Antiqua"/>
          <w:lang w:val="es-PR"/>
        </w:rPr>
        <w:t xml:space="preserve"> </w:t>
      </w:r>
      <w:r w:rsidRPr="00D53276">
        <w:rPr>
          <w:rFonts w:ascii="Book Antiqua" w:hAnsi="Book Antiqua"/>
          <w:lang w:val="es-PR"/>
        </w:rPr>
        <w:t>sobre el estado de la industria de juegos en Puerto Rico, la posible saturación de este sector económico</w:t>
      </w:r>
      <w:r w:rsidRPr="00D53276">
        <w:rPr>
          <w:rFonts w:ascii="Book Antiqua" w:hAnsi="Book Antiqua"/>
          <w:iCs/>
          <w:lang w:val="es-PR"/>
        </w:rPr>
        <w:t>,</w:t>
      </w:r>
      <w:r w:rsidRPr="00D53276">
        <w:rPr>
          <w:rFonts w:ascii="Book Antiqua" w:hAnsi="Book Antiqua"/>
          <w:lang w:val="es-PR"/>
        </w:rPr>
        <w:t xml:space="preserve"> </w:t>
      </w:r>
      <w:r w:rsidRPr="00D53276">
        <w:rPr>
          <w:rFonts w:ascii="Book Antiqua" w:hAnsi="Book Antiqua"/>
          <w:iCs/>
          <w:lang w:val="es-PR"/>
        </w:rPr>
        <w:t>así como</w:t>
      </w:r>
      <w:r w:rsidRPr="00D53276">
        <w:rPr>
          <w:rFonts w:ascii="Book Antiqua" w:hAnsi="Book Antiqua"/>
          <w:lang w:val="es-PR"/>
        </w:rPr>
        <w:t xml:space="preserve"> la captación</w:t>
      </w:r>
      <w:r w:rsidRPr="00D53276">
        <w:rPr>
          <w:rFonts w:ascii="Book Antiqua" w:hAnsi="Book Antiqua"/>
          <w:iCs/>
          <w:lang w:val="es-PR"/>
        </w:rPr>
        <w:t xml:space="preserve"> del gobierno</w:t>
      </w:r>
      <w:r w:rsidRPr="00D53276">
        <w:rPr>
          <w:rFonts w:ascii="Book Antiqua" w:hAnsi="Book Antiqua"/>
          <w:lang w:val="es-PR"/>
        </w:rPr>
        <w:t xml:space="preserve"> de los ingresos provenientes de los distintos segmentos de la industria.</w:t>
      </w:r>
    </w:p>
    <w:p w14:paraId="68814F62" w14:textId="1B76A0DA" w:rsidR="005072BB" w:rsidRPr="00A80AFE" w:rsidRDefault="005072BB" w:rsidP="000F0666">
      <w:pPr>
        <w:spacing w:line="480" w:lineRule="auto"/>
        <w:ind w:firstLine="567"/>
        <w:jc w:val="both"/>
        <w:rPr>
          <w:rFonts w:ascii="Book Antiqua" w:hAnsi="Book Antiqua"/>
          <w:lang w:val="es-ES"/>
        </w:rPr>
      </w:pPr>
      <w:r w:rsidRPr="00A80AFE">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w:t>
      </w:r>
      <w:r w:rsidRPr="00A80AFE">
        <w:rPr>
          <w:rFonts w:ascii="Book Antiqua" w:hAnsi="Book Antiqua"/>
          <w:lang w:val="es-ES"/>
        </w:rPr>
        <w:lastRenderedPageBreak/>
        <w:t xml:space="preserve">clase de relación o conexión en los asuntos especificados en la Sección 1 de esta Resolución.  </w:t>
      </w:r>
    </w:p>
    <w:p w14:paraId="43CF425C" w14:textId="77777777" w:rsidR="005072BB" w:rsidRPr="00A80AFE" w:rsidRDefault="005072BB" w:rsidP="000F0666">
      <w:pPr>
        <w:spacing w:line="480" w:lineRule="auto"/>
        <w:ind w:firstLine="567"/>
        <w:jc w:val="both"/>
        <w:rPr>
          <w:rFonts w:ascii="Book Antiqua" w:hAnsi="Book Antiqua"/>
          <w:lang w:val="es-ES_tradnl"/>
        </w:rPr>
      </w:pPr>
      <w:r w:rsidRPr="00A80AF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0131A283" w14:textId="79FA89E5" w:rsidR="005072BB" w:rsidRPr="00A80AFE" w:rsidRDefault="005072BB" w:rsidP="000F0666">
      <w:pPr>
        <w:spacing w:line="480" w:lineRule="auto"/>
        <w:ind w:firstLine="567"/>
        <w:jc w:val="both"/>
        <w:rPr>
          <w:rFonts w:ascii="Book Antiqua" w:hAnsi="Book Antiqua"/>
          <w:lang w:val="es-ES_tradnl"/>
        </w:rPr>
      </w:pPr>
      <w:r w:rsidRPr="00A80AFE">
        <w:rPr>
          <w:rFonts w:ascii="Book Antiqua" w:hAnsi="Book Antiqua"/>
          <w:lang w:val="es-ES_tradnl"/>
        </w:rPr>
        <w:t xml:space="preserve">Sección 4.-La Comisión rendirá a la Cámara de Representantes de Puerto Rico los informes parciales que estime necesarios o convenientes en los que incluya sus hallazgos, conclusiones y </w:t>
      </w:r>
      <w:proofErr w:type="gramStart"/>
      <w:r>
        <w:rPr>
          <w:rFonts w:ascii="Book Antiqua" w:hAnsi="Book Antiqua"/>
          <w:lang w:val="es-ES_tradnl"/>
        </w:rPr>
        <w:t>recomendaciones</w:t>
      </w:r>
      <w:r w:rsidR="00717EEF">
        <w:rPr>
          <w:rFonts w:ascii="Book Antiqua" w:hAnsi="Book Antiqua"/>
          <w:i/>
          <w:iCs/>
          <w:u w:val="single"/>
          <w:lang w:val="es-ES_tradnl"/>
        </w:rPr>
        <w:t>;</w:t>
      </w:r>
      <w:r w:rsidRPr="00717EEF">
        <w:rPr>
          <w:rFonts w:ascii="Book Antiqua" w:hAnsi="Book Antiqua"/>
          <w:strike/>
          <w:lang w:val="es-ES_tradnl"/>
        </w:rPr>
        <w:t>.</w:t>
      </w:r>
      <w:proofErr w:type="gramEnd"/>
      <w:r w:rsidRPr="00717EEF">
        <w:rPr>
          <w:rFonts w:ascii="Book Antiqua" w:hAnsi="Book Antiqua"/>
          <w:strike/>
          <w:lang w:val="es-ES_tradnl"/>
        </w:rPr>
        <w:t xml:space="preserve"> Asimismo,</w:t>
      </w:r>
      <w:r w:rsidRPr="00A80AFE">
        <w:rPr>
          <w:rFonts w:ascii="Book Antiqua" w:hAnsi="Book Antiqua"/>
          <w:lang w:val="es-ES_tradnl"/>
        </w:rPr>
        <w:t xml:space="preserve"> </w:t>
      </w:r>
      <w:r w:rsidR="00717EEF">
        <w:rPr>
          <w:rFonts w:ascii="Book Antiqua" w:hAnsi="Book Antiqua"/>
          <w:i/>
          <w:iCs/>
          <w:u w:val="single"/>
          <w:lang w:val="es-ES_tradnl"/>
        </w:rPr>
        <w:t>asimismo,</w:t>
      </w:r>
      <w:r w:rsidR="00717EEF">
        <w:rPr>
          <w:rFonts w:ascii="Book Antiqua" w:hAnsi="Book Antiqua"/>
          <w:lang w:val="es-ES_tradnl"/>
        </w:rPr>
        <w:t xml:space="preserve"> </w:t>
      </w:r>
      <w:r w:rsidRPr="00A80AFE">
        <w:rPr>
          <w:rFonts w:ascii="Book Antiqua" w:hAnsi="Book Antiqua"/>
          <w:lang w:val="es-ES_tradnl"/>
        </w:rPr>
        <w:t xml:space="preserve">someterá un informe final, </w:t>
      </w:r>
      <w:r>
        <w:rPr>
          <w:rFonts w:ascii="Book Antiqua" w:hAnsi="Book Antiqua"/>
          <w:lang w:val="es-ES_tradnl"/>
        </w:rPr>
        <w:t>dentro de ciento ochenta (180) días</w:t>
      </w:r>
      <w:r w:rsidR="00717EEF">
        <w:rPr>
          <w:rFonts w:ascii="Book Antiqua" w:hAnsi="Book Antiqua"/>
          <w:i/>
          <w:iCs/>
          <w:u w:val="single"/>
          <w:lang w:val="es-ES_tradnl"/>
        </w:rPr>
        <w:t>, contados a partir</w:t>
      </w:r>
      <w:r>
        <w:rPr>
          <w:rFonts w:ascii="Book Antiqua" w:hAnsi="Book Antiqua"/>
          <w:lang w:val="es-ES_tradnl"/>
        </w:rPr>
        <w:t xml:space="preserve"> </w:t>
      </w:r>
      <w:r w:rsidRPr="0095401E">
        <w:rPr>
          <w:rFonts w:ascii="Book Antiqua" w:hAnsi="Book Antiqua"/>
          <w:lang w:val="es-ES_tradnl"/>
        </w:rPr>
        <w:t>de</w:t>
      </w:r>
      <w:r w:rsidR="00717EEF">
        <w:rPr>
          <w:rFonts w:ascii="Book Antiqua" w:hAnsi="Book Antiqua"/>
          <w:lang w:val="es-ES_tradnl"/>
        </w:rPr>
        <w:t xml:space="preserve"> </w:t>
      </w:r>
      <w:r w:rsidR="00717EEF">
        <w:rPr>
          <w:rFonts w:ascii="Book Antiqua" w:hAnsi="Book Antiqua"/>
          <w:i/>
          <w:iCs/>
          <w:u w:val="single"/>
          <w:lang w:val="es-ES_tradnl"/>
        </w:rPr>
        <w:t>la</w:t>
      </w:r>
      <w:r w:rsidRPr="0095401E">
        <w:rPr>
          <w:rFonts w:ascii="Book Antiqua" w:hAnsi="Book Antiqua"/>
          <w:lang w:val="es-ES_tradnl"/>
        </w:rPr>
        <w:t xml:space="preserve"> aprobación de esta Resolución</w:t>
      </w:r>
      <w:r>
        <w:rPr>
          <w:lang w:val="es-ES_tradnl"/>
        </w:rPr>
        <w:t>.</w:t>
      </w:r>
    </w:p>
    <w:p w14:paraId="68341BF5" w14:textId="77777777" w:rsidR="005072BB" w:rsidRPr="00A80AFE" w:rsidRDefault="005072BB" w:rsidP="000F0666">
      <w:pPr>
        <w:spacing w:line="480" w:lineRule="auto"/>
        <w:ind w:firstLine="360"/>
        <w:jc w:val="both"/>
        <w:rPr>
          <w:rFonts w:ascii="Book Antiqua" w:hAnsi="Book Antiqua"/>
          <w:lang w:val="es-PR"/>
        </w:rPr>
      </w:pPr>
      <w:r w:rsidRPr="00A80AFE">
        <w:rPr>
          <w:rFonts w:ascii="Book Antiqua" w:hAnsi="Book Antiqua"/>
          <w:lang w:val="es-ES_tradnl"/>
        </w:rPr>
        <w:t>Sección 5.-Esta Resolución comenzará a regir inmediatamente después de su aprobación.</w:t>
      </w:r>
    </w:p>
    <w:p w14:paraId="5CD67C09" w14:textId="322171D4" w:rsidR="00BE5494" w:rsidRPr="005072BB" w:rsidRDefault="00BE5494" w:rsidP="000F0666">
      <w:pPr>
        <w:spacing w:line="480" w:lineRule="auto"/>
        <w:ind w:firstLine="360"/>
        <w:jc w:val="both"/>
        <w:rPr>
          <w:rFonts w:ascii="Book Antiqua" w:hAnsi="Book Antiqua"/>
          <w:b/>
          <w:sz w:val="28"/>
          <w:lang w:val="es-PR"/>
        </w:rPr>
      </w:pPr>
    </w:p>
    <w:p w14:paraId="61093857" w14:textId="77777777" w:rsidR="00435C92" w:rsidRPr="00BE5494" w:rsidRDefault="00435C92" w:rsidP="000F0666">
      <w:pPr>
        <w:spacing w:line="480" w:lineRule="auto"/>
        <w:rPr>
          <w:lang w:val="es-PR"/>
        </w:rPr>
      </w:pPr>
    </w:p>
    <w:sectPr w:rsidR="00435C92" w:rsidRPr="00BE5494" w:rsidSect="008312DD">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58953" w14:textId="77777777" w:rsidR="00E85473" w:rsidRDefault="00E85473">
      <w:r>
        <w:separator/>
      </w:r>
    </w:p>
  </w:endnote>
  <w:endnote w:type="continuationSeparator" w:id="0">
    <w:p w14:paraId="5B66956E" w14:textId="77777777" w:rsidR="00E85473" w:rsidRDefault="00E85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F83D9" w14:textId="77777777" w:rsidR="00E85473" w:rsidRDefault="00E85473">
      <w:r>
        <w:separator/>
      </w:r>
    </w:p>
  </w:footnote>
  <w:footnote w:type="continuationSeparator" w:id="0">
    <w:p w14:paraId="526BFFA3" w14:textId="77777777" w:rsidR="00E85473" w:rsidRDefault="00E85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362E7" w14:textId="77777777" w:rsidR="00BE5494" w:rsidRDefault="00BE549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6614" w14:textId="1FEBB8E1" w:rsidR="00717EEF" w:rsidRPr="00717EEF" w:rsidRDefault="00717EEF" w:rsidP="00717EEF">
    <w:pPr>
      <w:pStyle w:val="Header"/>
      <w:jc w:val="center"/>
      <w:rPr>
        <w:rFonts w:ascii="Book Antiqua" w:hAnsi="Book Antiqua"/>
      </w:rPr>
    </w:pPr>
    <w:r>
      <w:rPr>
        <w:rFonts w:ascii="Book Antiqua" w:hAnsi="Book Antiqua"/>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494"/>
    <w:rsid w:val="000F0666"/>
    <w:rsid w:val="00350428"/>
    <w:rsid w:val="00381488"/>
    <w:rsid w:val="00414BE4"/>
    <w:rsid w:val="00435C92"/>
    <w:rsid w:val="00440923"/>
    <w:rsid w:val="005072BB"/>
    <w:rsid w:val="006D361C"/>
    <w:rsid w:val="00717EEF"/>
    <w:rsid w:val="007255B3"/>
    <w:rsid w:val="007B6BD4"/>
    <w:rsid w:val="008312DD"/>
    <w:rsid w:val="00846529"/>
    <w:rsid w:val="009B3D6F"/>
    <w:rsid w:val="00BE5494"/>
    <w:rsid w:val="00DA3A36"/>
    <w:rsid w:val="00DD6FD6"/>
    <w:rsid w:val="00E06AE9"/>
    <w:rsid w:val="00E85473"/>
    <w:rsid w:val="00FB6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BF1B2"/>
  <w15:chartTrackingRefBased/>
  <w15:docId w15:val="{56067D01-D87A-4F80-8A69-11D7FB900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49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E549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E549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E549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E549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E549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E549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E549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E549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E549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4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54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54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54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4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4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4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4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494"/>
    <w:rPr>
      <w:rFonts w:eastAsiaTheme="majorEastAsia" w:cstheme="majorBidi"/>
      <w:color w:val="272727" w:themeColor="text1" w:themeTint="D8"/>
    </w:rPr>
  </w:style>
  <w:style w:type="paragraph" w:styleId="Title">
    <w:name w:val="Title"/>
    <w:basedOn w:val="Normal"/>
    <w:next w:val="Normal"/>
    <w:link w:val="TitleChar"/>
    <w:uiPriority w:val="10"/>
    <w:qFormat/>
    <w:rsid w:val="00BE549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E54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49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E54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49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E5494"/>
    <w:rPr>
      <w:i/>
      <w:iCs/>
      <w:color w:val="404040" w:themeColor="text1" w:themeTint="BF"/>
    </w:rPr>
  </w:style>
  <w:style w:type="paragraph" w:styleId="ListParagraph">
    <w:name w:val="List Paragraph"/>
    <w:basedOn w:val="Normal"/>
    <w:uiPriority w:val="34"/>
    <w:qFormat/>
    <w:rsid w:val="00BE549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E5494"/>
    <w:rPr>
      <w:i/>
      <w:iCs/>
      <w:color w:val="0F4761" w:themeColor="accent1" w:themeShade="BF"/>
    </w:rPr>
  </w:style>
  <w:style w:type="paragraph" w:styleId="IntenseQuote">
    <w:name w:val="Intense Quote"/>
    <w:basedOn w:val="Normal"/>
    <w:next w:val="Normal"/>
    <w:link w:val="IntenseQuoteChar"/>
    <w:uiPriority w:val="30"/>
    <w:qFormat/>
    <w:rsid w:val="00BE549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E5494"/>
    <w:rPr>
      <w:i/>
      <w:iCs/>
      <w:color w:val="0F4761" w:themeColor="accent1" w:themeShade="BF"/>
    </w:rPr>
  </w:style>
  <w:style w:type="character" w:styleId="IntenseReference">
    <w:name w:val="Intense Reference"/>
    <w:basedOn w:val="DefaultParagraphFont"/>
    <w:uiPriority w:val="32"/>
    <w:qFormat/>
    <w:rsid w:val="00BE5494"/>
    <w:rPr>
      <w:b/>
      <w:bCs/>
      <w:smallCaps/>
      <w:color w:val="0F4761" w:themeColor="accent1" w:themeShade="BF"/>
      <w:spacing w:val="5"/>
    </w:rPr>
  </w:style>
  <w:style w:type="paragraph" w:customStyle="1" w:styleId="Title2">
    <w:name w:val="Title2"/>
    <w:basedOn w:val="Normal"/>
    <w:next w:val="Normal"/>
    <w:rsid w:val="00BE5494"/>
    <w:pPr>
      <w:tabs>
        <w:tab w:val="left" w:pos="648"/>
        <w:tab w:val="right" w:pos="7776"/>
        <w:tab w:val="left" w:pos="7848"/>
      </w:tabs>
    </w:pPr>
  </w:style>
  <w:style w:type="paragraph" w:styleId="Header">
    <w:name w:val="header"/>
    <w:basedOn w:val="Normal"/>
    <w:link w:val="HeaderChar"/>
    <w:rsid w:val="00BE5494"/>
    <w:pPr>
      <w:tabs>
        <w:tab w:val="center" w:pos="4320"/>
        <w:tab w:val="right" w:pos="8640"/>
      </w:tabs>
    </w:pPr>
  </w:style>
  <w:style w:type="character" w:customStyle="1" w:styleId="HeaderChar">
    <w:name w:val="Header Char"/>
    <w:basedOn w:val="DefaultParagraphFont"/>
    <w:link w:val="Header"/>
    <w:rsid w:val="00BE5494"/>
    <w:rPr>
      <w:rFonts w:ascii="Times New Roman" w:eastAsia="Times New Roman" w:hAnsi="Times New Roman" w:cs="Times New Roman"/>
      <w:kern w:val="0"/>
      <w:szCs w:val="20"/>
      <w14:ligatures w14:val="none"/>
    </w:rPr>
  </w:style>
  <w:style w:type="character" w:styleId="PageNumber">
    <w:name w:val="page number"/>
    <w:basedOn w:val="DefaultParagraphFont"/>
    <w:rsid w:val="00BE5494"/>
  </w:style>
  <w:style w:type="paragraph" w:styleId="Footer">
    <w:name w:val="footer"/>
    <w:basedOn w:val="Normal"/>
    <w:link w:val="FooterChar"/>
    <w:uiPriority w:val="99"/>
    <w:unhideWhenUsed/>
    <w:rsid w:val="008312DD"/>
    <w:pPr>
      <w:tabs>
        <w:tab w:val="center" w:pos="4680"/>
        <w:tab w:val="right" w:pos="9360"/>
      </w:tabs>
    </w:pPr>
  </w:style>
  <w:style w:type="character" w:customStyle="1" w:styleId="FooterChar">
    <w:name w:val="Footer Char"/>
    <w:basedOn w:val="DefaultParagraphFont"/>
    <w:link w:val="Footer"/>
    <w:uiPriority w:val="99"/>
    <w:rsid w:val="008312DD"/>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746</Words>
  <Characters>4256</Characters>
  <Application>Microsoft Office Word</Application>
  <DocSecurity>0</DocSecurity>
  <Lines>35</Lines>
  <Paragraphs>9</Paragraphs>
  <ScaleCrop>false</ScaleCrop>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Miguel A. Candelario Piñeiro</cp:lastModifiedBy>
  <cp:revision>5</cp:revision>
  <dcterms:created xsi:type="dcterms:W3CDTF">2025-09-24T15:54:00Z</dcterms:created>
  <dcterms:modified xsi:type="dcterms:W3CDTF">2025-11-18T15:32:00Z</dcterms:modified>
</cp:coreProperties>
</file>