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4C9C328B" w:rsidR="00E53159" w:rsidRDefault="00295BAE">
      <w:pPr>
        <w:jc w:val="center"/>
        <w:rPr>
          <w:rFonts w:ascii="Book Antiqua" w:eastAsia="Book Antiqua" w:hAnsi="Book Antiqua" w:cs="Book Antiqua"/>
          <w:sz w:val="36"/>
          <w:szCs w:val="36"/>
        </w:rPr>
      </w:pPr>
      <w:r>
        <w:rPr>
          <w:rFonts w:ascii="Book Antiqua" w:eastAsia="Book Antiqua" w:hAnsi="Book Antiqua" w:cs="Book Antiqua"/>
          <w:sz w:val="36"/>
          <w:szCs w:val="36"/>
        </w:rPr>
        <w:t>GOBIERNO</w:t>
      </w:r>
      <w:r w:rsidR="00337B1B">
        <w:rPr>
          <w:rFonts w:ascii="Book Antiqua" w:eastAsia="Book Antiqua" w:hAnsi="Book Antiqua" w:cs="Book Antiqua"/>
          <w:sz w:val="36"/>
          <w:szCs w:val="36"/>
        </w:rPr>
        <w:t xml:space="preserve"> DE PUERTO RICO</w:t>
      </w:r>
    </w:p>
    <w:p w14:paraId="00000002" w14:textId="77777777" w:rsidR="00E53159" w:rsidRDefault="00337B1B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sz w:val="28"/>
          <w:szCs w:val="28"/>
        </w:rPr>
        <w:t xml:space="preserve">                                                                                                </w:t>
      </w:r>
    </w:p>
    <w:p w14:paraId="00000003" w14:textId="77777777" w:rsidR="00E53159" w:rsidRDefault="00E53159">
      <w:pPr>
        <w:jc w:val="center"/>
        <w:rPr>
          <w:rFonts w:ascii="Book Antiqua" w:eastAsia="Book Antiqua" w:hAnsi="Book Antiqua" w:cs="Book Antiqua"/>
        </w:rPr>
      </w:pPr>
    </w:p>
    <w:p w14:paraId="00000004" w14:textId="77777777" w:rsidR="00E53159" w:rsidRDefault="00337B1B">
      <w:pPr>
        <w:pBdr>
          <w:top w:val="nil"/>
          <w:left w:val="nil"/>
          <w:bottom w:val="nil"/>
          <w:right w:val="nil"/>
          <w:between w:val="nil"/>
        </w:pBdr>
        <w:tabs>
          <w:tab w:val="left" w:pos="648"/>
          <w:tab w:val="left" w:pos="7848"/>
          <w:tab w:val="right" w:pos="9360"/>
          <w:tab w:val="left" w:pos="7848"/>
        </w:tabs>
        <w:rPr>
          <w:rFonts w:ascii="Book Antiqua" w:eastAsia="Book Antiqua" w:hAnsi="Book Antiqua" w:cs="Book Antiqua"/>
          <w:color w:val="000000"/>
        </w:rPr>
      </w:pPr>
      <w:r>
        <w:rPr>
          <w:rFonts w:ascii="Book Antiqua" w:eastAsia="Book Antiqua" w:hAnsi="Book Antiqua" w:cs="Book Antiqua"/>
          <w:color w:val="000000"/>
        </w:rPr>
        <w:t>20</w:t>
      </w:r>
      <w:r>
        <w:rPr>
          <w:rFonts w:ascii="Book Antiqua" w:eastAsia="Book Antiqua" w:hAnsi="Book Antiqua" w:cs="Book Antiqua"/>
          <w:color w:val="000000"/>
          <w:vertAlign w:val="superscript"/>
        </w:rPr>
        <w:t xml:space="preserve">ma. </w:t>
      </w:r>
      <w:r>
        <w:rPr>
          <w:rFonts w:ascii="Book Antiqua" w:eastAsia="Book Antiqua" w:hAnsi="Book Antiqua" w:cs="Book Antiqua"/>
          <w:color w:val="000000"/>
        </w:rPr>
        <w:t>Asamblea</w:t>
      </w:r>
      <w:r>
        <w:rPr>
          <w:rFonts w:ascii="Book Antiqua" w:eastAsia="Book Antiqua" w:hAnsi="Book Antiqua" w:cs="Book Antiqua"/>
          <w:color w:val="000000"/>
        </w:rPr>
        <w:tab/>
      </w:r>
      <w:r>
        <w:rPr>
          <w:rFonts w:ascii="Book Antiqua" w:eastAsia="Book Antiqua" w:hAnsi="Book Antiqua" w:cs="Book Antiqua"/>
        </w:rPr>
        <w:t>2</w:t>
      </w:r>
      <w:r>
        <w:rPr>
          <w:rFonts w:ascii="Book Antiqua" w:eastAsia="Book Antiqua" w:hAnsi="Book Antiqua" w:cs="Book Antiqua"/>
          <w:vertAlign w:val="superscript"/>
        </w:rPr>
        <w:t>da</w:t>
      </w:r>
      <w:r>
        <w:rPr>
          <w:rFonts w:ascii="Book Antiqua" w:eastAsia="Book Antiqua" w:hAnsi="Book Antiqua" w:cs="Book Antiqua"/>
          <w:color w:val="000000"/>
          <w:vertAlign w:val="superscript"/>
        </w:rPr>
        <w:t xml:space="preserve">. </w:t>
      </w:r>
      <w:r>
        <w:rPr>
          <w:rFonts w:ascii="Book Antiqua" w:eastAsia="Book Antiqua" w:hAnsi="Book Antiqua" w:cs="Book Antiqua"/>
          <w:color w:val="000000"/>
        </w:rPr>
        <w:t>Sesión</w:t>
      </w:r>
    </w:p>
    <w:p w14:paraId="00000005" w14:textId="77777777" w:rsidR="00E53159" w:rsidRDefault="00337B1B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rPr>
          <w:rFonts w:ascii="Book Antiqua" w:eastAsia="Book Antiqua" w:hAnsi="Book Antiqua" w:cs="Book Antiqua"/>
          <w:color w:val="000000"/>
        </w:rPr>
      </w:pPr>
      <w:r>
        <w:rPr>
          <w:rFonts w:ascii="Book Antiqua" w:eastAsia="Book Antiqua" w:hAnsi="Book Antiqua" w:cs="Book Antiqua"/>
          <w:color w:val="000000"/>
        </w:rPr>
        <w:tab/>
        <w:t>Legislativa</w:t>
      </w:r>
      <w:r>
        <w:rPr>
          <w:rFonts w:ascii="Book Antiqua" w:eastAsia="Book Antiqua" w:hAnsi="Book Antiqua" w:cs="Book Antiqua"/>
          <w:color w:val="000000"/>
        </w:rPr>
        <w:tab/>
        <w:t xml:space="preserve">          </w:t>
      </w:r>
      <w:r>
        <w:rPr>
          <w:rFonts w:ascii="Book Antiqua" w:eastAsia="Book Antiqua" w:hAnsi="Book Antiqua" w:cs="Book Antiqua"/>
          <w:color w:val="000000"/>
        </w:rPr>
        <w:tab/>
      </w:r>
      <w:r>
        <w:rPr>
          <w:rFonts w:ascii="Book Antiqua" w:eastAsia="Book Antiqua" w:hAnsi="Book Antiqua" w:cs="Book Antiqua"/>
          <w:color w:val="000000"/>
        </w:rPr>
        <w:tab/>
      </w:r>
      <w:r>
        <w:rPr>
          <w:rFonts w:ascii="Book Antiqua" w:eastAsia="Book Antiqua" w:hAnsi="Book Antiqua" w:cs="Book Antiqua"/>
          <w:color w:val="000000"/>
        </w:rPr>
        <w:tab/>
      </w:r>
      <w:r>
        <w:rPr>
          <w:rFonts w:ascii="Book Antiqua" w:eastAsia="Book Antiqua" w:hAnsi="Book Antiqua" w:cs="Book Antiqua"/>
          <w:color w:val="000000"/>
        </w:rPr>
        <w:tab/>
      </w:r>
      <w:r>
        <w:rPr>
          <w:rFonts w:ascii="Book Antiqua" w:eastAsia="Book Antiqua" w:hAnsi="Book Antiqua" w:cs="Book Antiqua"/>
          <w:color w:val="000000"/>
        </w:rPr>
        <w:tab/>
        <w:t xml:space="preserve">                                         Ordinaria</w:t>
      </w:r>
    </w:p>
    <w:p w14:paraId="00000006" w14:textId="77777777" w:rsidR="00E53159" w:rsidRDefault="00E53159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rPr>
          <w:rFonts w:ascii="Book Antiqua" w:eastAsia="Book Antiqua" w:hAnsi="Book Antiqua" w:cs="Book Antiqua"/>
          <w:color w:val="000000"/>
        </w:rPr>
      </w:pPr>
    </w:p>
    <w:p w14:paraId="00000007" w14:textId="77777777" w:rsidR="00E53159" w:rsidRDefault="00E53159">
      <w:pPr>
        <w:rPr>
          <w:sz w:val="8"/>
          <w:szCs w:val="8"/>
        </w:rPr>
      </w:pPr>
    </w:p>
    <w:p w14:paraId="00000008" w14:textId="77777777" w:rsidR="00E53159" w:rsidRDefault="00337B1B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>
        <w:rPr>
          <w:rFonts w:ascii="Book Antiqua" w:eastAsia="Book Antiqua" w:hAnsi="Book Antiqua" w:cs="Book Antiqua"/>
          <w:b/>
          <w:sz w:val="36"/>
          <w:szCs w:val="36"/>
        </w:rPr>
        <w:t>SENADO DE PUERTO RICO</w:t>
      </w:r>
    </w:p>
    <w:p w14:paraId="00000009" w14:textId="17307A84" w:rsidR="00E53159" w:rsidRDefault="00337B1B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 xml:space="preserve">P. del S. </w:t>
      </w:r>
      <w:r w:rsidR="00593F9D">
        <w:rPr>
          <w:rFonts w:ascii="Book Antiqua" w:eastAsia="Book Antiqua" w:hAnsi="Book Antiqua" w:cs="Book Antiqua"/>
          <w:b/>
          <w:sz w:val="52"/>
          <w:szCs w:val="52"/>
        </w:rPr>
        <w:t>744</w:t>
      </w:r>
    </w:p>
    <w:p w14:paraId="0000000A" w14:textId="7E22E22D" w:rsidR="00E53159" w:rsidRDefault="00593F9D">
      <w:pPr>
        <w:spacing w:line="360" w:lineRule="auto"/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25</w:t>
      </w:r>
      <w:r w:rsidR="00337B1B">
        <w:rPr>
          <w:rFonts w:ascii="Book Antiqua" w:eastAsia="Book Antiqua" w:hAnsi="Book Antiqua" w:cs="Book Antiqua"/>
        </w:rPr>
        <w:t xml:space="preserve"> de </w:t>
      </w:r>
      <w:r w:rsidR="009B5936">
        <w:rPr>
          <w:rFonts w:ascii="Book Antiqua" w:eastAsia="Book Antiqua" w:hAnsi="Book Antiqua" w:cs="Book Antiqua"/>
        </w:rPr>
        <w:t>septiembre</w:t>
      </w:r>
      <w:r w:rsidR="00337B1B">
        <w:rPr>
          <w:rFonts w:ascii="Book Antiqua" w:eastAsia="Book Antiqua" w:hAnsi="Book Antiqua" w:cs="Book Antiqua"/>
        </w:rPr>
        <w:t xml:space="preserve"> de 2025</w:t>
      </w:r>
    </w:p>
    <w:p w14:paraId="0000000B" w14:textId="71E64D87" w:rsidR="00E53159" w:rsidRDefault="00337B1B">
      <w:pPr>
        <w:spacing w:line="360" w:lineRule="auto"/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Presentad</w:t>
      </w:r>
      <w:r w:rsidR="00691D52">
        <w:rPr>
          <w:rFonts w:ascii="Book Antiqua" w:eastAsia="Book Antiqua" w:hAnsi="Book Antiqua" w:cs="Book Antiqua"/>
        </w:rPr>
        <w:t>o</w:t>
      </w:r>
      <w:r>
        <w:rPr>
          <w:rFonts w:ascii="Book Antiqua" w:eastAsia="Book Antiqua" w:hAnsi="Book Antiqua" w:cs="Book Antiqua"/>
        </w:rPr>
        <w:t xml:space="preserve"> por el señor </w:t>
      </w:r>
      <w:r>
        <w:rPr>
          <w:rFonts w:ascii="Book Antiqua" w:eastAsia="Book Antiqua" w:hAnsi="Book Antiqua" w:cs="Book Antiqua"/>
          <w:i/>
        </w:rPr>
        <w:t>Molina Pérez</w:t>
      </w:r>
    </w:p>
    <w:p w14:paraId="1B627D2E" w14:textId="5DA63551" w:rsidR="00691D52" w:rsidRPr="007A4177" w:rsidRDefault="00337B1B" w:rsidP="00691D52">
      <w:pPr>
        <w:spacing w:line="360" w:lineRule="auto"/>
        <w:jc w:val="center"/>
        <w:rPr>
          <w:rFonts w:ascii="Book Antiqua" w:hAnsi="Book Antiqua"/>
          <w:i/>
          <w:iCs/>
          <w:lang w:val="es-419"/>
        </w:rPr>
      </w:pPr>
      <w:r>
        <w:rPr>
          <w:rFonts w:ascii="Book Antiqua" w:eastAsia="Book Antiqua" w:hAnsi="Book Antiqua" w:cs="Book Antiqua"/>
          <w:i/>
        </w:rPr>
        <w:t>Referid</w:t>
      </w:r>
      <w:r w:rsidR="00691D52">
        <w:rPr>
          <w:rFonts w:ascii="Book Antiqua" w:eastAsia="Book Antiqua" w:hAnsi="Book Antiqua" w:cs="Book Antiqua"/>
          <w:i/>
        </w:rPr>
        <w:t>o</w:t>
      </w:r>
      <w:r>
        <w:rPr>
          <w:rFonts w:ascii="Book Antiqua" w:eastAsia="Book Antiqua" w:hAnsi="Book Antiqua" w:cs="Book Antiqua"/>
          <w:i/>
        </w:rPr>
        <w:t xml:space="preserve"> a la Comisión de</w:t>
      </w:r>
      <w:r w:rsidR="00691D52" w:rsidRPr="00691D52">
        <w:rPr>
          <w:rFonts w:ascii="Book Antiqua" w:hAnsi="Book Antiqua"/>
          <w:i/>
          <w:iCs/>
          <w:lang w:val="es-419"/>
        </w:rPr>
        <w:t xml:space="preserve"> </w:t>
      </w:r>
      <w:r w:rsidR="00691D52" w:rsidRPr="007A4177">
        <w:rPr>
          <w:rFonts w:ascii="Book Antiqua" w:hAnsi="Book Antiqua"/>
          <w:i/>
          <w:iCs/>
          <w:lang w:val="es-419"/>
        </w:rPr>
        <w:t>Planificación, Permisos, Infraestructura y Urbanismo</w:t>
      </w:r>
    </w:p>
    <w:p w14:paraId="0000000D" w14:textId="77777777" w:rsidR="00E53159" w:rsidRPr="00FB52F8" w:rsidRDefault="00E53159">
      <w:pPr>
        <w:jc w:val="both"/>
        <w:rPr>
          <w:rFonts w:ascii="Book Antiqua" w:eastAsia="Book Antiqua" w:hAnsi="Book Antiqua" w:cs="Book Antiqua"/>
          <w:sz w:val="16"/>
          <w:szCs w:val="16"/>
        </w:rPr>
      </w:pPr>
    </w:p>
    <w:p w14:paraId="0000000E" w14:textId="77777777" w:rsidR="00E53159" w:rsidRDefault="00337B1B">
      <w:pPr>
        <w:jc w:val="center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  <w:b/>
        </w:rPr>
        <w:t>LEY</w:t>
      </w:r>
    </w:p>
    <w:p w14:paraId="0000000F" w14:textId="77777777" w:rsidR="00E53159" w:rsidRPr="006F6A07" w:rsidRDefault="00E53159">
      <w:pPr>
        <w:jc w:val="both"/>
        <w:rPr>
          <w:rFonts w:ascii="Book Antiqua" w:eastAsia="Book Antiqua" w:hAnsi="Book Antiqua" w:cs="Book Antiqua"/>
          <w:sz w:val="16"/>
          <w:szCs w:val="16"/>
        </w:rPr>
      </w:pPr>
    </w:p>
    <w:p w14:paraId="00000010" w14:textId="77777777" w:rsidR="00E53159" w:rsidRDefault="00337B1B" w:rsidP="00691D52">
      <w:pPr>
        <w:spacing w:after="240"/>
        <w:ind w:left="540" w:hanging="54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Para establecer penalidades contra las plantas de concreto (concreteras) que suministren material de construcción a proyectos que carezcan de permisos debidamente expedidos por las agencias competentes; enmendar la Ley Núm. 161-2009, según enmendada, conocida como “Ley para la Reforma del Proceso de Permisos de Puerto Rico”; y para otros fines relacionados.</w:t>
      </w:r>
    </w:p>
    <w:p w14:paraId="00000012" w14:textId="77777777" w:rsidR="00E53159" w:rsidRDefault="00337B1B" w:rsidP="00691D52">
      <w:pPr>
        <w:spacing w:before="360"/>
        <w:jc w:val="center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  <w:b/>
        </w:rPr>
        <w:t>EXPOSICIÓN DE MOTIVOS</w:t>
      </w:r>
    </w:p>
    <w:p w14:paraId="00000014" w14:textId="5DA366E1" w:rsidR="00E53159" w:rsidRDefault="00337B1B" w:rsidP="006F6A07">
      <w:pPr>
        <w:spacing w:before="120" w:after="120" w:line="360" w:lineRule="auto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ab/>
        <w:t xml:space="preserve">La proliferación de proyectos de construcción sin los debidos permisos constituye una de las mayores amenazas al ordenamiento territorial, a los </w:t>
      </w:r>
      <w:r w:rsidR="00FA3AA9">
        <w:rPr>
          <w:rFonts w:ascii="Book Antiqua" w:eastAsia="Book Antiqua" w:hAnsi="Book Antiqua" w:cs="Book Antiqua"/>
        </w:rPr>
        <w:t>bienes</w:t>
      </w:r>
      <w:r>
        <w:rPr>
          <w:rFonts w:ascii="Book Antiqua" w:eastAsia="Book Antiqua" w:hAnsi="Book Antiqua" w:cs="Book Antiqua"/>
        </w:rPr>
        <w:t xml:space="preserve"> naturales y al cumplimiento de la política pública de planificación en Puerto Rico. La falta de controles efectivos sobre las actividades de construcción ha dado paso a un patrón de construcciones ilegales en zonas costeras, reservas naturales, áreas inundables y terrenos públicos, lo que redunda en pérdida de recursos, riesgos de seguridad y menoscabo a la confianza ciudadana en las instituciones del Estado.</w:t>
      </w:r>
    </w:p>
    <w:p w14:paraId="00000015" w14:textId="77777777" w:rsidR="00E53159" w:rsidRDefault="00337B1B" w:rsidP="006F6A07">
      <w:pPr>
        <w:spacing w:before="120" w:after="120" w:line="360" w:lineRule="auto"/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Un factor que viabiliza esta situación es el suministro de concreto por parte de plantas procesadoras a proyectos que no cuentan con autorizaciones vigentes. Estas empresas, al prestar sus servicios sin verificar la legalidad de la obra, contribuyen directa e indirectamente a la continuación de actividades ilegales.</w:t>
      </w:r>
    </w:p>
    <w:p w14:paraId="00000016" w14:textId="661C05A2" w:rsidR="00E53159" w:rsidRDefault="00337B1B" w:rsidP="00FB52F8">
      <w:pPr>
        <w:spacing w:before="120" w:after="120" w:line="360" w:lineRule="auto"/>
        <w:ind w:firstLine="54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lastRenderedPageBreak/>
        <w:t xml:space="preserve">El Estado, en su deber constitucional de proteger </w:t>
      </w:r>
      <w:r w:rsidR="00FA3AA9">
        <w:rPr>
          <w:rFonts w:ascii="Book Antiqua" w:eastAsia="Book Antiqua" w:hAnsi="Book Antiqua" w:cs="Book Antiqua"/>
        </w:rPr>
        <w:t xml:space="preserve">la vida y la propiedad, </w:t>
      </w:r>
      <w:r>
        <w:rPr>
          <w:rFonts w:ascii="Book Antiqua" w:eastAsia="Book Antiqua" w:hAnsi="Book Antiqua" w:cs="Book Antiqua"/>
        </w:rPr>
        <w:t>los bienes de dominio público y garantizar un desarrollo ordenado, debe imponer responsabilidad compartida a quienes facilitan la ejecución de estas construcciones fuera de ley. De esta manera, se añade un contrapeso real que incentive la autorregulación y promueva una cultura de cumplimiento estricto con la reglamentación aplicable.</w:t>
      </w:r>
    </w:p>
    <w:p w14:paraId="00000019" w14:textId="77777777" w:rsidR="00E53159" w:rsidRDefault="00337B1B" w:rsidP="00FB52F8">
      <w:pPr>
        <w:spacing w:line="480" w:lineRule="auto"/>
        <w:jc w:val="both"/>
        <w:rPr>
          <w:rFonts w:ascii="Book Antiqua" w:eastAsia="Book Antiqua" w:hAnsi="Book Antiqua" w:cs="Book Antiqua"/>
          <w:b/>
        </w:rPr>
        <w:sectPr w:rsidR="00E53159">
          <w:headerReference w:type="default" r:id="rId6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>
        <w:rPr>
          <w:rFonts w:ascii="Book Antiqua" w:eastAsia="Book Antiqua" w:hAnsi="Book Antiqua" w:cs="Book Antiqua"/>
          <w:b/>
        </w:rPr>
        <w:t>DECRÉTESE POR LA ASAMBLEA LEGISLATIVA DE PUERTO RICO:</w:t>
      </w:r>
    </w:p>
    <w:p w14:paraId="0000001A" w14:textId="1AF82E0A" w:rsidR="00E53159" w:rsidRDefault="00151AAE" w:rsidP="00FB52F8">
      <w:pPr>
        <w:spacing w:line="480" w:lineRule="auto"/>
        <w:ind w:firstLine="45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Sección</w:t>
      </w:r>
      <w:r w:rsidR="00337B1B">
        <w:rPr>
          <w:rFonts w:ascii="Book Antiqua" w:eastAsia="Book Antiqua" w:hAnsi="Book Antiqua" w:cs="Book Antiqua"/>
        </w:rPr>
        <w:t xml:space="preserve"> 1.- Se añade un nuevo </w:t>
      </w:r>
      <w:r>
        <w:rPr>
          <w:rFonts w:ascii="Book Antiqua" w:eastAsia="Book Antiqua" w:hAnsi="Book Antiqua" w:cs="Book Antiqua"/>
        </w:rPr>
        <w:t xml:space="preserve">inciso (e) al </w:t>
      </w:r>
      <w:r w:rsidR="00337B1B">
        <w:rPr>
          <w:rFonts w:ascii="Book Antiqua" w:eastAsia="Book Antiqua" w:hAnsi="Book Antiqua" w:cs="Book Antiqua"/>
        </w:rPr>
        <w:t xml:space="preserve">Artículo </w:t>
      </w:r>
      <w:r>
        <w:rPr>
          <w:rFonts w:ascii="Book Antiqua" w:eastAsia="Book Antiqua" w:hAnsi="Book Antiqua" w:cs="Book Antiqua"/>
        </w:rPr>
        <w:t xml:space="preserve">17.1 de </w:t>
      </w:r>
      <w:r w:rsidR="00337B1B">
        <w:rPr>
          <w:rFonts w:ascii="Book Antiqua" w:eastAsia="Book Antiqua" w:hAnsi="Book Antiqua" w:cs="Book Antiqua"/>
        </w:rPr>
        <w:t>la Ley 161-2009, según enmendada, para que lea como sigue:</w:t>
      </w:r>
    </w:p>
    <w:p w14:paraId="0A97F17B" w14:textId="7B062BC9" w:rsidR="00151AAE" w:rsidRDefault="00151AAE" w:rsidP="00FB52F8">
      <w:pPr>
        <w:spacing w:line="480" w:lineRule="auto"/>
        <w:ind w:firstLine="720"/>
        <w:jc w:val="both"/>
        <w:rPr>
          <w:rFonts w:ascii="Book Antiqua" w:eastAsia="Book Antiqua" w:hAnsi="Book Antiqua" w:cs="Book Antiqua"/>
          <w:lang w:val="es-ES"/>
        </w:rPr>
      </w:pPr>
      <w:r>
        <w:rPr>
          <w:rFonts w:ascii="Book Antiqua" w:eastAsia="Book Antiqua" w:hAnsi="Book Antiqua" w:cs="Book Antiqua"/>
          <w:lang w:val="es-ES"/>
        </w:rPr>
        <w:t>“</w:t>
      </w:r>
      <w:r w:rsidRPr="00151AAE">
        <w:rPr>
          <w:rFonts w:ascii="Book Antiqua" w:eastAsia="Book Antiqua" w:hAnsi="Book Antiqua" w:cs="Book Antiqua"/>
          <w:lang w:val="es-ES"/>
        </w:rPr>
        <w:t>Artículo 17.1. — Penalidades.</w:t>
      </w:r>
    </w:p>
    <w:p w14:paraId="6046FA26" w14:textId="17A3E5FE" w:rsidR="00151AAE" w:rsidRPr="00151AAE" w:rsidRDefault="00151AAE" w:rsidP="00FB52F8">
      <w:pPr>
        <w:spacing w:line="480" w:lineRule="auto"/>
        <w:ind w:left="450"/>
        <w:jc w:val="both"/>
        <w:rPr>
          <w:rFonts w:ascii="Book Antiqua" w:eastAsia="Book Antiqua" w:hAnsi="Book Antiqua" w:cs="Book Antiqua"/>
          <w:lang w:val="es-ES"/>
        </w:rPr>
      </w:pPr>
      <w:r>
        <w:rPr>
          <w:rFonts w:ascii="Book Antiqua" w:eastAsia="Book Antiqua" w:hAnsi="Book Antiqua" w:cs="Book Antiqua"/>
          <w:lang w:val="es-ES"/>
        </w:rPr>
        <w:t>(a) …</w:t>
      </w:r>
    </w:p>
    <w:p w14:paraId="00000024" w14:textId="09D6DA44" w:rsidR="00E53159" w:rsidRDefault="00151AAE" w:rsidP="00FB52F8">
      <w:pPr>
        <w:spacing w:line="480" w:lineRule="auto"/>
        <w:ind w:left="450"/>
        <w:jc w:val="both"/>
        <w:rPr>
          <w:rFonts w:ascii="Book Antiqua" w:eastAsia="Book Antiqua" w:hAnsi="Book Antiqua" w:cs="Book Antiqua"/>
          <w:i/>
        </w:rPr>
      </w:pPr>
      <w:r>
        <w:rPr>
          <w:rFonts w:ascii="Book Antiqua" w:eastAsia="Book Antiqua" w:hAnsi="Book Antiqua" w:cs="Book Antiqua"/>
          <w:i/>
        </w:rPr>
        <w:t xml:space="preserve">(e)  </w:t>
      </w:r>
      <w:r w:rsidR="00057B10">
        <w:rPr>
          <w:rFonts w:ascii="Book Antiqua" w:eastAsia="Book Antiqua" w:hAnsi="Book Antiqua" w:cs="Book Antiqua"/>
          <w:i/>
        </w:rPr>
        <w:t>Toda</w:t>
      </w:r>
      <w:r w:rsidR="00337B1B">
        <w:rPr>
          <w:rFonts w:ascii="Book Antiqua" w:eastAsia="Book Antiqua" w:hAnsi="Book Antiqua" w:cs="Book Antiqua"/>
          <w:i/>
        </w:rPr>
        <w:t xml:space="preserve"> planta procesadora de concreto </w:t>
      </w:r>
      <w:r w:rsidR="00057B10">
        <w:rPr>
          <w:rFonts w:ascii="Book Antiqua" w:eastAsia="Book Antiqua" w:hAnsi="Book Antiqua" w:cs="Book Antiqua"/>
          <w:i/>
        </w:rPr>
        <w:t xml:space="preserve">deberá requerir copia digital o física del permiso vigente y del número de expediente de la </w:t>
      </w:r>
      <w:proofErr w:type="spellStart"/>
      <w:r w:rsidR="00057B10">
        <w:rPr>
          <w:rFonts w:ascii="Book Antiqua" w:eastAsia="Book Antiqua" w:hAnsi="Book Antiqua" w:cs="Book Antiqua"/>
          <w:i/>
        </w:rPr>
        <w:t>OGPe</w:t>
      </w:r>
      <w:proofErr w:type="spellEnd"/>
      <w:r w:rsidR="00057B10">
        <w:rPr>
          <w:rFonts w:ascii="Book Antiqua" w:eastAsia="Book Antiqua" w:hAnsi="Book Antiqua" w:cs="Book Antiqua"/>
          <w:i/>
        </w:rPr>
        <w:t xml:space="preserve"> para despachar, vender o entregar concreto y deberá conservar constancia de este por un término no menor de cinco (5) años. De despachar el material para</w:t>
      </w:r>
      <w:r w:rsidR="00337B1B">
        <w:rPr>
          <w:rFonts w:ascii="Book Antiqua" w:eastAsia="Book Antiqua" w:hAnsi="Book Antiqua" w:cs="Book Antiqua"/>
          <w:i/>
        </w:rPr>
        <w:t xml:space="preserve"> una obra de construcción que no cuente con los permisos correspondientes emitidos por la Oficina de Gerencia de Permisos (</w:t>
      </w:r>
      <w:proofErr w:type="spellStart"/>
      <w:r w:rsidR="00337B1B">
        <w:rPr>
          <w:rFonts w:ascii="Book Antiqua" w:eastAsia="Book Antiqua" w:hAnsi="Book Antiqua" w:cs="Book Antiqua"/>
          <w:i/>
        </w:rPr>
        <w:t>OGPe</w:t>
      </w:r>
      <w:proofErr w:type="spellEnd"/>
      <w:r w:rsidR="00057B10">
        <w:rPr>
          <w:rFonts w:ascii="Book Antiqua" w:eastAsia="Book Antiqua" w:hAnsi="Book Antiqua" w:cs="Book Antiqua"/>
          <w:i/>
        </w:rPr>
        <w:t>),</w:t>
      </w:r>
      <w:r w:rsidR="00337B1B">
        <w:rPr>
          <w:rFonts w:ascii="Book Antiqua" w:eastAsia="Book Antiqua" w:hAnsi="Book Antiqua" w:cs="Book Antiqua"/>
          <w:i/>
        </w:rPr>
        <w:t xml:space="preserve"> incurrirá en una multa administrativa de $25,000 por cada despacho efectuado sin autorización, independientemente de las sanciones aplicables a la obra o al desarrollador.</w:t>
      </w:r>
      <w:r w:rsidR="009B5936">
        <w:rPr>
          <w:rFonts w:ascii="Book Antiqua" w:eastAsia="Book Antiqua" w:hAnsi="Book Antiqua" w:cs="Book Antiqua"/>
          <w:i/>
        </w:rPr>
        <w:t xml:space="preserve"> </w:t>
      </w:r>
      <w:r w:rsidR="00337B1B">
        <w:rPr>
          <w:rFonts w:ascii="Book Antiqua" w:eastAsia="Book Antiqua" w:hAnsi="Book Antiqua" w:cs="Book Antiqua"/>
          <w:i/>
        </w:rPr>
        <w:t xml:space="preserve">La </w:t>
      </w:r>
      <w:proofErr w:type="spellStart"/>
      <w:r w:rsidR="00337B1B">
        <w:rPr>
          <w:rFonts w:ascii="Book Antiqua" w:eastAsia="Book Antiqua" w:hAnsi="Book Antiqua" w:cs="Book Antiqua"/>
          <w:i/>
        </w:rPr>
        <w:t>OGPe</w:t>
      </w:r>
      <w:proofErr w:type="spellEnd"/>
      <w:r w:rsidR="00337B1B">
        <w:rPr>
          <w:rFonts w:ascii="Book Antiqua" w:eastAsia="Book Antiqua" w:hAnsi="Book Antiqua" w:cs="Book Antiqua"/>
          <w:i/>
        </w:rPr>
        <w:t xml:space="preserve"> será la entidad responsable de fiscalizar y adjudicar las multas, pudiendo coordinar auditorías y operativos conjuntos con el Departamento de Recursos Naturales y Ambientales (DRNA) y la Policía de Puerto Rico.</w:t>
      </w:r>
      <w:r w:rsidR="009B5936">
        <w:rPr>
          <w:rFonts w:ascii="Book Antiqua" w:eastAsia="Book Antiqua" w:hAnsi="Book Antiqua" w:cs="Book Antiqua"/>
          <w:i/>
        </w:rPr>
        <w:t xml:space="preserve"> </w:t>
      </w:r>
      <w:r w:rsidR="00337B1B">
        <w:rPr>
          <w:rFonts w:ascii="Book Antiqua" w:eastAsia="Book Antiqua" w:hAnsi="Book Antiqua" w:cs="Book Antiqua"/>
          <w:i/>
        </w:rPr>
        <w:t>El producto de las multas ingresará al Fondo Especial de Protección de Recursos Naturales, creado en virtud de la Ley 416-2004, para financiar programas de vigilancia, deslinde y restauración ambiental.”</w:t>
      </w:r>
    </w:p>
    <w:p w14:paraId="00000025" w14:textId="2BE2CED0" w:rsidR="00E53159" w:rsidRDefault="009B5936" w:rsidP="00FB52F8">
      <w:pPr>
        <w:spacing w:line="480" w:lineRule="auto"/>
        <w:ind w:firstLine="45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Sección</w:t>
      </w:r>
      <w:r w:rsidR="00337B1B">
        <w:rPr>
          <w:rFonts w:ascii="Book Antiqua" w:eastAsia="Book Antiqua" w:hAnsi="Book Antiqua" w:cs="Book Antiqua"/>
        </w:rPr>
        <w:t xml:space="preserve"> 2.-</w:t>
      </w:r>
      <w:r>
        <w:rPr>
          <w:rFonts w:ascii="Book Antiqua" w:eastAsia="Book Antiqua" w:hAnsi="Book Antiqua" w:cs="Book Antiqua"/>
        </w:rPr>
        <w:t xml:space="preserve"> Vigencia.</w:t>
      </w:r>
      <w:r w:rsidR="00337B1B">
        <w:rPr>
          <w:rFonts w:ascii="Book Antiqua" w:eastAsia="Book Antiqua" w:hAnsi="Book Antiqua" w:cs="Book Antiqua"/>
        </w:rPr>
        <w:t xml:space="preserve"> </w:t>
      </w:r>
    </w:p>
    <w:p w14:paraId="768D58BD" w14:textId="1D8882B0" w:rsidR="009B5936" w:rsidRDefault="009B5936" w:rsidP="00FB52F8">
      <w:pPr>
        <w:spacing w:line="480" w:lineRule="auto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ab/>
        <w:t>Esta ley entrará en vigor inmediatamente después de su aprobación.</w:t>
      </w:r>
    </w:p>
    <w:sectPr w:rsidR="009B5936" w:rsidSect="00FB52F8">
      <w:type w:val="continuous"/>
      <w:pgSz w:w="12240" w:h="15840"/>
      <w:pgMar w:top="1440" w:right="1296" w:bottom="1440" w:left="1296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9A1CE" w14:textId="77777777" w:rsidR="00337B1B" w:rsidRDefault="00337B1B">
      <w:r>
        <w:separator/>
      </w:r>
    </w:p>
  </w:endnote>
  <w:endnote w:type="continuationSeparator" w:id="0">
    <w:p w14:paraId="5BD2A299" w14:textId="77777777" w:rsidR="00337B1B" w:rsidRDefault="00337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lay">
    <w:charset w:val="00"/>
    <w:family w:val="auto"/>
    <w:pitch w:val="default"/>
    <w:embedRegular r:id="rId1" w:fontKey="{1C668046-EF46-4E29-9A67-8F74D910CAF6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2" w:fontKey="{64C5A62C-3A6E-4593-AC9C-413358DF942E}"/>
    <w:embedItalic r:id="rId3" w:fontKey="{B55E9A1B-9F24-4314-80C3-08A3F52287C9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4" w:fontKey="{5DB08A57-D0D2-461B-90B3-98906D8AF207}"/>
    <w:embedBold r:id="rId5" w:fontKey="{542880E0-541E-42A2-A1F0-3F7EBB8480BC}"/>
    <w:embedItalic r:id="rId6" w:fontKey="{DBDD9C60-D8A5-4CC6-8EBF-AA1774D9B43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D802CF66-A4D1-4451-A75E-D56E8B6812D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6F8CE266-619C-4C5A-99FA-E679C13ADE4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FC2BC" w14:textId="77777777" w:rsidR="00337B1B" w:rsidRDefault="00337B1B">
      <w:r>
        <w:separator/>
      </w:r>
    </w:p>
  </w:footnote>
  <w:footnote w:type="continuationSeparator" w:id="0">
    <w:p w14:paraId="6CD4017F" w14:textId="77777777" w:rsidR="00337B1B" w:rsidRDefault="00337B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6" w14:textId="112DCA6B" w:rsidR="00E53159" w:rsidRDefault="00337B1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159"/>
    <w:rsid w:val="00022329"/>
    <w:rsid w:val="00034348"/>
    <w:rsid w:val="00057B10"/>
    <w:rsid w:val="00151AAE"/>
    <w:rsid w:val="001B1DBF"/>
    <w:rsid w:val="00295BAE"/>
    <w:rsid w:val="00337B1B"/>
    <w:rsid w:val="00593F9D"/>
    <w:rsid w:val="00691D52"/>
    <w:rsid w:val="006F6A07"/>
    <w:rsid w:val="00781D09"/>
    <w:rsid w:val="009779AF"/>
    <w:rsid w:val="009B5936"/>
    <w:rsid w:val="00B833AC"/>
    <w:rsid w:val="00D54CA8"/>
    <w:rsid w:val="00E0605F"/>
    <w:rsid w:val="00E30C7E"/>
    <w:rsid w:val="00E53159"/>
    <w:rsid w:val="00FA3AA9"/>
    <w:rsid w:val="00FB5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DF6E6"/>
  <w15:docId w15:val="{7F6CC6E0-BF4B-468B-A953-801EE586C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P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 w:line="278" w:lineRule="auto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 w:line="278" w:lineRule="auto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 w:line="278" w:lineRule="auto"/>
      <w:outlineLvl w:val="2"/>
    </w:pPr>
    <w:rPr>
      <w:rFonts w:ascii="Aptos" w:eastAsia="Aptos" w:hAnsi="Aptos" w:cs="Aptos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 w:line="278" w:lineRule="auto"/>
      <w:outlineLvl w:val="3"/>
    </w:pPr>
    <w:rPr>
      <w:rFonts w:ascii="Aptos" w:eastAsia="Aptos" w:hAnsi="Aptos" w:cs="Aptos"/>
      <w:i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 w:line="278" w:lineRule="auto"/>
      <w:outlineLvl w:val="4"/>
    </w:pPr>
    <w:rPr>
      <w:rFonts w:ascii="Aptos" w:eastAsia="Aptos" w:hAnsi="Aptos" w:cs="Aptos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line="278" w:lineRule="auto"/>
      <w:outlineLvl w:val="5"/>
    </w:pPr>
    <w:rPr>
      <w:rFonts w:ascii="Aptos" w:eastAsia="Aptos" w:hAnsi="Aptos" w:cs="Aptos"/>
      <w:i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after="80"/>
    </w:pPr>
    <w:rPr>
      <w:rFonts w:ascii="Play" w:eastAsia="Play" w:hAnsi="Play" w:cs="Play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pPr>
      <w:spacing w:after="160" w:line="278" w:lineRule="auto"/>
    </w:pPr>
    <w:rPr>
      <w:rFonts w:ascii="Aptos" w:eastAsia="Aptos" w:hAnsi="Aptos" w:cs="Aptos"/>
      <w:color w:val="595959"/>
      <w:sz w:val="28"/>
      <w:szCs w:val="28"/>
    </w:rPr>
  </w:style>
  <w:style w:type="character" w:styleId="LineNumber">
    <w:name w:val="line number"/>
    <w:basedOn w:val="DefaultParagraphFont"/>
    <w:uiPriority w:val="99"/>
    <w:semiHidden/>
    <w:unhideWhenUsed/>
    <w:rsid w:val="00337B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12" Type="http://schemas.openxmlformats.org/officeDocument/2006/relationships/customXml" Target="../customXml/item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4SQX5P7U7WPY-958212181-819263</_dlc_DocId>
    <_dlc_DocIdUrl xmlns="c890fddd-4e87-4e08-8b51-545f2a3f7b06">
      <Url>https://senpr.sharepoint.com/sites/obralegislativa/_layouts/15/DocIdRedir.aspx?ID=4SQX5P7U7WPY-958212181-819263</Url>
      <Description>4SQX5P7U7WPY-958212181-819263</Description>
    </_dlc_DocIdUrl>
  </documentManagement>
</p:properties>
</file>

<file path=customXml/itemProps1.xml><?xml version="1.0" encoding="utf-8"?>
<ds:datastoreItem xmlns:ds="http://schemas.openxmlformats.org/officeDocument/2006/customXml" ds:itemID="{65F64F58-594C-4233-A220-17AE3DB47122}"/>
</file>

<file path=customXml/itemProps2.xml><?xml version="1.0" encoding="utf-8"?>
<ds:datastoreItem xmlns:ds="http://schemas.openxmlformats.org/officeDocument/2006/customXml" ds:itemID="{5B110AF8-34E8-4E6F-9CE6-73DD1FF8373E}"/>
</file>

<file path=customXml/itemProps3.xml><?xml version="1.0" encoding="utf-8"?>
<ds:datastoreItem xmlns:ds="http://schemas.openxmlformats.org/officeDocument/2006/customXml" ds:itemID="{C10F3B96-12A9-4A67-B7D0-85A5B4DE3F6B}"/>
</file>

<file path=customXml/itemProps4.xml><?xml version="1.0" encoding="utf-8"?>
<ds:datastoreItem xmlns:ds="http://schemas.openxmlformats.org/officeDocument/2006/customXml" ds:itemID="{47C01575-904C-4EFC-B004-02A895C79A5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S. Nazario Lameiro (Sen. Eliezer Molina)</dc:creator>
  <cp:lastModifiedBy>Eric J. González (Trámites y Récords)</cp:lastModifiedBy>
  <cp:revision>4</cp:revision>
  <cp:lastPrinted>2025-09-25T17:51:00Z</cp:lastPrinted>
  <dcterms:created xsi:type="dcterms:W3CDTF">2025-09-25T19:00:00Z</dcterms:created>
  <dcterms:modified xsi:type="dcterms:W3CDTF">2025-09-29T17:25:00Z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107fbafe-c5c0-47f7-8149-4b24668a6298</vt:lpwstr>
  </property>
  <property fmtid="{D5CDD505-2E9C-101B-9397-08002B2CF9AE}" pid="4" name="MediaServiceImageTags">
    <vt:lpwstr/>
  </property>
</Properties>
</file>