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1D3F" w14:textId="77777777" w:rsidR="002775BD" w:rsidRPr="006A7D55" w:rsidRDefault="002775BD" w:rsidP="002775BD">
      <w:pPr>
        <w:jc w:val="center"/>
        <w:rPr>
          <w:rFonts w:ascii="Book Antiqua" w:hAnsi="Book Antiqua"/>
          <w:sz w:val="36"/>
          <w:lang w:val="es-ES_tradnl"/>
        </w:rPr>
      </w:pPr>
      <w:r w:rsidRPr="006A7D55">
        <w:rPr>
          <w:rFonts w:ascii="Book Antiqua" w:hAnsi="Book Antiqua"/>
          <w:sz w:val="36"/>
          <w:lang w:val="es-ES_tradnl"/>
        </w:rPr>
        <w:t>GOBIERNO DE PUERTO RICO</w:t>
      </w:r>
    </w:p>
    <w:p w14:paraId="15F3CF02" w14:textId="77777777" w:rsidR="002775BD" w:rsidRPr="006A7D55" w:rsidRDefault="002775BD" w:rsidP="002775BD">
      <w:pPr>
        <w:jc w:val="center"/>
        <w:rPr>
          <w:rFonts w:ascii="Book Antiqua" w:hAnsi="Book Antiqua"/>
          <w:sz w:val="36"/>
          <w:lang w:val="es-ES_tradnl"/>
        </w:rPr>
      </w:pPr>
    </w:p>
    <w:p w14:paraId="45594064" w14:textId="77777777" w:rsidR="002775BD" w:rsidRPr="006A7D55" w:rsidRDefault="002775BD" w:rsidP="002775BD">
      <w:pPr>
        <w:pStyle w:val="Title2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 xml:space="preserve">20 </w:t>
      </w:r>
      <w:r w:rsidRPr="006A7D55">
        <w:rPr>
          <w:rFonts w:ascii="Book Antiqua" w:hAnsi="Book Antiqua"/>
          <w:vertAlign w:val="superscript"/>
          <w:lang w:val="es-ES_tradnl"/>
        </w:rPr>
        <w:t>ma.</w:t>
      </w:r>
      <w:r w:rsidRPr="006A7D55">
        <w:rPr>
          <w:rFonts w:ascii="Book Antiqua" w:hAnsi="Book Antiqua"/>
          <w:lang w:val="es-ES_tradnl"/>
        </w:rPr>
        <w:tab/>
        <w:t>Asamblea</w:t>
      </w:r>
      <w:r w:rsidRPr="006A7D55">
        <w:rPr>
          <w:rFonts w:ascii="Book Antiqua" w:hAnsi="Book Antiqua"/>
          <w:lang w:val="es-ES_tradnl"/>
        </w:rPr>
        <w:tab/>
        <w:t xml:space="preserve">2 </w:t>
      </w:r>
      <w:r w:rsidRPr="006A7D55">
        <w:rPr>
          <w:rFonts w:ascii="Book Antiqua" w:hAnsi="Book Antiqua"/>
          <w:vertAlign w:val="superscript"/>
          <w:lang w:val="es-ES_tradnl"/>
        </w:rPr>
        <w:t>da.</w:t>
      </w:r>
      <w:r w:rsidRPr="006A7D55">
        <w:rPr>
          <w:rFonts w:ascii="Book Antiqua" w:hAnsi="Book Antiqua"/>
          <w:lang w:val="es-ES_tradnl"/>
        </w:rPr>
        <w:tab/>
        <w:t>Sesión</w:t>
      </w:r>
    </w:p>
    <w:p w14:paraId="0C080CCE" w14:textId="77777777" w:rsidR="002775BD" w:rsidRPr="006A7D55" w:rsidRDefault="002775BD" w:rsidP="002775BD">
      <w:pPr>
        <w:pStyle w:val="Title2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ab/>
        <w:t>Legislativa                                                                                                   Ordinaria</w:t>
      </w:r>
    </w:p>
    <w:p w14:paraId="2BDFF176" w14:textId="77777777" w:rsidR="002775BD" w:rsidRPr="006A7D55" w:rsidRDefault="002775BD" w:rsidP="002775BD">
      <w:pPr>
        <w:rPr>
          <w:rFonts w:ascii="Book Antiqua" w:hAnsi="Book Antiqua"/>
          <w:lang w:val="es-ES_tradnl"/>
        </w:rPr>
      </w:pPr>
    </w:p>
    <w:p w14:paraId="493EFF4D" w14:textId="77777777" w:rsidR="002775BD" w:rsidRPr="006A7D55" w:rsidRDefault="002775BD" w:rsidP="002775BD">
      <w:pPr>
        <w:jc w:val="center"/>
        <w:rPr>
          <w:rFonts w:ascii="Book Antiqua" w:hAnsi="Book Antiqua"/>
          <w:b/>
          <w:sz w:val="36"/>
          <w:lang w:val="es-ES_tradnl"/>
        </w:rPr>
      </w:pPr>
      <w:r w:rsidRPr="006A7D55">
        <w:rPr>
          <w:rFonts w:ascii="Book Antiqua" w:hAnsi="Book Antiqua"/>
          <w:b/>
          <w:sz w:val="36"/>
          <w:lang w:val="es-ES_tradnl"/>
        </w:rPr>
        <w:t>SENADO DE PUERTO RICO</w:t>
      </w:r>
    </w:p>
    <w:p w14:paraId="4CD49669" w14:textId="403454D7" w:rsidR="00660E6B" w:rsidRPr="006A7D55" w:rsidRDefault="002775BD" w:rsidP="003B6CDB">
      <w:pPr>
        <w:spacing w:before="240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6A7D55">
        <w:rPr>
          <w:rFonts w:ascii="Book Antiqua" w:hAnsi="Book Antiqua"/>
          <w:b/>
          <w:sz w:val="52"/>
          <w:szCs w:val="52"/>
          <w:lang w:val="es-ES_tradnl"/>
        </w:rPr>
        <w:t xml:space="preserve">R. del S. </w:t>
      </w:r>
      <w:r w:rsidR="00025511">
        <w:rPr>
          <w:rFonts w:ascii="Book Antiqua" w:hAnsi="Book Antiqua"/>
          <w:b/>
          <w:sz w:val="52"/>
          <w:szCs w:val="52"/>
          <w:lang w:val="es-ES_tradnl"/>
        </w:rPr>
        <w:t>319</w:t>
      </w:r>
    </w:p>
    <w:p w14:paraId="5A308BAD" w14:textId="390A2881" w:rsidR="002775BD" w:rsidRPr="006A7D55" w:rsidRDefault="00DC3926" w:rsidP="002775BD">
      <w:pPr>
        <w:spacing w:before="120"/>
        <w:jc w:val="center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>2</w:t>
      </w:r>
      <w:r w:rsidR="003B2D03" w:rsidRPr="006A7D55">
        <w:rPr>
          <w:rFonts w:ascii="Book Antiqua" w:hAnsi="Book Antiqua"/>
          <w:lang w:val="es-ES_tradnl"/>
        </w:rPr>
        <w:t>5</w:t>
      </w:r>
      <w:r w:rsidRPr="006A7D55">
        <w:rPr>
          <w:rFonts w:ascii="Book Antiqua" w:hAnsi="Book Antiqua"/>
          <w:lang w:val="es-ES_tradnl"/>
        </w:rPr>
        <w:t xml:space="preserve"> </w:t>
      </w:r>
      <w:r w:rsidR="002775BD" w:rsidRPr="006A7D55">
        <w:rPr>
          <w:rFonts w:ascii="Book Antiqua" w:hAnsi="Book Antiqua"/>
          <w:lang w:val="es-ES_tradnl"/>
        </w:rPr>
        <w:t xml:space="preserve">de </w:t>
      </w:r>
      <w:r w:rsidR="00B006D8" w:rsidRPr="006A7D55">
        <w:rPr>
          <w:rFonts w:ascii="Book Antiqua" w:hAnsi="Book Antiqua"/>
          <w:lang w:val="es-ES_tradnl"/>
        </w:rPr>
        <w:t xml:space="preserve">septiembre </w:t>
      </w:r>
      <w:r w:rsidR="002775BD" w:rsidRPr="006A7D55">
        <w:rPr>
          <w:rFonts w:ascii="Book Antiqua" w:hAnsi="Book Antiqua"/>
          <w:lang w:val="es-ES_tradnl"/>
        </w:rPr>
        <w:t>de 2025</w:t>
      </w:r>
    </w:p>
    <w:p w14:paraId="136B6383" w14:textId="77777777" w:rsidR="002775BD" w:rsidRPr="006A7D55" w:rsidRDefault="002775BD" w:rsidP="002775BD">
      <w:pPr>
        <w:spacing w:before="120"/>
        <w:jc w:val="center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 xml:space="preserve">Presentada por el señor </w:t>
      </w:r>
      <w:r w:rsidRPr="006A7D55">
        <w:rPr>
          <w:rFonts w:ascii="Book Antiqua" w:hAnsi="Book Antiqua"/>
          <w:i/>
          <w:iCs/>
          <w:lang w:val="es-ES_tradnl"/>
        </w:rPr>
        <w:t>Ríos Santiago</w:t>
      </w:r>
      <w:r w:rsidRPr="006A7D55">
        <w:rPr>
          <w:rFonts w:ascii="Book Antiqua" w:hAnsi="Book Antiqua"/>
          <w:lang w:val="es-ES_tradnl"/>
        </w:rPr>
        <w:t xml:space="preserve"> </w:t>
      </w:r>
    </w:p>
    <w:p w14:paraId="19D54F24" w14:textId="6F2D1E6B" w:rsidR="002775BD" w:rsidRPr="006A7D55" w:rsidRDefault="002775BD" w:rsidP="002775BD">
      <w:pPr>
        <w:spacing w:before="120"/>
        <w:jc w:val="center"/>
        <w:rPr>
          <w:rFonts w:ascii="Book Antiqua" w:hAnsi="Book Antiqua"/>
          <w:i/>
          <w:lang w:val="es-ES_tradnl"/>
        </w:rPr>
      </w:pPr>
      <w:r w:rsidRPr="006A7D55">
        <w:rPr>
          <w:rFonts w:ascii="Book Antiqua" w:hAnsi="Book Antiqua"/>
          <w:i/>
          <w:lang w:val="es-ES_tradnl"/>
        </w:rPr>
        <w:t xml:space="preserve">Referida a </w:t>
      </w:r>
      <w:r w:rsidR="00660E6B" w:rsidRPr="006A7D55">
        <w:rPr>
          <w:rFonts w:ascii="Book Antiqua" w:hAnsi="Book Antiqua"/>
          <w:i/>
          <w:lang w:val="es-ES_tradnl"/>
        </w:rPr>
        <w:t>la</w:t>
      </w:r>
    </w:p>
    <w:p w14:paraId="2749D48C" w14:textId="77777777" w:rsidR="002775BD" w:rsidRPr="006A7D55" w:rsidRDefault="002775BD" w:rsidP="002775BD">
      <w:pPr>
        <w:jc w:val="both"/>
        <w:rPr>
          <w:rFonts w:ascii="Book Antiqua" w:hAnsi="Book Antiqua"/>
          <w:sz w:val="28"/>
          <w:szCs w:val="28"/>
          <w:lang w:val="es-ES_tradnl"/>
        </w:rPr>
      </w:pPr>
    </w:p>
    <w:p w14:paraId="566BC8BD" w14:textId="77777777" w:rsidR="002775BD" w:rsidRPr="006A7D55" w:rsidRDefault="002775BD" w:rsidP="002775BD">
      <w:pPr>
        <w:jc w:val="center"/>
        <w:rPr>
          <w:rFonts w:ascii="Book Antiqua" w:hAnsi="Book Antiqua"/>
          <w:b/>
          <w:szCs w:val="24"/>
          <w:lang w:val="es-ES_tradnl"/>
        </w:rPr>
      </w:pPr>
      <w:r w:rsidRPr="006A7D55">
        <w:rPr>
          <w:rFonts w:ascii="Book Antiqua" w:hAnsi="Book Antiqua"/>
          <w:b/>
          <w:szCs w:val="24"/>
          <w:lang w:val="es-ES_tradnl"/>
        </w:rPr>
        <w:t>RESOLUCIÓN</w:t>
      </w:r>
    </w:p>
    <w:p w14:paraId="0000D840" w14:textId="77777777" w:rsidR="002775BD" w:rsidRPr="006A7D55" w:rsidRDefault="002775BD" w:rsidP="002775BD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F7793DE" w14:textId="59AD783E" w:rsidR="00B14275" w:rsidRPr="00B14275" w:rsidRDefault="002775BD" w:rsidP="00B1394F">
      <w:pPr>
        <w:suppressLineNumbers/>
        <w:spacing w:line="276" w:lineRule="auto"/>
        <w:ind w:left="360" w:hanging="360"/>
        <w:jc w:val="both"/>
        <w:rPr>
          <w:rFonts w:ascii="Book Antiqua" w:hAnsi="Book Antiqua"/>
          <w:lang w:val="es-ES_tradnl"/>
        </w:rPr>
      </w:pPr>
      <w:r w:rsidRPr="006A7D55">
        <w:rPr>
          <w:rFonts w:ascii="Book Antiqua" w:hAnsi="Book Antiqua"/>
          <w:lang w:val="es-ES_tradnl"/>
        </w:rPr>
        <w:t xml:space="preserve">Para </w:t>
      </w:r>
      <w:r w:rsidR="00B1394F" w:rsidRPr="006A7D55">
        <w:rPr>
          <w:rFonts w:ascii="Book Antiqua" w:hAnsi="Book Antiqua"/>
          <w:lang w:val="es-ES_tradnl"/>
        </w:rPr>
        <w:t xml:space="preserve">ordenar a la Comisión de Salud del Senado de Puerto Rico realizar una investigación exhaustiva sobre el efecto e impacto de la Ley Núm. 42-2017, conocida como la “Ley para Manejar el Estudio, Desarrollo e Investigación del Cannabis para la Innovación, Normas Aplicables y Límites” (“Ley MEDICINAL”), evaluando el cumplimiento de la Junta </w:t>
      </w:r>
      <w:proofErr w:type="spellStart"/>
      <w:r w:rsidR="00B1394F" w:rsidRPr="006A7D55">
        <w:rPr>
          <w:rFonts w:ascii="Book Antiqua" w:hAnsi="Book Antiqua"/>
          <w:lang w:val="es-ES_tradnl"/>
        </w:rPr>
        <w:t>Reglamentadora</w:t>
      </w:r>
      <w:proofErr w:type="spellEnd"/>
      <w:r w:rsidR="00B1394F" w:rsidRPr="006A7D55">
        <w:rPr>
          <w:rFonts w:ascii="Book Antiqua" w:hAnsi="Book Antiqua"/>
          <w:lang w:val="es-ES_tradnl"/>
        </w:rPr>
        <w:t xml:space="preserve"> del Cannabis Medicinal con los deberes que le impone la ley, así como la transparencia, efectividad y resultados del sistema de cannabis medicinal en Puerto Rico en sus aspectos administrativos, regulatorios, científicos y socioeconómicos, incluyendo su impacto en la creación de empleos y en la salud y calidad de vida de los pacientes, y para otros fines relacionados.</w:t>
      </w:r>
    </w:p>
    <w:p w14:paraId="089E93E9" w14:textId="77777777" w:rsidR="002775BD" w:rsidRPr="006A7D55" w:rsidRDefault="002775BD" w:rsidP="00B1394F">
      <w:pPr>
        <w:suppressLineNumbers/>
        <w:jc w:val="both"/>
        <w:rPr>
          <w:rFonts w:ascii="Book Antiqua" w:hAnsi="Book Antiqua"/>
          <w:sz w:val="32"/>
          <w:szCs w:val="32"/>
          <w:lang w:val="es-ES_tradnl"/>
        </w:rPr>
      </w:pPr>
    </w:p>
    <w:p w14:paraId="469D1A06" w14:textId="77777777" w:rsidR="002775BD" w:rsidRPr="006A7D55" w:rsidRDefault="002775BD" w:rsidP="00DC3926">
      <w:pPr>
        <w:spacing w:after="240" w:line="360" w:lineRule="auto"/>
        <w:jc w:val="center"/>
        <w:rPr>
          <w:rFonts w:ascii="Book Antiqua" w:hAnsi="Book Antiqua"/>
          <w:b/>
          <w:szCs w:val="24"/>
          <w:lang w:val="es-ES_tradnl"/>
        </w:rPr>
      </w:pPr>
      <w:r w:rsidRPr="006A7D55">
        <w:rPr>
          <w:rFonts w:ascii="Book Antiqua" w:hAnsi="Book Antiqua"/>
          <w:b/>
          <w:szCs w:val="24"/>
          <w:lang w:val="es-ES_tradnl"/>
        </w:rPr>
        <w:t>EXPOSICIÓN DE MOTIVOS</w:t>
      </w:r>
    </w:p>
    <w:p w14:paraId="13FC43DB" w14:textId="6C7F564C" w:rsidR="002775BD" w:rsidRPr="006A7D55" w:rsidRDefault="00B006D8" w:rsidP="00DC3926">
      <w:pPr>
        <w:spacing w:after="240" w:line="360" w:lineRule="auto"/>
        <w:jc w:val="both"/>
        <w:rPr>
          <w:rFonts w:ascii="Book Antiqua" w:hAnsi="Book Antiqua"/>
          <w:color w:val="000000"/>
          <w:lang w:val="es-ES_tradnl"/>
        </w:rPr>
      </w:pPr>
      <w:r w:rsidRPr="006A7D55">
        <w:rPr>
          <w:rFonts w:ascii="Book Antiqua" w:hAnsi="Book Antiqua"/>
          <w:color w:val="000000"/>
          <w:lang w:val="es-ES_tradnl"/>
        </w:rPr>
        <w:t xml:space="preserve">     </w:t>
      </w:r>
      <w:r w:rsidR="002775BD" w:rsidRPr="006A7D55">
        <w:rPr>
          <w:rFonts w:ascii="Book Antiqua" w:hAnsi="Book Antiqua"/>
          <w:color w:val="000000"/>
          <w:lang w:val="es-ES_tradnl"/>
        </w:rPr>
        <w:t>La Ley Núm. 42-2017, conocida como la “Ley para Manejar el Estudio, Desarrollo e Investigación del Cannabis para la Innovación, Normas Aplicables y Límites” (Ley MEDICINAL), establece un marco legal para regular el uso medicinal del cannabis en Puerto Rico. Su propósito es garantizar que este recurso terapéutico sea utilizado de forma segura, científica y bajo una estricta supervisión, protegiendo tanto la salud de los pacientes como el interés público</w:t>
      </w:r>
      <w:r w:rsidR="00341814" w:rsidRPr="006A7D55">
        <w:rPr>
          <w:rFonts w:ascii="Book Antiqua" w:hAnsi="Book Antiqua"/>
          <w:color w:val="000000"/>
          <w:lang w:val="es-ES_tradnl"/>
        </w:rPr>
        <w:t>.</w:t>
      </w:r>
    </w:p>
    <w:p w14:paraId="058FB136" w14:textId="77777777" w:rsidR="00E8281D" w:rsidRPr="006A7D55" w:rsidRDefault="00B006D8" w:rsidP="00DC3926">
      <w:pPr>
        <w:pStyle w:val="p1"/>
        <w:spacing w:before="0" w:beforeAutospacing="0" w:after="240" w:afterAutospacing="0" w:line="360" w:lineRule="auto"/>
        <w:jc w:val="both"/>
        <w:rPr>
          <w:rStyle w:val="s1"/>
          <w:rFonts w:ascii="Book Antiqua" w:hAnsi="Book Antiqua"/>
          <w:lang w:val="es-ES_tradnl"/>
        </w:rPr>
      </w:pPr>
      <w:r w:rsidRPr="006A7D55">
        <w:rPr>
          <w:rFonts w:ascii="Book Antiqua" w:hAnsi="Book Antiqua"/>
          <w:bCs/>
          <w:lang w:val="es-ES_tradnl"/>
        </w:rPr>
        <w:lastRenderedPageBreak/>
        <w:t xml:space="preserve">    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Para cumplir con estos objetivos, la Ley creó la Junta </w:t>
      </w:r>
      <w:proofErr w:type="spellStart"/>
      <w:r w:rsidR="00865364" w:rsidRPr="006A7D55">
        <w:rPr>
          <w:rStyle w:val="s1"/>
          <w:rFonts w:ascii="Book Antiqua" w:hAnsi="Book Antiqua"/>
          <w:lang w:val="es-ES_tradnl"/>
        </w:rPr>
        <w:t>Reglamentadora</w:t>
      </w:r>
      <w:proofErr w:type="spellEnd"/>
      <w:r w:rsidR="00865364" w:rsidRPr="006A7D55">
        <w:rPr>
          <w:rStyle w:val="s1"/>
          <w:rFonts w:ascii="Book Antiqua" w:hAnsi="Book Antiqua"/>
          <w:lang w:val="es-ES_tradnl"/>
        </w:rPr>
        <w:t xml:space="preserve"> del Cannabis Medicinal, encargada de supervisar la implementación y el cumplimiento de todas las disposiciones relacionadas con el cultivo, manufactura, distribución, investigación y dispensación del cannabis medicinal. </w:t>
      </w:r>
    </w:p>
    <w:p w14:paraId="44631C7C" w14:textId="54D9C7EB" w:rsidR="00865364" w:rsidRPr="006A7D55" w:rsidRDefault="00DC3926" w:rsidP="00DC3926">
      <w:pPr>
        <w:pStyle w:val="p1"/>
        <w:spacing w:before="0" w:beforeAutospacing="0" w:after="240" w:afterAutospacing="0" w:line="36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6A7D55">
        <w:rPr>
          <w:rStyle w:val="s1"/>
          <w:rFonts w:ascii="Book Antiqua" w:hAnsi="Book Antiqua"/>
          <w:lang w:val="es-ES_tradnl"/>
        </w:rPr>
        <w:t xml:space="preserve">     </w:t>
      </w:r>
      <w:r w:rsidR="00865364" w:rsidRPr="006A7D55">
        <w:rPr>
          <w:rStyle w:val="s1"/>
          <w:rFonts w:ascii="Book Antiqua" w:hAnsi="Book Antiqua"/>
          <w:lang w:val="es-ES_tradnl"/>
        </w:rPr>
        <w:t>La Junta debe velar por la protección de los derechos de los pacientes, la otorgación y revocación de licencias, la promoción de la investigación científica y la fiscalización del sistema en su conjunto.</w:t>
      </w:r>
      <w:r w:rsidR="00E8281D" w:rsidRPr="006A7D55">
        <w:rPr>
          <w:rFonts w:ascii="Book Antiqua" w:hAnsi="Book Antiqua"/>
          <w:lang w:val="es-ES_tradnl"/>
        </w:rPr>
        <w:t xml:space="preserve">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No obstante, ante inquietudes surgidas en el ámbito público y </w:t>
      </w:r>
      <w:r w:rsidR="00865364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privado, </w:t>
      </w:r>
      <w:r w:rsidR="005D74B2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resulta pertinente investigar </w:t>
      </w:r>
      <w:r w:rsidR="00E455D4" w:rsidRPr="006A7D55">
        <w:rPr>
          <w:rStyle w:val="s1"/>
          <w:rFonts w:ascii="Book Antiqua" w:hAnsi="Book Antiqua"/>
          <w:color w:val="000000" w:themeColor="text1"/>
          <w:lang w:val="es-ES_tradnl"/>
        </w:rPr>
        <w:t>el impacto de la ley y el funcionamiento de la Junta</w:t>
      </w:r>
      <w:r w:rsidR="00865364" w:rsidRPr="006A7D55">
        <w:rPr>
          <w:rStyle w:val="s1"/>
          <w:rFonts w:ascii="Book Antiqua" w:hAnsi="Book Antiqua"/>
          <w:color w:val="000000" w:themeColor="text1"/>
          <w:lang w:val="es-ES_tradnl"/>
        </w:rPr>
        <w:t>.</w:t>
      </w:r>
      <w:r w:rsidR="00E455D4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 </w:t>
      </w:r>
    </w:p>
    <w:p w14:paraId="23CFCB62" w14:textId="60E106D4" w:rsidR="0096414F" w:rsidRPr="006A7D55" w:rsidRDefault="00DC3926" w:rsidP="00DC3926">
      <w:pPr>
        <w:pStyle w:val="p1"/>
        <w:spacing w:before="0" w:beforeAutospacing="0" w:after="240" w:afterAutospacing="0" w:line="36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6A7D55">
        <w:rPr>
          <w:rFonts w:ascii="Book Antiqua" w:hAnsi="Book Antiqua"/>
          <w:color w:val="000000" w:themeColor="text1"/>
          <w:lang w:val="es-ES_tradnl"/>
        </w:rPr>
        <w:t xml:space="preserve">     </w:t>
      </w:r>
      <w:r w:rsidR="0096414F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En materia administrativa y financiera, es relevante conocer si los fondos generados por licencias e ingresos relacionados se han destinado exclusivamente a los fines legales, si se ha actuado con transparencia presupuestaria y si se han rendido informes a la Asamblea Legislativa. También debe examinarse el nivel de colaboración </w:t>
      </w:r>
      <w:proofErr w:type="spellStart"/>
      <w:r w:rsidR="0096414F" w:rsidRPr="006A7D55">
        <w:rPr>
          <w:rStyle w:val="s1"/>
          <w:rFonts w:ascii="Book Antiqua" w:hAnsi="Book Antiqua"/>
          <w:color w:val="000000" w:themeColor="text1"/>
          <w:lang w:val="es-ES_tradnl"/>
        </w:rPr>
        <w:t>interagencial</w:t>
      </w:r>
      <w:proofErr w:type="spellEnd"/>
      <w:r w:rsidR="0096414F" w:rsidRPr="006A7D55">
        <w:rPr>
          <w:rStyle w:val="s1"/>
          <w:rFonts w:ascii="Book Antiqua" w:hAnsi="Book Antiqua"/>
          <w:color w:val="000000" w:themeColor="text1"/>
          <w:lang w:val="es-ES_tradnl"/>
        </w:rPr>
        <w:t xml:space="preserve"> con entidades como el Departamento de Salud, y si existen protocolos de coordinación adecuados para garantizar el cumplimiento normativo.</w:t>
      </w:r>
    </w:p>
    <w:p w14:paraId="0207B516" w14:textId="54617439" w:rsidR="0096414F" w:rsidRPr="006A7D55" w:rsidRDefault="0096414F" w:rsidP="00DC3926">
      <w:pPr>
        <w:pStyle w:val="p1"/>
        <w:spacing w:before="0" w:beforeAutospacing="0" w:after="240" w:afterAutospacing="0" w:line="36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6A7D55">
        <w:rPr>
          <w:rFonts w:ascii="Book Antiqua" w:hAnsi="Book Antiqua"/>
          <w:color w:val="000000" w:themeColor="text1"/>
          <w:lang w:val="es-ES_tradnl"/>
        </w:rPr>
        <w:t xml:space="preserve">     Por otro lado, es 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>necesario indagar</w:t>
      </w:r>
      <w:r w:rsidRPr="006A7D55">
        <w:rPr>
          <w:rFonts w:ascii="Book Antiqua" w:hAnsi="Book Antiqua"/>
          <w:color w:val="000000" w:themeColor="text1"/>
          <w:lang w:val="es-ES_tradnl"/>
        </w:rPr>
        <w:t xml:space="preserve"> si la Junta está </w:t>
      </w:r>
      <w:r w:rsidR="005D74B2" w:rsidRPr="006A7D55">
        <w:rPr>
          <w:rFonts w:ascii="Book Antiqua" w:hAnsi="Book Antiqua"/>
          <w:color w:val="000000" w:themeColor="text1"/>
          <w:lang w:val="es-ES_tradnl"/>
        </w:rPr>
        <w:t xml:space="preserve">compuesta 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>en su totalidad</w:t>
      </w:r>
      <w:r w:rsidR="005D74B2" w:rsidRPr="006A7D55">
        <w:rPr>
          <w:rFonts w:ascii="Book Antiqua" w:hAnsi="Book Antiqua"/>
          <w:color w:val="000000" w:themeColor="text1"/>
          <w:lang w:val="es-ES_tradnl"/>
        </w:rPr>
        <w:t xml:space="preserve"> </w:t>
      </w:r>
      <w:r w:rsidRPr="006A7D55">
        <w:rPr>
          <w:rFonts w:ascii="Book Antiqua" w:hAnsi="Book Antiqua"/>
          <w:color w:val="000000" w:themeColor="text1"/>
          <w:lang w:val="es-ES_tradnl"/>
        </w:rPr>
        <w:t>y</w:t>
      </w:r>
      <w:r w:rsidR="005D74B2" w:rsidRPr="006A7D55">
        <w:rPr>
          <w:rFonts w:ascii="Book Antiqua" w:hAnsi="Book Antiqua"/>
          <w:color w:val="000000" w:themeColor="text1"/>
          <w:lang w:val="es-ES_tradnl"/>
        </w:rPr>
        <w:t xml:space="preserve"> si </w:t>
      </w:r>
      <w:r w:rsidR="00B14275" w:rsidRPr="006A7D55">
        <w:rPr>
          <w:rFonts w:ascii="Book Antiqua" w:hAnsi="Book Antiqua"/>
          <w:color w:val="000000" w:themeColor="text1"/>
          <w:lang w:val="es-ES_tradnl"/>
        </w:rPr>
        <w:t>é</w:t>
      </w:r>
      <w:r w:rsidR="005D74B2" w:rsidRPr="006A7D55">
        <w:rPr>
          <w:rFonts w:ascii="Book Antiqua" w:hAnsi="Book Antiqua"/>
          <w:color w:val="000000" w:themeColor="text1"/>
          <w:lang w:val="es-ES_tradnl"/>
        </w:rPr>
        <w:t>sta</w:t>
      </w:r>
      <w:r w:rsidRPr="006A7D55">
        <w:rPr>
          <w:rFonts w:ascii="Book Antiqua" w:hAnsi="Book Antiqua"/>
          <w:color w:val="000000" w:themeColor="text1"/>
          <w:lang w:val="es-ES_tradnl"/>
        </w:rPr>
        <w:t xml:space="preserve"> cumple con sus funciones a cabalidad. Asimismo, si </w:t>
      </w:r>
      <w:r w:rsidR="005D74B2" w:rsidRPr="006A7D55">
        <w:rPr>
          <w:rFonts w:ascii="Book Antiqua" w:hAnsi="Book Antiqua"/>
          <w:color w:val="000000" w:themeColor="text1"/>
          <w:lang w:val="es-ES_tradnl"/>
        </w:rPr>
        <w:t xml:space="preserve">la misma </w:t>
      </w:r>
      <w:r w:rsidRPr="006A7D55">
        <w:rPr>
          <w:rFonts w:ascii="Book Antiqua" w:hAnsi="Book Antiqua"/>
          <w:color w:val="000000" w:themeColor="text1"/>
          <w:lang w:val="es-ES_tradnl"/>
        </w:rPr>
        <w:t>ha celebrado vistas públicas conforme a la ley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 xml:space="preserve"> y si </w:t>
      </w:r>
      <w:r w:rsidR="00B14275" w:rsidRPr="006A7D55">
        <w:rPr>
          <w:rFonts w:ascii="Book Antiqua" w:hAnsi="Book Antiqua"/>
          <w:color w:val="000000" w:themeColor="text1"/>
          <w:lang w:val="es-ES_tradnl"/>
        </w:rPr>
        <w:t>és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 xml:space="preserve">tas </w:t>
      </w:r>
      <w:r w:rsidRPr="006A7D55">
        <w:rPr>
          <w:rFonts w:ascii="Book Antiqua" w:hAnsi="Book Antiqua"/>
          <w:color w:val="000000" w:themeColor="text1"/>
          <w:lang w:val="es-ES_tradnl"/>
        </w:rPr>
        <w:t>s</w:t>
      </w:r>
      <w:r w:rsidR="00DB5CD1" w:rsidRPr="006A7D55">
        <w:rPr>
          <w:rFonts w:ascii="Book Antiqua" w:hAnsi="Book Antiqua"/>
          <w:color w:val="000000" w:themeColor="text1"/>
          <w:lang w:val="es-ES_tradnl"/>
        </w:rPr>
        <w:t>on</w:t>
      </w:r>
      <w:r w:rsidRPr="006A7D55">
        <w:rPr>
          <w:rFonts w:ascii="Book Antiqua" w:hAnsi="Book Antiqua"/>
          <w:color w:val="000000" w:themeColor="text1"/>
          <w:lang w:val="es-ES_tradnl"/>
        </w:rPr>
        <w:t xml:space="preserve"> accesibles, transparentes y con participación efectiva de los sectores interesados. De igual modo, si los reglamentos han sido promulgados y actualizados oportunamente, y si los procesos de licenciamiento son transparentes, justos y acordes con los criterios establecidos</w:t>
      </w:r>
    </w:p>
    <w:p w14:paraId="19C009C7" w14:textId="182C94AB" w:rsidR="00865364" w:rsidRPr="006A7D55" w:rsidRDefault="00674D2A" w:rsidP="00DC3926">
      <w:pPr>
        <w:pStyle w:val="p1"/>
        <w:spacing w:before="0" w:beforeAutospacing="0" w:after="240" w:afterAutospacing="0" w:line="360" w:lineRule="auto"/>
        <w:jc w:val="both"/>
        <w:rPr>
          <w:rFonts w:ascii="Book Antiqua" w:hAnsi="Book Antiqua"/>
          <w:lang w:val="es-ES_tradnl"/>
        </w:rPr>
      </w:pPr>
      <w:r w:rsidRPr="006A7D55">
        <w:rPr>
          <w:rStyle w:val="s1"/>
          <w:rFonts w:ascii="Book Antiqua" w:hAnsi="Book Antiqua"/>
          <w:lang w:val="es-ES_tradnl"/>
        </w:rPr>
        <w:t xml:space="preserve">   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Igualmente, se debe verificar si se han </w:t>
      </w:r>
      <w:r w:rsidR="00E455D4" w:rsidRPr="006A7D55">
        <w:rPr>
          <w:rStyle w:val="s1"/>
          <w:rFonts w:ascii="Book Antiqua" w:hAnsi="Book Antiqua"/>
          <w:lang w:val="es-ES_tradnl"/>
        </w:rPr>
        <w:t xml:space="preserve">establecido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sistemas eficaces de trazabilidad y control para garantizar la calidad y seguridad del cannabis medicinal, así como la realización de inspecciones periódicas y la imposición de sanciones efectivas ante incumplimientos. En cuanto a la investigación científica, se debe evaluar si la Junta ha promovido estudios clínicos, autorizado licencias de investigación y </w:t>
      </w:r>
      <w:r w:rsidR="00F96016" w:rsidRPr="006A7D55">
        <w:rPr>
          <w:rStyle w:val="s1"/>
          <w:rFonts w:ascii="Book Antiqua" w:hAnsi="Book Antiqua"/>
          <w:lang w:val="es-ES_tradnl"/>
        </w:rPr>
        <w:t>establecidos convenios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 con entidades académicas.</w:t>
      </w:r>
    </w:p>
    <w:p w14:paraId="6E4A28E3" w14:textId="0FC56A76" w:rsidR="00E8281D" w:rsidRPr="006A7D55" w:rsidRDefault="00E8281D" w:rsidP="00DC3926">
      <w:pPr>
        <w:pStyle w:val="p1"/>
        <w:spacing w:before="0" w:beforeAutospacing="0" w:after="240" w:afterAutospacing="0" w:line="360" w:lineRule="auto"/>
        <w:jc w:val="both"/>
        <w:rPr>
          <w:rStyle w:val="s1"/>
          <w:rFonts w:ascii="Book Antiqua" w:hAnsi="Book Antiqua"/>
          <w:lang w:val="es-ES_tradnl"/>
        </w:rPr>
      </w:pPr>
      <w:r w:rsidRPr="006A7D55">
        <w:rPr>
          <w:rFonts w:ascii="Book Antiqua" w:hAnsi="Book Antiqua"/>
          <w:color w:val="000000"/>
          <w:lang w:val="es-ES_tradnl"/>
        </w:rPr>
        <w:lastRenderedPageBreak/>
        <w:t xml:space="preserve">    Es importante considerar el impacto socioeconómico del programa de cannabis medicinal desde su implementación. </w:t>
      </w:r>
      <w:r w:rsidR="00A37225">
        <w:rPr>
          <w:rFonts w:ascii="Book Antiqua" w:hAnsi="Book Antiqua"/>
          <w:color w:val="000000"/>
          <w:lang w:val="es-ES_tradnl"/>
        </w:rPr>
        <w:t>Por lo cual, s</w:t>
      </w:r>
      <w:r w:rsidRPr="006A7D55">
        <w:rPr>
          <w:rFonts w:ascii="Book Antiqua" w:hAnsi="Book Antiqua"/>
          <w:color w:val="000000"/>
          <w:lang w:val="es-ES_tradnl"/>
        </w:rPr>
        <w:t xml:space="preserve">e debe analizar si este ha generado oportunidades de empleo directo e indirecto en la industria y si ha contribuido a la economía local. Asimismo, debe evaluarse el efecto del acceso al cannabis medicinal en la salud y calidad de vida de los pacientes, incluyendo el alivio de síntomas, el manejo de condiciones médicas específicas, la reducción en el uso de tratamientos más invasivos o costosos, y el número de personas registradas para su uso. </w:t>
      </w:r>
      <w:r w:rsidR="00A37225">
        <w:rPr>
          <w:rFonts w:ascii="Book Antiqua" w:hAnsi="Book Antiqua"/>
          <w:color w:val="000000"/>
          <w:lang w:val="es-ES_tradnl"/>
        </w:rPr>
        <w:t>S</w:t>
      </w:r>
      <w:r w:rsidRPr="006A7D55">
        <w:rPr>
          <w:rFonts w:ascii="Book Antiqua" w:hAnsi="Book Antiqua"/>
          <w:color w:val="000000"/>
          <w:lang w:val="es-ES_tradnl"/>
        </w:rPr>
        <w:t>e debe examinar la proporción entre el número de dispensarios autorizados y el total de personas con licencia, a fin de determinar si existe un equilibrio adecuado entre la oferta y la demanda dentro del sistema.</w:t>
      </w:r>
      <w:r w:rsidR="00674D2A" w:rsidRPr="006A7D55">
        <w:rPr>
          <w:rStyle w:val="s1"/>
          <w:rFonts w:ascii="Book Antiqua" w:hAnsi="Book Antiqua"/>
          <w:lang w:val="es-ES_tradnl"/>
        </w:rPr>
        <w:t xml:space="preserve">   </w:t>
      </w:r>
    </w:p>
    <w:p w14:paraId="72FB3695" w14:textId="75D4AAB3" w:rsidR="002775BD" w:rsidRPr="006A7D55" w:rsidRDefault="00674D2A" w:rsidP="00DC3926">
      <w:pPr>
        <w:pStyle w:val="p1"/>
        <w:spacing w:before="0" w:beforeAutospacing="0" w:after="240" w:afterAutospacing="0" w:line="360" w:lineRule="auto"/>
        <w:jc w:val="both"/>
        <w:rPr>
          <w:rFonts w:ascii="Book Antiqua" w:hAnsi="Book Antiqua"/>
          <w:lang w:val="es-ES_tradnl"/>
        </w:rPr>
      </w:pPr>
      <w:r w:rsidRPr="006A7D55">
        <w:rPr>
          <w:rStyle w:val="s1"/>
          <w:rFonts w:ascii="Book Antiqua" w:hAnsi="Book Antiqua"/>
          <w:lang w:val="es-ES_tradnl"/>
        </w:rPr>
        <w:t xml:space="preserve"> </w:t>
      </w:r>
      <w:r w:rsidR="00E8281D" w:rsidRPr="006A7D55">
        <w:rPr>
          <w:rStyle w:val="s1"/>
          <w:rFonts w:ascii="Book Antiqua" w:hAnsi="Book Antiqua"/>
          <w:lang w:val="es-ES_tradnl"/>
        </w:rPr>
        <w:t xml:space="preserve">  </w:t>
      </w:r>
      <w:r w:rsidR="00865364" w:rsidRPr="006A7D55">
        <w:rPr>
          <w:rStyle w:val="s1"/>
          <w:rFonts w:ascii="Book Antiqua" w:hAnsi="Book Antiqua"/>
          <w:lang w:val="es-ES_tradnl"/>
        </w:rPr>
        <w:t xml:space="preserve">Dadas estas múltiples interrogantes que emergen del análisis del marco legal y de la realidad del sistema actual, el Senado de Puerto Rico considera necesario ordenar a la Comisión de Salud del Senado de Puerto Rico </w:t>
      </w:r>
      <w:r w:rsidR="003C2E9D">
        <w:rPr>
          <w:rStyle w:val="s1"/>
          <w:rFonts w:ascii="Book Antiqua" w:hAnsi="Book Antiqua"/>
          <w:lang w:val="es-ES_tradnl"/>
        </w:rPr>
        <w:t xml:space="preserve">investigar </w:t>
      </w:r>
      <w:r w:rsidR="00B14275" w:rsidRPr="006A7D55">
        <w:rPr>
          <w:rStyle w:val="s1"/>
          <w:rFonts w:ascii="Book Antiqua" w:hAnsi="Book Antiqua"/>
          <w:lang w:val="es-ES_tradnl"/>
        </w:rPr>
        <w:t>el impacto de esta ley.</w:t>
      </w:r>
    </w:p>
    <w:p w14:paraId="2A69D782" w14:textId="77777777" w:rsidR="002775BD" w:rsidRPr="006A7D55" w:rsidRDefault="002775BD" w:rsidP="002775BD">
      <w:pPr>
        <w:spacing w:line="480" w:lineRule="auto"/>
        <w:rPr>
          <w:rFonts w:ascii="Book Antiqua" w:hAnsi="Book Antiqua"/>
          <w:szCs w:val="24"/>
          <w:lang w:val="es-ES_tradnl"/>
        </w:rPr>
        <w:sectPr w:rsidR="002775BD" w:rsidRPr="006A7D55" w:rsidSect="002775BD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bookmarkStart w:id="0" w:name="OLE_LINK1"/>
      <w:r w:rsidRPr="006A7D55">
        <w:rPr>
          <w:rFonts w:ascii="Book Antiqua" w:hAnsi="Book Antiqua"/>
          <w:b/>
          <w:szCs w:val="24"/>
          <w:lang w:val="es-ES_tradnl"/>
        </w:rPr>
        <w:t>RESUÉLVESE POR EL SENADO DE PUERTO RICO:</w:t>
      </w:r>
    </w:p>
    <w:bookmarkEnd w:id="0"/>
    <w:p w14:paraId="397D66ED" w14:textId="4E52E70D" w:rsidR="002775BD" w:rsidRPr="006A7D55" w:rsidRDefault="002775BD" w:rsidP="00BD0384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/>
          <w:lang w:val="es-ES_tradnl"/>
        </w:rPr>
      </w:pPr>
      <w:r w:rsidRPr="006A7D55">
        <w:rPr>
          <w:rFonts w:ascii="Book Antiqua" w:eastAsia="Book Antiqua" w:hAnsi="Book Antiqua" w:cs="Book Antiqua"/>
          <w:color w:val="000000"/>
          <w:lang w:val="es-ES_tradnl"/>
        </w:rPr>
        <w:t xml:space="preserve">Sección 1.- Se </w:t>
      </w:r>
      <w:r w:rsidR="00B1394F" w:rsidRPr="006A7D55">
        <w:rPr>
          <w:rFonts w:ascii="Book Antiqua" w:hAnsi="Book Antiqua"/>
          <w:lang w:val="es-ES_tradnl"/>
        </w:rPr>
        <w:t xml:space="preserve">ordenar a la Comisión de Salud del Senado de Puerto Rico realizar una investigación exhaustiva sobre el efecto e impacto de la Ley Núm. 42-2017, conocida como la “Ley para Manejar el Estudio, Desarrollo e Investigación del Cannabis para la Innovación, Normas Aplicables y Límites” (“Ley MEDICINAL”), evaluando el cumplimiento de la Junta </w:t>
      </w:r>
      <w:proofErr w:type="spellStart"/>
      <w:r w:rsidR="00B1394F" w:rsidRPr="006A7D55">
        <w:rPr>
          <w:rFonts w:ascii="Book Antiqua" w:hAnsi="Book Antiqua"/>
          <w:lang w:val="es-ES_tradnl"/>
        </w:rPr>
        <w:t>Reglamentadora</w:t>
      </w:r>
      <w:proofErr w:type="spellEnd"/>
      <w:r w:rsidR="00B1394F" w:rsidRPr="006A7D55">
        <w:rPr>
          <w:rFonts w:ascii="Book Antiqua" w:hAnsi="Book Antiqua"/>
          <w:lang w:val="es-ES_tradnl"/>
        </w:rPr>
        <w:t xml:space="preserve"> del Cannabis Medicinal con los deberes que le impone la ley, así como la transparencia, efectividad y resultados del sistema de cannabis medicinal en Puerto Rico en sus aspectos administrativos, regulatorios, científicos y socioeconómicos, incluyendo su impacto en la creación de empleos y en la salud y calidad de vida de los pacientes.</w:t>
      </w:r>
    </w:p>
    <w:p w14:paraId="1AE25DA1" w14:textId="2D181274" w:rsidR="002775BD" w:rsidRPr="006A7D55" w:rsidRDefault="002775BD" w:rsidP="00BD0384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6A7D55">
        <w:rPr>
          <w:rFonts w:ascii="Book Antiqua" w:eastAsia="Book Antiqua" w:hAnsi="Book Antiqua" w:cs="Book Antiqua"/>
          <w:color w:val="000000"/>
          <w:lang w:val="es-ES_tradnl"/>
        </w:rPr>
        <w:lastRenderedPageBreak/>
        <w:t xml:space="preserve">Sección 2.– </w:t>
      </w:r>
      <w:r w:rsidRPr="006A7D55">
        <w:rPr>
          <w:rFonts w:ascii="Book Antiqua" w:hAnsi="Book Antiqua"/>
          <w:color w:val="000000"/>
          <w:lang w:val="es-ES_tradnl"/>
        </w:rPr>
        <w:t>Como parte de la investigación, la Comisión deberá examinar lo siguiente en cuanto a la Ley Núm. 42-2017, conocida como “Ley para Manejar el Estudio, Desarrollo e Investigación del Cannabis para la Innovación, Normas Aplicables y Límite” (“Ley MEDICINAL”)</w:t>
      </w:r>
      <w:r w:rsidR="00BD0384" w:rsidRPr="006A7D55">
        <w:rPr>
          <w:rFonts w:ascii="Book Antiqua" w:hAnsi="Book Antiqua"/>
          <w:color w:val="000000"/>
          <w:lang w:val="es-ES_tradnl"/>
        </w:rPr>
        <w:t>, pero sin limitarse</w:t>
      </w:r>
      <w:r w:rsidRPr="006A7D55">
        <w:rPr>
          <w:rFonts w:ascii="Book Antiqua" w:hAnsi="Book Antiqua"/>
          <w:color w:val="000000"/>
          <w:lang w:val="es-ES_tradnl"/>
        </w:rPr>
        <w:t xml:space="preserve">: </w:t>
      </w:r>
    </w:p>
    <w:p w14:paraId="6F99A423" w14:textId="7E55F52A" w:rsidR="00EA7525" w:rsidRPr="006A7D55" w:rsidRDefault="00EA7525" w:rsidP="00BD0384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ES_tradnl" w:eastAsia="es-ES_tradnl"/>
        </w:rPr>
      </w:pPr>
      <w:r w:rsidRPr="006A7D55">
        <w:rPr>
          <w:rFonts w:ascii="Book Antiqua" w:hAnsi="Book Antiqua"/>
          <w:szCs w:val="24"/>
          <w:lang w:val="es-ES_tradnl" w:eastAsia="es-ES_tradnl"/>
        </w:rPr>
        <w:t xml:space="preserve"> Composición y nombramientos: Información sobre términos, juramentación y representación sectorial en áreas como salud, seguridad y agricultura.</w:t>
      </w:r>
    </w:p>
    <w:p w14:paraId="61605F6B" w14:textId="15BF63D8" w:rsidR="00FD5213" w:rsidRPr="006A7D55" w:rsidRDefault="00FD5213" w:rsidP="00BD0384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ES_tradnl" w:eastAsia="es-ES_tradnl"/>
        </w:rPr>
      </w:pPr>
      <w:r w:rsidRPr="006A7D55">
        <w:rPr>
          <w:rFonts w:ascii="Book Antiqua" w:hAnsi="Book Antiqua"/>
          <w:szCs w:val="24"/>
          <w:lang w:val="es-ES_tradnl" w:eastAsia="es-ES_tradnl"/>
        </w:rPr>
        <w:t xml:space="preserve">La frecuencia y regularidad con la que se celebran las reuniones información sobre su </w:t>
      </w:r>
      <w:r w:rsidRPr="006A7D55">
        <w:rPr>
          <w:rFonts w:ascii="Book Antiqua" w:hAnsi="Book Antiqua"/>
          <w:color w:val="000000" w:themeColor="text1"/>
          <w:szCs w:val="24"/>
          <w:lang w:val="es-ES_tradnl" w:eastAsia="es-ES_tradnl"/>
        </w:rPr>
        <w:t>periodicidad</w:t>
      </w:r>
      <w:r w:rsidRPr="006A7D55">
        <w:rPr>
          <w:rFonts w:ascii="Book Antiqua" w:hAnsi="Book Antiqua"/>
          <w:szCs w:val="24"/>
          <w:lang w:val="es-ES_tradnl" w:eastAsia="es-ES_tradnl"/>
        </w:rPr>
        <w:t xml:space="preserve"> y consistencia.</w:t>
      </w:r>
    </w:p>
    <w:p w14:paraId="51BC674F" w14:textId="37A900B9" w:rsidR="00FD5213" w:rsidRPr="006A7D55" w:rsidRDefault="00FD5213" w:rsidP="00BD0384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ES_tradnl" w:eastAsia="es-ES_tradnl"/>
        </w:rPr>
      </w:pPr>
      <w:r w:rsidRPr="006A7D55">
        <w:rPr>
          <w:rFonts w:ascii="Book Antiqua" w:hAnsi="Book Antiqua"/>
          <w:szCs w:val="24"/>
          <w:lang w:val="es-ES_tradnl" w:eastAsia="es-ES_tradnl"/>
        </w:rPr>
        <w:t>El manejo de las actas, grabaciones y demás registros de las reuniones detalle sobre la conservación y acceso a dichos documentos.</w:t>
      </w:r>
    </w:p>
    <w:p w14:paraId="3DB251F7" w14:textId="7A7B4A01" w:rsidR="00FD5213" w:rsidRPr="006A7D55" w:rsidRDefault="00FD5213" w:rsidP="00BD0384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ES_tradnl" w:eastAsia="es-ES_tradnl"/>
        </w:rPr>
      </w:pPr>
      <w:r w:rsidRPr="006A7D55">
        <w:rPr>
          <w:rFonts w:ascii="Book Antiqua" w:hAnsi="Book Antiqua"/>
          <w:szCs w:val="24"/>
          <w:lang w:val="es-ES_tradnl" w:eastAsia="es-ES_tradnl"/>
        </w:rPr>
        <w:t xml:space="preserve"> La transparencia en la toma de decisiones y el acceso público a la información mecanismos que garanticen apertura y rendición de cuentas.</w:t>
      </w:r>
    </w:p>
    <w:p w14:paraId="690D7283" w14:textId="618C1183" w:rsidR="00FD5213" w:rsidRPr="006A7D55" w:rsidRDefault="00FD5213" w:rsidP="00BD0384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ES_tradnl" w:eastAsia="es-ES_tradnl"/>
        </w:rPr>
      </w:pPr>
      <w:r w:rsidRPr="006A7D55">
        <w:rPr>
          <w:rFonts w:ascii="Book Antiqua" w:hAnsi="Book Antiqua"/>
          <w:szCs w:val="24"/>
          <w:lang w:val="es-ES_tradnl" w:eastAsia="es-ES_tradnl"/>
        </w:rPr>
        <w:t xml:space="preserve"> El grado en que la Junta actúa de forma colegiada verificación de que las decisiones se toman conforme a las facultades que le confiere la ley.</w:t>
      </w:r>
    </w:p>
    <w:p w14:paraId="0B8B4F8D" w14:textId="538F7588" w:rsidR="00FD5213" w:rsidRPr="006A7D55" w:rsidRDefault="00FD5213" w:rsidP="00B14275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ES_tradnl" w:eastAsia="es-ES_tradnl"/>
        </w:rPr>
      </w:pPr>
      <w:r w:rsidRPr="006A7D55">
        <w:rPr>
          <w:rFonts w:ascii="Book Antiqua" w:hAnsi="Book Antiqua"/>
          <w:szCs w:val="24"/>
          <w:lang w:val="es-ES_tradnl" w:eastAsia="es-ES_tradnl"/>
        </w:rPr>
        <w:t>El cumplimiento de los procesos de emisión, renovación, suspensión y revocación de licencias asegurando que se realicen conforme a la ley.</w:t>
      </w:r>
    </w:p>
    <w:p w14:paraId="774A7C93" w14:textId="77777777" w:rsidR="00FD5213" w:rsidRPr="006A7D55" w:rsidRDefault="00FD5213" w:rsidP="00BD0384">
      <w:pPr>
        <w:pStyle w:val="ListParagraph"/>
        <w:numPr>
          <w:ilvl w:val="0"/>
          <w:numId w:val="5"/>
        </w:numPr>
        <w:spacing w:before="100" w:beforeAutospacing="1" w:line="480" w:lineRule="auto"/>
        <w:jc w:val="both"/>
        <w:rPr>
          <w:rFonts w:ascii="Book Antiqua" w:hAnsi="Book Antiqua"/>
          <w:szCs w:val="24"/>
          <w:lang w:val="es-ES_tradnl" w:eastAsia="es-ES_tradnl"/>
        </w:rPr>
      </w:pPr>
      <w:r w:rsidRPr="006A7D55">
        <w:rPr>
          <w:rFonts w:ascii="Book Antiqua" w:hAnsi="Book Antiqua"/>
          <w:szCs w:val="24"/>
          <w:lang w:val="es-ES_tradnl" w:eastAsia="es-ES_tradnl"/>
        </w:rPr>
        <w:t>El impacto del programa en la creación de empleos directos e indirectos información desde la implementación de la Ley.</w:t>
      </w:r>
    </w:p>
    <w:p w14:paraId="6F13A784" w14:textId="52B8BE27" w:rsidR="00FD5213" w:rsidRPr="006A7D55" w:rsidRDefault="00FD5213" w:rsidP="00BD0384">
      <w:pPr>
        <w:pStyle w:val="ListParagraph"/>
        <w:numPr>
          <w:ilvl w:val="0"/>
          <w:numId w:val="5"/>
        </w:numPr>
        <w:spacing w:before="100" w:beforeAutospacing="1" w:line="480" w:lineRule="auto"/>
        <w:jc w:val="both"/>
        <w:rPr>
          <w:rFonts w:ascii="Book Antiqua" w:hAnsi="Book Antiqua"/>
          <w:szCs w:val="24"/>
          <w:lang w:val="es-ES_tradnl" w:eastAsia="es-ES_tradnl"/>
        </w:rPr>
      </w:pPr>
      <w:r w:rsidRPr="006A7D55">
        <w:rPr>
          <w:rFonts w:ascii="Book Antiqua" w:hAnsi="Book Antiqua"/>
          <w:szCs w:val="24"/>
          <w:lang w:val="es-ES_tradnl" w:eastAsia="es-ES_tradnl"/>
        </w:rPr>
        <w:t>Los beneficios tangibles que ha tenido el cannabis medicinal efectos en la salud y calidad de vida de los pacientes.</w:t>
      </w:r>
    </w:p>
    <w:p w14:paraId="2A093E62" w14:textId="0CF210CD" w:rsidR="002775BD" w:rsidRPr="006A7D55" w:rsidRDefault="000F7AAD" w:rsidP="00BD0384">
      <w:pPr>
        <w:spacing w:line="480" w:lineRule="auto"/>
        <w:ind w:left="720" w:firstLine="360"/>
        <w:jc w:val="both"/>
        <w:rPr>
          <w:rFonts w:ascii="Book Antiqua" w:hAnsi="Book Antiqua"/>
          <w:color w:val="000000"/>
          <w:lang w:val="es-ES_tradnl"/>
        </w:rPr>
      </w:pPr>
      <w:r w:rsidRPr="006A7D55">
        <w:rPr>
          <w:rFonts w:ascii="Book Antiqua" w:hAnsi="Book Antiqua"/>
          <w:color w:val="000000"/>
          <w:lang w:val="es-ES_tradnl"/>
        </w:rPr>
        <w:t xml:space="preserve">Sección </w:t>
      </w:r>
      <w:r w:rsidR="002775BD" w:rsidRPr="006A7D55">
        <w:rPr>
          <w:rFonts w:ascii="Book Antiqua" w:hAnsi="Book Antiqua"/>
          <w:color w:val="000000"/>
          <w:lang w:val="es-ES_tradnl"/>
        </w:rPr>
        <w:t>3.- Para la ejecución de lo establecido en l</w:t>
      </w:r>
      <w:r w:rsidR="004E68A4" w:rsidRPr="006A7D55">
        <w:rPr>
          <w:rFonts w:ascii="Book Antiqua" w:hAnsi="Book Antiqua"/>
          <w:color w:val="000000"/>
          <w:lang w:val="es-ES_tradnl"/>
        </w:rPr>
        <w:t>a sección</w:t>
      </w:r>
      <w:r w:rsidR="002775BD" w:rsidRPr="006A7D55">
        <w:rPr>
          <w:rFonts w:ascii="Book Antiqua" w:hAnsi="Book Antiqua"/>
          <w:color w:val="000000"/>
          <w:lang w:val="es-ES_tradnl"/>
        </w:rPr>
        <w:t xml:space="preserve"> 1 y 2 de esta Resolución, la Comisión de Salud del Senado de Puerto Rico podrá, sin limitar sus </w:t>
      </w:r>
      <w:r w:rsidR="002775BD" w:rsidRPr="006A7D55">
        <w:rPr>
          <w:rFonts w:ascii="Book Antiqua" w:hAnsi="Book Antiqua"/>
          <w:color w:val="000000"/>
          <w:lang w:val="es-ES_tradnl"/>
        </w:rPr>
        <w:lastRenderedPageBreak/>
        <w:t>poderes, convocar audiencias públicas, solicitar la comparecencia de funcionarios, especialistas y representantes de laboratorios, requerir documentos, datos o cualquier tipo de evidencia relevante, y llevar a cabo inspecciones presenciales conforme a lo dispuesto en el Artículo 31 del Código Político de Puerto Rico de 1902</w:t>
      </w:r>
      <w:r w:rsidR="00584B63" w:rsidRPr="006A7D55">
        <w:rPr>
          <w:rFonts w:ascii="Book Antiqua" w:hAnsi="Book Antiqua"/>
          <w:color w:val="000000"/>
          <w:lang w:val="es-ES_tradnl"/>
        </w:rPr>
        <w:t>.</w:t>
      </w:r>
    </w:p>
    <w:p w14:paraId="1DACC226" w14:textId="516D8B1A" w:rsidR="003C54F7" w:rsidRPr="006A7D55" w:rsidRDefault="000F7AAD" w:rsidP="00BD0384">
      <w:pPr>
        <w:spacing w:line="480" w:lineRule="auto"/>
        <w:ind w:left="720" w:firstLine="360"/>
        <w:jc w:val="both"/>
        <w:rPr>
          <w:rFonts w:ascii="Book Antiqua" w:hAnsi="Book Antiqua"/>
          <w:color w:val="000000"/>
          <w:lang w:val="es-ES_tradnl"/>
        </w:rPr>
      </w:pPr>
      <w:r w:rsidRPr="006A7D55">
        <w:rPr>
          <w:rFonts w:ascii="Book Antiqua" w:hAnsi="Book Antiqua"/>
          <w:color w:val="000000"/>
          <w:lang w:val="es-ES_tradnl"/>
        </w:rPr>
        <w:t xml:space="preserve">Sección </w:t>
      </w:r>
      <w:r w:rsidR="002775BD" w:rsidRPr="006A7D55">
        <w:rPr>
          <w:rFonts w:ascii="Book Antiqua" w:hAnsi="Book Antiqua"/>
          <w:color w:val="000000"/>
          <w:lang w:val="es-ES_tradnl"/>
        </w:rPr>
        <w:t xml:space="preserve">4.- La presente Resolución entrará en vigor de forma inmediata tras su aprobación. </w:t>
      </w:r>
    </w:p>
    <w:sectPr w:rsidR="003C54F7" w:rsidRPr="006A7D55" w:rsidSect="00E24F7B">
      <w:headerReference w:type="default" r:id="rId12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600B5" w14:textId="77777777" w:rsidR="0030692D" w:rsidRDefault="0030692D">
      <w:r>
        <w:separator/>
      </w:r>
    </w:p>
  </w:endnote>
  <w:endnote w:type="continuationSeparator" w:id="0">
    <w:p w14:paraId="5432FB44" w14:textId="77777777" w:rsidR="0030692D" w:rsidRDefault="00306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EC898" w14:textId="77777777" w:rsidR="0030692D" w:rsidRDefault="0030692D">
      <w:r>
        <w:separator/>
      </w:r>
    </w:p>
  </w:footnote>
  <w:footnote w:type="continuationSeparator" w:id="0">
    <w:p w14:paraId="1F5054C6" w14:textId="77777777" w:rsidR="0030692D" w:rsidRDefault="00306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75102" w14:textId="77777777" w:rsidR="002775BD" w:rsidRDefault="002775B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0D643" w14:textId="77777777" w:rsidR="00F204D8" w:rsidRDefault="00F204D8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9F8C83E" w14:textId="77777777" w:rsidR="00F204D8" w:rsidRDefault="00F204D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A1930"/>
    <w:multiLevelType w:val="hybridMultilevel"/>
    <w:tmpl w:val="FA40F534"/>
    <w:lvl w:ilvl="0" w:tplc="BCEE770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F6208"/>
    <w:multiLevelType w:val="multilevel"/>
    <w:tmpl w:val="38207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5D512D"/>
    <w:multiLevelType w:val="multilevel"/>
    <w:tmpl w:val="C17AD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63B17"/>
    <w:multiLevelType w:val="hybridMultilevel"/>
    <w:tmpl w:val="221AC0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B7B69"/>
    <w:multiLevelType w:val="hybridMultilevel"/>
    <w:tmpl w:val="7F9015DC"/>
    <w:lvl w:ilvl="0" w:tplc="1D802F0C">
      <w:start w:val="11"/>
      <w:numFmt w:val="decimal"/>
      <w:lvlText w:val="%1."/>
      <w:lvlJc w:val="left"/>
      <w:pPr>
        <w:ind w:left="1095" w:hanging="555"/>
      </w:pPr>
      <w:rPr>
        <w:rFonts w:ascii="Arial" w:eastAsia="Arial" w:hAnsi="Arial" w:cs="Arial" w:hint="default"/>
        <w:b/>
        <w:bCs/>
        <w:spacing w:val="-1"/>
        <w:w w:val="59"/>
        <w:sz w:val="23"/>
        <w:szCs w:val="23"/>
      </w:rPr>
    </w:lvl>
    <w:lvl w:ilvl="1" w:tplc="6FA2037A">
      <w:start w:val="1"/>
      <w:numFmt w:val="upperLetter"/>
      <w:lvlText w:val="%2."/>
      <w:lvlJc w:val="left"/>
      <w:pPr>
        <w:ind w:left="1441" w:hanging="342"/>
      </w:pPr>
      <w:rPr>
        <w:b/>
        <w:bCs/>
        <w:spacing w:val="-1"/>
        <w:w w:val="107"/>
      </w:rPr>
    </w:lvl>
    <w:lvl w:ilvl="2" w:tplc="1730F360">
      <w:start w:val="1"/>
      <w:numFmt w:val="decimal"/>
      <w:lvlText w:val="%3."/>
      <w:lvlJc w:val="left"/>
      <w:pPr>
        <w:ind w:left="1397" w:hanging="332"/>
      </w:pPr>
      <w:rPr>
        <w:rFonts w:ascii="Book Antiqua" w:eastAsia="Arial" w:hAnsi="Book Antiqua" w:cs="Arial" w:hint="default"/>
        <w:spacing w:val="-1"/>
        <w:w w:val="94"/>
        <w:sz w:val="24"/>
        <w:szCs w:val="24"/>
      </w:rPr>
    </w:lvl>
    <w:lvl w:ilvl="3" w:tplc="B6A6944C">
      <w:start w:val="1"/>
      <w:numFmt w:val="lowerLetter"/>
      <w:lvlText w:val="%4."/>
      <w:lvlJc w:val="left"/>
      <w:pPr>
        <w:ind w:left="1773" w:hanging="338"/>
      </w:pPr>
      <w:rPr>
        <w:rFonts w:ascii="Arial" w:eastAsia="Arial" w:hAnsi="Arial" w:cs="Arial" w:hint="default"/>
        <w:spacing w:val="-1"/>
        <w:w w:val="108"/>
        <w:sz w:val="20"/>
        <w:szCs w:val="20"/>
      </w:rPr>
    </w:lvl>
    <w:lvl w:ilvl="4" w:tplc="ACFA72D0">
      <w:numFmt w:val="bullet"/>
      <w:lvlText w:val="•"/>
      <w:lvlJc w:val="left"/>
      <w:pPr>
        <w:ind w:left="2988" w:hanging="338"/>
      </w:pPr>
    </w:lvl>
    <w:lvl w:ilvl="5" w:tplc="FBC44FB2">
      <w:numFmt w:val="bullet"/>
      <w:lvlText w:val="•"/>
      <w:lvlJc w:val="left"/>
      <w:pPr>
        <w:ind w:left="4197" w:hanging="338"/>
      </w:pPr>
    </w:lvl>
    <w:lvl w:ilvl="6" w:tplc="DABAAF7E">
      <w:numFmt w:val="bullet"/>
      <w:lvlText w:val="•"/>
      <w:lvlJc w:val="left"/>
      <w:pPr>
        <w:ind w:left="5405" w:hanging="338"/>
      </w:pPr>
    </w:lvl>
    <w:lvl w:ilvl="7" w:tplc="F13086AC">
      <w:numFmt w:val="bullet"/>
      <w:lvlText w:val="•"/>
      <w:lvlJc w:val="left"/>
      <w:pPr>
        <w:ind w:left="6614" w:hanging="338"/>
      </w:pPr>
    </w:lvl>
    <w:lvl w:ilvl="8" w:tplc="ED24272A">
      <w:numFmt w:val="bullet"/>
      <w:lvlText w:val="•"/>
      <w:lvlJc w:val="left"/>
      <w:pPr>
        <w:ind w:left="7822" w:hanging="338"/>
      </w:pPr>
    </w:lvl>
  </w:abstractNum>
  <w:abstractNum w:abstractNumId="5" w15:restartNumberingAfterBreak="0">
    <w:nsid w:val="6F8044D1"/>
    <w:multiLevelType w:val="multilevel"/>
    <w:tmpl w:val="93E07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BA0642"/>
    <w:multiLevelType w:val="multilevel"/>
    <w:tmpl w:val="7E061594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543049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 w16cid:durableId="861433725">
    <w:abstractNumId w:val="3"/>
  </w:num>
  <w:num w:numId="3" w16cid:durableId="1613247197">
    <w:abstractNumId w:val="0"/>
  </w:num>
  <w:num w:numId="4" w16cid:durableId="277495978">
    <w:abstractNumId w:val="1"/>
  </w:num>
  <w:num w:numId="5" w16cid:durableId="818618361">
    <w:abstractNumId w:val="6"/>
  </w:num>
  <w:num w:numId="6" w16cid:durableId="1483040588">
    <w:abstractNumId w:val="2"/>
  </w:num>
  <w:num w:numId="7" w16cid:durableId="4818978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71D8D"/>
    <w:rsid w:val="00025511"/>
    <w:rsid w:val="00032049"/>
    <w:rsid w:val="0003642A"/>
    <w:rsid w:val="00044A9D"/>
    <w:rsid w:val="00050B3C"/>
    <w:rsid w:val="00051E9E"/>
    <w:rsid w:val="00052DB6"/>
    <w:rsid w:val="0006538B"/>
    <w:rsid w:val="00070B19"/>
    <w:rsid w:val="00071BAE"/>
    <w:rsid w:val="00071D8D"/>
    <w:rsid w:val="00075E46"/>
    <w:rsid w:val="0008479B"/>
    <w:rsid w:val="00093520"/>
    <w:rsid w:val="000A642B"/>
    <w:rsid w:val="000B4743"/>
    <w:rsid w:val="000D733B"/>
    <w:rsid w:val="000E12D8"/>
    <w:rsid w:val="000E26A8"/>
    <w:rsid w:val="000E40C9"/>
    <w:rsid w:val="000F6834"/>
    <w:rsid w:val="000F7AAD"/>
    <w:rsid w:val="001008C4"/>
    <w:rsid w:val="0011018D"/>
    <w:rsid w:val="0011273E"/>
    <w:rsid w:val="00120B54"/>
    <w:rsid w:val="00141FF1"/>
    <w:rsid w:val="00151792"/>
    <w:rsid w:val="001518BD"/>
    <w:rsid w:val="001523BC"/>
    <w:rsid w:val="00154929"/>
    <w:rsid w:val="00192253"/>
    <w:rsid w:val="001971F5"/>
    <w:rsid w:val="001A5F6F"/>
    <w:rsid w:val="001B594E"/>
    <w:rsid w:val="001C5B6A"/>
    <w:rsid w:val="001C6EC1"/>
    <w:rsid w:val="001D3AF4"/>
    <w:rsid w:val="001E78CF"/>
    <w:rsid w:val="00211C6E"/>
    <w:rsid w:val="002151F3"/>
    <w:rsid w:val="002268FA"/>
    <w:rsid w:val="0023177F"/>
    <w:rsid w:val="002477F7"/>
    <w:rsid w:val="00250B7B"/>
    <w:rsid w:val="0025431A"/>
    <w:rsid w:val="00254666"/>
    <w:rsid w:val="00275D9E"/>
    <w:rsid w:val="0027622F"/>
    <w:rsid w:val="002775BD"/>
    <w:rsid w:val="002B205B"/>
    <w:rsid w:val="002B2E97"/>
    <w:rsid w:val="002C6FD7"/>
    <w:rsid w:val="002D09B6"/>
    <w:rsid w:val="002D4108"/>
    <w:rsid w:val="002D5BEA"/>
    <w:rsid w:val="002E5EBB"/>
    <w:rsid w:val="002E6D71"/>
    <w:rsid w:val="002E6F21"/>
    <w:rsid w:val="002E71A0"/>
    <w:rsid w:val="002F6C0B"/>
    <w:rsid w:val="00304DD9"/>
    <w:rsid w:val="00305CC4"/>
    <w:rsid w:val="0030692D"/>
    <w:rsid w:val="00312A07"/>
    <w:rsid w:val="003146CD"/>
    <w:rsid w:val="00320EE2"/>
    <w:rsid w:val="00321EB7"/>
    <w:rsid w:val="00323544"/>
    <w:rsid w:val="00327F45"/>
    <w:rsid w:val="00333B5E"/>
    <w:rsid w:val="00335E96"/>
    <w:rsid w:val="00341814"/>
    <w:rsid w:val="003530BD"/>
    <w:rsid w:val="00354F2D"/>
    <w:rsid w:val="0035722C"/>
    <w:rsid w:val="003772D0"/>
    <w:rsid w:val="0039251C"/>
    <w:rsid w:val="003A3F61"/>
    <w:rsid w:val="003A6C64"/>
    <w:rsid w:val="003B2D03"/>
    <w:rsid w:val="003B33D1"/>
    <w:rsid w:val="003B6CDB"/>
    <w:rsid w:val="003C2385"/>
    <w:rsid w:val="003C2E9D"/>
    <w:rsid w:val="003C54F7"/>
    <w:rsid w:val="003D1447"/>
    <w:rsid w:val="003F7A69"/>
    <w:rsid w:val="00402CAF"/>
    <w:rsid w:val="00403429"/>
    <w:rsid w:val="004259F4"/>
    <w:rsid w:val="0042753F"/>
    <w:rsid w:val="00430DD2"/>
    <w:rsid w:val="00440916"/>
    <w:rsid w:val="0046556B"/>
    <w:rsid w:val="004717F0"/>
    <w:rsid w:val="0047322D"/>
    <w:rsid w:val="00473A44"/>
    <w:rsid w:val="00481560"/>
    <w:rsid w:val="0048238C"/>
    <w:rsid w:val="0049054B"/>
    <w:rsid w:val="004C05C5"/>
    <w:rsid w:val="004C402E"/>
    <w:rsid w:val="004D045D"/>
    <w:rsid w:val="004E68A4"/>
    <w:rsid w:val="004F1EE4"/>
    <w:rsid w:val="005136A5"/>
    <w:rsid w:val="005339C6"/>
    <w:rsid w:val="0053551F"/>
    <w:rsid w:val="00551AC1"/>
    <w:rsid w:val="00553A61"/>
    <w:rsid w:val="005552AB"/>
    <w:rsid w:val="00556E8B"/>
    <w:rsid w:val="00556F14"/>
    <w:rsid w:val="00561F48"/>
    <w:rsid w:val="005700C5"/>
    <w:rsid w:val="005706C2"/>
    <w:rsid w:val="00575EB3"/>
    <w:rsid w:val="00584B63"/>
    <w:rsid w:val="00587C02"/>
    <w:rsid w:val="00595614"/>
    <w:rsid w:val="00596DAB"/>
    <w:rsid w:val="005A76D0"/>
    <w:rsid w:val="005C2ADA"/>
    <w:rsid w:val="005C511C"/>
    <w:rsid w:val="005D74B2"/>
    <w:rsid w:val="005E1B68"/>
    <w:rsid w:val="005E313F"/>
    <w:rsid w:val="005E7797"/>
    <w:rsid w:val="005F2825"/>
    <w:rsid w:val="005F2961"/>
    <w:rsid w:val="005F5AED"/>
    <w:rsid w:val="00620A62"/>
    <w:rsid w:val="0063156C"/>
    <w:rsid w:val="00635748"/>
    <w:rsid w:val="00651957"/>
    <w:rsid w:val="00660E6B"/>
    <w:rsid w:val="0066340D"/>
    <w:rsid w:val="00664A90"/>
    <w:rsid w:val="00671919"/>
    <w:rsid w:val="00674D2A"/>
    <w:rsid w:val="00676BBB"/>
    <w:rsid w:val="00677F44"/>
    <w:rsid w:val="006A1794"/>
    <w:rsid w:val="006A2671"/>
    <w:rsid w:val="006A754F"/>
    <w:rsid w:val="006A7D55"/>
    <w:rsid w:val="006B4771"/>
    <w:rsid w:val="006B559B"/>
    <w:rsid w:val="006C1F95"/>
    <w:rsid w:val="006C368B"/>
    <w:rsid w:val="006C7FB6"/>
    <w:rsid w:val="006D12A9"/>
    <w:rsid w:val="006E0E48"/>
    <w:rsid w:val="006E558D"/>
    <w:rsid w:val="006F2D8E"/>
    <w:rsid w:val="006F3FB4"/>
    <w:rsid w:val="00704C62"/>
    <w:rsid w:val="00706488"/>
    <w:rsid w:val="007106CE"/>
    <w:rsid w:val="0071352F"/>
    <w:rsid w:val="00720709"/>
    <w:rsid w:val="0072656D"/>
    <w:rsid w:val="007316B1"/>
    <w:rsid w:val="00741B15"/>
    <w:rsid w:val="00746EF2"/>
    <w:rsid w:val="00766AFC"/>
    <w:rsid w:val="00775B3C"/>
    <w:rsid w:val="00777966"/>
    <w:rsid w:val="00790C86"/>
    <w:rsid w:val="00796175"/>
    <w:rsid w:val="007B1B8F"/>
    <w:rsid w:val="007C0D77"/>
    <w:rsid w:val="007C16AA"/>
    <w:rsid w:val="007C18E8"/>
    <w:rsid w:val="007C40A5"/>
    <w:rsid w:val="007D1C2B"/>
    <w:rsid w:val="007D37BA"/>
    <w:rsid w:val="007E4FD8"/>
    <w:rsid w:val="007F30C1"/>
    <w:rsid w:val="007F71A5"/>
    <w:rsid w:val="008177A8"/>
    <w:rsid w:val="0082486F"/>
    <w:rsid w:val="00827101"/>
    <w:rsid w:val="0083070A"/>
    <w:rsid w:val="00835DF2"/>
    <w:rsid w:val="00836F93"/>
    <w:rsid w:val="00847062"/>
    <w:rsid w:val="008547BE"/>
    <w:rsid w:val="00855099"/>
    <w:rsid w:val="00865364"/>
    <w:rsid w:val="00891314"/>
    <w:rsid w:val="0089149B"/>
    <w:rsid w:val="008955DB"/>
    <w:rsid w:val="008956E0"/>
    <w:rsid w:val="008971E0"/>
    <w:rsid w:val="008A5FF8"/>
    <w:rsid w:val="008C4131"/>
    <w:rsid w:val="008C4672"/>
    <w:rsid w:val="008C55E8"/>
    <w:rsid w:val="008D1CC6"/>
    <w:rsid w:val="008E07AC"/>
    <w:rsid w:val="008E2201"/>
    <w:rsid w:val="008E4B89"/>
    <w:rsid w:val="008E6E97"/>
    <w:rsid w:val="008F0830"/>
    <w:rsid w:val="008F5C37"/>
    <w:rsid w:val="0091569B"/>
    <w:rsid w:val="00917CB6"/>
    <w:rsid w:val="0092176F"/>
    <w:rsid w:val="00926B97"/>
    <w:rsid w:val="00927161"/>
    <w:rsid w:val="00932D9C"/>
    <w:rsid w:val="009377DB"/>
    <w:rsid w:val="00951077"/>
    <w:rsid w:val="00960A85"/>
    <w:rsid w:val="0096414F"/>
    <w:rsid w:val="009754EE"/>
    <w:rsid w:val="00980C1C"/>
    <w:rsid w:val="00982D20"/>
    <w:rsid w:val="009A02FF"/>
    <w:rsid w:val="009A40C6"/>
    <w:rsid w:val="009B4A1B"/>
    <w:rsid w:val="009B5D55"/>
    <w:rsid w:val="009C1CA8"/>
    <w:rsid w:val="009C691B"/>
    <w:rsid w:val="009C765B"/>
    <w:rsid w:val="009D57B8"/>
    <w:rsid w:val="009D5ABE"/>
    <w:rsid w:val="009F0C9C"/>
    <w:rsid w:val="009F50C9"/>
    <w:rsid w:val="009F6EE9"/>
    <w:rsid w:val="00A00314"/>
    <w:rsid w:val="00A02C01"/>
    <w:rsid w:val="00A13C23"/>
    <w:rsid w:val="00A20600"/>
    <w:rsid w:val="00A237F3"/>
    <w:rsid w:val="00A36D1F"/>
    <w:rsid w:val="00A37225"/>
    <w:rsid w:val="00A42AEA"/>
    <w:rsid w:val="00A436C2"/>
    <w:rsid w:val="00A4781D"/>
    <w:rsid w:val="00A509B5"/>
    <w:rsid w:val="00A60AA5"/>
    <w:rsid w:val="00A747EA"/>
    <w:rsid w:val="00A750BD"/>
    <w:rsid w:val="00A75435"/>
    <w:rsid w:val="00A829DF"/>
    <w:rsid w:val="00AA3EE8"/>
    <w:rsid w:val="00AA6C49"/>
    <w:rsid w:val="00AB1C7C"/>
    <w:rsid w:val="00AC34B5"/>
    <w:rsid w:val="00AC76AD"/>
    <w:rsid w:val="00AC7945"/>
    <w:rsid w:val="00AD08F3"/>
    <w:rsid w:val="00AF1347"/>
    <w:rsid w:val="00AF479D"/>
    <w:rsid w:val="00B00155"/>
    <w:rsid w:val="00B006D8"/>
    <w:rsid w:val="00B1017E"/>
    <w:rsid w:val="00B1394F"/>
    <w:rsid w:val="00B13C00"/>
    <w:rsid w:val="00B14275"/>
    <w:rsid w:val="00B1790D"/>
    <w:rsid w:val="00B21289"/>
    <w:rsid w:val="00B31A84"/>
    <w:rsid w:val="00B435CE"/>
    <w:rsid w:val="00B456A4"/>
    <w:rsid w:val="00B71868"/>
    <w:rsid w:val="00B77F63"/>
    <w:rsid w:val="00B8703F"/>
    <w:rsid w:val="00BA3362"/>
    <w:rsid w:val="00BB5616"/>
    <w:rsid w:val="00BB7E00"/>
    <w:rsid w:val="00BC2D7A"/>
    <w:rsid w:val="00BD0384"/>
    <w:rsid w:val="00BF6758"/>
    <w:rsid w:val="00BF771E"/>
    <w:rsid w:val="00C05549"/>
    <w:rsid w:val="00C105BF"/>
    <w:rsid w:val="00C139FA"/>
    <w:rsid w:val="00C202D3"/>
    <w:rsid w:val="00C27704"/>
    <w:rsid w:val="00C365B1"/>
    <w:rsid w:val="00C42604"/>
    <w:rsid w:val="00C433A2"/>
    <w:rsid w:val="00C4367B"/>
    <w:rsid w:val="00C46586"/>
    <w:rsid w:val="00C61DAB"/>
    <w:rsid w:val="00C652E0"/>
    <w:rsid w:val="00C87264"/>
    <w:rsid w:val="00CA2B20"/>
    <w:rsid w:val="00CA509E"/>
    <w:rsid w:val="00CA5AB2"/>
    <w:rsid w:val="00CB775D"/>
    <w:rsid w:val="00CC4852"/>
    <w:rsid w:val="00CD21BD"/>
    <w:rsid w:val="00CE4A7C"/>
    <w:rsid w:val="00D10CF6"/>
    <w:rsid w:val="00D16B2D"/>
    <w:rsid w:val="00D20C77"/>
    <w:rsid w:val="00D31E58"/>
    <w:rsid w:val="00D33CB3"/>
    <w:rsid w:val="00D4423B"/>
    <w:rsid w:val="00D47CD5"/>
    <w:rsid w:val="00D51285"/>
    <w:rsid w:val="00D56D0E"/>
    <w:rsid w:val="00D61BD8"/>
    <w:rsid w:val="00D63DB2"/>
    <w:rsid w:val="00D64E28"/>
    <w:rsid w:val="00D66835"/>
    <w:rsid w:val="00D81A58"/>
    <w:rsid w:val="00D822EA"/>
    <w:rsid w:val="00D85C28"/>
    <w:rsid w:val="00D86247"/>
    <w:rsid w:val="00D91BD9"/>
    <w:rsid w:val="00DA11D8"/>
    <w:rsid w:val="00DA521D"/>
    <w:rsid w:val="00DB36C5"/>
    <w:rsid w:val="00DB56B5"/>
    <w:rsid w:val="00DB5CD1"/>
    <w:rsid w:val="00DC3926"/>
    <w:rsid w:val="00DD6B0B"/>
    <w:rsid w:val="00DE51FE"/>
    <w:rsid w:val="00DE7E38"/>
    <w:rsid w:val="00E02074"/>
    <w:rsid w:val="00E17048"/>
    <w:rsid w:val="00E24F7B"/>
    <w:rsid w:val="00E3426F"/>
    <w:rsid w:val="00E433D2"/>
    <w:rsid w:val="00E455D4"/>
    <w:rsid w:val="00E47753"/>
    <w:rsid w:val="00E534F2"/>
    <w:rsid w:val="00E55203"/>
    <w:rsid w:val="00E55557"/>
    <w:rsid w:val="00E62259"/>
    <w:rsid w:val="00E625D6"/>
    <w:rsid w:val="00E65D17"/>
    <w:rsid w:val="00E8129B"/>
    <w:rsid w:val="00E8281D"/>
    <w:rsid w:val="00E91069"/>
    <w:rsid w:val="00E92B47"/>
    <w:rsid w:val="00E94EF5"/>
    <w:rsid w:val="00E96EB7"/>
    <w:rsid w:val="00EA235D"/>
    <w:rsid w:val="00EA7525"/>
    <w:rsid w:val="00EB4BB6"/>
    <w:rsid w:val="00EC006D"/>
    <w:rsid w:val="00EC15D6"/>
    <w:rsid w:val="00EC1F45"/>
    <w:rsid w:val="00ED2366"/>
    <w:rsid w:val="00ED2585"/>
    <w:rsid w:val="00ED50CD"/>
    <w:rsid w:val="00F05F54"/>
    <w:rsid w:val="00F06CD0"/>
    <w:rsid w:val="00F204D8"/>
    <w:rsid w:val="00F30FC4"/>
    <w:rsid w:val="00F33759"/>
    <w:rsid w:val="00F34C6A"/>
    <w:rsid w:val="00F34F70"/>
    <w:rsid w:val="00F35762"/>
    <w:rsid w:val="00F47C62"/>
    <w:rsid w:val="00F5328E"/>
    <w:rsid w:val="00F633F9"/>
    <w:rsid w:val="00F7576D"/>
    <w:rsid w:val="00F85752"/>
    <w:rsid w:val="00F96016"/>
    <w:rsid w:val="00FB702B"/>
    <w:rsid w:val="00FD5213"/>
    <w:rsid w:val="00FF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59D01C"/>
  <w15:chartTrackingRefBased/>
  <w15:docId w15:val="{6827AD44-B697-EB4C-BAF2-9163B7E44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semiHidden/>
    <w:unhideWhenUsed/>
    <w:rsid w:val="009D5A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9D5A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6AA"/>
    <w:pPr>
      <w:ind w:left="720"/>
      <w:contextualSpacing/>
    </w:pPr>
  </w:style>
  <w:style w:type="character" w:customStyle="1" w:styleId="HeaderChar">
    <w:name w:val="Header Char"/>
    <w:link w:val="Header"/>
    <w:uiPriority w:val="99"/>
    <w:rsid w:val="002D5BEA"/>
    <w:rPr>
      <w:sz w:val="24"/>
    </w:rPr>
  </w:style>
  <w:style w:type="paragraph" w:styleId="NormalWeb">
    <w:name w:val="Normal (Web)"/>
    <w:basedOn w:val="Normal"/>
    <w:uiPriority w:val="99"/>
    <w:unhideWhenUsed/>
    <w:rsid w:val="00F05F54"/>
    <w:pPr>
      <w:spacing w:before="100" w:beforeAutospacing="1" w:after="100" w:afterAutospacing="1"/>
    </w:pPr>
    <w:rPr>
      <w:szCs w:val="24"/>
      <w:lang w:val="es-PR" w:eastAsia="es-ES_tradnl"/>
    </w:rPr>
  </w:style>
  <w:style w:type="character" w:customStyle="1" w:styleId="FooterChar">
    <w:name w:val="Footer Char"/>
    <w:link w:val="Footer"/>
    <w:uiPriority w:val="99"/>
    <w:rsid w:val="002775BD"/>
    <w:rPr>
      <w:sz w:val="24"/>
      <w:lang w:val="en-US" w:eastAsia="en-US"/>
    </w:rPr>
  </w:style>
  <w:style w:type="paragraph" w:customStyle="1" w:styleId="p1">
    <w:name w:val="p1"/>
    <w:basedOn w:val="Normal"/>
    <w:rsid w:val="00865364"/>
    <w:pPr>
      <w:spacing w:before="100" w:beforeAutospacing="1" w:after="100" w:afterAutospacing="1"/>
    </w:pPr>
    <w:rPr>
      <w:rFonts w:eastAsiaTheme="minorEastAsia"/>
      <w:szCs w:val="24"/>
      <w:lang w:val="es-US" w:eastAsia="es-ES"/>
    </w:rPr>
  </w:style>
  <w:style w:type="character" w:customStyle="1" w:styleId="s1">
    <w:name w:val="s1"/>
    <w:basedOn w:val="DefaultParagraphFont"/>
    <w:rsid w:val="00865364"/>
  </w:style>
  <w:style w:type="paragraph" w:customStyle="1" w:styleId="p2">
    <w:name w:val="p2"/>
    <w:basedOn w:val="Normal"/>
    <w:rsid w:val="00865364"/>
    <w:pPr>
      <w:spacing w:before="100" w:beforeAutospacing="1" w:after="100" w:afterAutospacing="1"/>
    </w:pPr>
    <w:rPr>
      <w:rFonts w:eastAsiaTheme="minorEastAsia"/>
      <w:szCs w:val="24"/>
      <w:lang w:val="es-US" w:eastAsia="es-ES"/>
    </w:rPr>
  </w:style>
  <w:style w:type="paragraph" w:customStyle="1" w:styleId="p3">
    <w:name w:val="p3"/>
    <w:basedOn w:val="Normal"/>
    <w:rsid w:val="00FD5213"/>
    <w:pPr>
      <w:spacing w:before="100" w:beforeAutospacing="1" w:after="100" w:afterAutospacing="1"/>
    </w:pPr>
    <w:rPr>
      <w:szCs w:val="24"/>
      <w:lang w:val="es-PR" w:eastAsia="es-ES_tradnl"/>
    </w:rPr>
  </w:style>
  <w:style w:type="character" w:customStyle="1" w:styleId="s2">
    <w:name w:val="s2"/>
    <w:basedOn w:val="DefaultParagraphFont"/>
    <w:rsid w:val="00FD5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51919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6321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0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9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2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09052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2679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5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4SQX5P7U7WPY-958212181-819134</_dlc_DocId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https://senpr.sharepoint.com/sites/obralegislativa/_layouts/15/DocIdRedir.aspx?ID=4SQX5P7U7WPY-958212181-819134</Url>
      <Description>4SQX5P7U7WPY-958212181-819134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83E4720-134A-4C16-AD9F-68297CE019D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6AFB2F1-0DFF-4A97-8DE7-D6AAE13664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AA09CD-E6AC-4163-ACA6-C686B34172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891658B-8104-4A04-9007-3FD89AEEFF1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D21A2C4-1D36-4054-93BC-F2C7DEFBCD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1117</Words>
  <Characters>6214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/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Edil R. Barbosa Vázquez (Asesores Legislativos)</dc:creator>
  <cp:keywords/>
  <cp:lastModifiedBy>Monica Maldonado Gonzalez (Trámites y Récords)</cp:lastModifiedBy>
  <cp:revision>2</cp:revision>
  <cp:lastPrinted>2025-09-24T14:09:00Z</cp:lastPrinted>
  <dcterms:created xsi:type="dcterms:W3CDTF">2025-09-25T19:34:00Z</dcterms:created>
  <dcterms:modified xsi:type="dcterms:W3CDTF">2025-09-25T19:34:00Z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1688056365</vt:i4>
  </property>
  <property fmtid="{D5CDD505-2E9C-101B-9397-08002B2CF9AE}" pid="3" name="_dlc_DocId">
    <vt:lpwstr>4SQX5P7U7WPY-958212181-798997</vt:lpwstr>
  </property>
  <property fmtid="{D5CDD505-2E9C-101B-9397-08002B2CF9AE}" pid="4" name="_dlc_DocIdItemGuid">
    <vt:lpwstr>20be3986-e2ad-4d38-bdb0-42a1d6f1647b</vt:lpwstr>
  </property>
  <property fmtid="{D5CDD505-2E9C-101B-9397-08002B2CF9AE}" pid="5" name="_dlc_DocIdUrl">
    <vt:lpwstr>https://senpr.sharepoint.com/sites/obralegislativa/_layouts/15/DocIdRedir.aspx?ID=4SQX5P7U7WPY-958212181-798997, 4SQX5P7U7WPY-958212181-798997</vt:lpwstr>
  </property>
  <property fmtid="{D5CDD505-2E9C-101B-9397-08002B2CF9AE}" pid="6" name="_ip_UnifiedCompliancePolicyUIAction">
    <vt:lpwstr/>
  </property>
  <property fmtid="{D5CDD505-2E9C-101B-9397-08002B2CF9AE}" pid="7" name="TaxCatchAll">
    <vt:lpwstr/>
  </property>
  <property fmtid="{D5CDD505-2E9C-101B-9397-08002B2CF9AE}" pid="8" name="_ip_UnifiedCompliancePolicyProperties">
    <vt:lpwstr/>
  </property>
  <property fmtid="{D5CDD505-2E9C-101B-9397-08002B2CF9AE}" pid="9" name="lcf76f155ced4ddcb4097134ff3c332f">
    <vt:lpwstr/>
  </property>
  <property fmtid="{D5CDD505-2E9C-101B-9397-08002B2CF9AE}" pid="10" name="ContentTypeId">
    <vt:lpwstr>0x0101008C58FC75B682744FB4A53C756BEDC3A3</vt:lpwstr>
  </property>
  <property fmtid="{D5CDD505-2E9C-101B-9397-08002B2CF9AE}" pid="11" name="MediaServiceImageTags">
    <vt:lpwstr/>
  </property>
</Properties>
</file>