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C8810" w14:textId="77777777" w:rsidR="00981A6C" w:rsidRPr="0039078C" w:rsidRDefault="00981A6C" w:rsidP="00981A6C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 w:rsidRPr="0039078C">
        <w:rPr>
          <w:rFonts w:ascii="Book Antiqua" w:hAnsi="Book Antiqua"/>
          <w:caps/>
          <w:sz w:val="28"/>
          <w:szCs w:val="28"/>
          <w:lang w:val="es-ES"/>
        </w:rPr>
        <w:t>GOBIERNO de Puerto Rico</w:t>
      </w:r>
    </w:p>
    <w:p w14:paraId="6D5CD488" w14:textId="77777777" w:rsidR="00981A6C" w:rsidRPr="0039078C" w:rsidRDefault="00981A6C" w:rsidP="00981A6C">
      <w:pPr>
        <w:jc w:val="center"/>
        <w:rPr>
          <w:rFonts w:ascii="Book Antiqua" w:hAnsi="Book Antiqua"/>
          <w:lang w:val="es-ES"/>
        </w:rPr>
      </w:pPr>
    </w:p>
    <w:p w14:paraId="1D525607" w14:textId="641BA591" w:rsidR="00981A6C" w:rsidRPr="0039078C" w:rsidRDefault="00431BE6" w:rsidP="00981A6C">
      <w:p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_tradnl"/>
        </w:rPr>
        <w:t>20</w:t>
      </w:r>
      <w:r>
        <w:rPr>
          <w:rFonts w:ascii="Book Antiqua" w:hAnsi="Book Antiqua"/>
          <w:vertAlign w:val="superscript"/>
          <w:lang w:val="es-ES_tradnl"/>
        </w:rPr>
        <w:t>m</w:t>
      </w:r>
      <w:r w:rsidRPr="00FA777E">
        <w:rPr>
          <w:rFonts w:ascii="Book Antiqua" w:hAnsi="Book Antiqua"/>
          <w:vertAlign w:val="superscript"/>
          <w:lang w:val="es-ES_tradnl"/>
        </w:rPr>
        <w:t>a</w:t>
      </w:r>
      <w:r>
        <w:rPr>
          <w:rFonts w:ascii="Book Antiqua" w:hAnsi="Book Antiqua"/>
          <w:vertAlign w:val="superscript"/>
          <w:lang w:val="es-ES_tradnl"/>
        </w:rPr>
        <w:t>.</w:t>
      </w:r>
      <w:r w:rsidR="00981A6C" w:rsidRPr="0039078C">
        <w:rPr>
          <w:rFonts w:ascii="Book Antiqua" w:hAnsi="Book Antiqua"/>
          <w:lang w:val="es-ES"/>
        </w:rPr>
        <w:t xml:space="preserve"> Asamblea</w:t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  <w:t xml:space="preserve">           </w:t>
      </w:r>
      <w:r w:rsidR="00791157">
        <w:rPr>
          <w:rFonts w:ascii="Book Antiqua" w:hAnsi="Book Antiqua"/>
          <w:lang w:val="es-ES_tradnl"/>
        </w:rPr>
        <w:t>2</w:t>
      </w:r>
      <w:r w:rsidR="00791157">
        <w:rPr>
          <w:rFonts w:ascii="Book Antiqua" w:hAnsi="Book Antiqua"/>
          <w:vertAlign w:val="superscript"/>
          <w:lang w:val="es-ES_tradnl"/>
        </w:rPr>
        <w:t>d</w:t>
      </w:r>
      <w:r w:rsidRPr="00FA777E">
        <w:rPr>
          <w:rFonts w:ascii="Book Antiqua" w:hAnsi="Book Antiqua"/>
          <w:vertAlign w:val="superscript"/>
          <w:lang w:val="es-ES_tradnl"/>
        </w:rPr>
        <w:t>a</w:t>
      </w:r>
      <w:r>
        <w:rPr>
          <w:rFonts w:ascii="Book Antiqua" w:hAnsi="Book Antiqua"/>
          <w:vertAlign w:val="superscript"/>
          <w:lang w:val="es-ES_tradnl"/>
        </w:rPr>
        <w:t>.</w:t>
      </w:r>
      <w:r w:rsidR="00981A6C" w:rsidRPr="0039078C">
        <w:rPr>
          <w:rFonts w:ascii="Book Antiqua" w:hAnsi="Book Antiqua"/>
          <w:lang w:val="es-ES"/>
        </w:rPr>
        <w:t xml:space="preserve"> Sesión</w:t>
      </w:r>
    </w:p>
    <w:p w14:paraId="7ABAFE51" w14:textId="77777777" w:rsidR="00981A6C" w:rsidRPr="0039078C" w:rsidRDefault="00981A6C" w:rsidP="00981A6C">
      <w:pPr>
        <w:ind w:firstLine="561"/>
        <w:jc w:val="both"/>
        <w:rPr>
          <w:rFonts w:ascii="Book Antiqua" w:hAnsi="Book Antiqua"/>
          <w:lang w:val="es-ES"/>
        </w:rPr>
      </w:pPr>
      <w:r w:rsidRPr="0039078C">
        <w:rPr>
          <w:rFonts w:ascii="Book Antiqua" w:hAnsi="Book Antiqua"/>
          <w:lang w:val="es-ES"/>
        </w:rPr>
        <w:t xml:space="preserve">  Legislativa</w:t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  <w:t xml:space="preserve">      Ordinaria</w:t>
      </w:r>
    </w:p>
    <w:p w14:paraId="72BB56F8" w14:textId="77777777" w:rsidR="00981A6C" w:rsidRPr="0039078C" w:rsidRDefault="00981A6C" w:rsidP="00981A6C">
      <w:pPr>
        <w:jc w:val="center"/>
        <w:rPr>
          <w:rFonts w:ascii="Book Antiqua" w:hAnsi="Book Antiqua"/>
          <w:lang w:val="es-ES"/>
        </w:rPr>
      </w:pPr>
    </w:p>
    <w:p w14:paraId="18045784" w14:textId="77777777" w:rsidR="00981A6C" w:rsidRPr="0039078C" w:rsidRDefault="00981A6C" w:rsidP="00981A6C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39078C">
        <w:rPr>
          <w:rFonts w:ascii="Book Antiqua" w:hAnsi="Book Antiqua"/>
          <w:b/>
          <w:sz w:val="36"/>
          <w:szCs w:val="36"/>
          <w:lang w:val="es-ES"/>
        </w:rPr>
        <w:t>C</w:t>
      </w:r>
      <w:r w:rsidRPr="0039078C">
        <w:rPr>
          <w:rFonts w:ascii="Book Antiqua" w:hAnsi="Book Antiqua" w:cs="MV Boli"/>
          <w:b/>
          <w:sz w:val="36"/>
          <w:szCs w:val="36"/>
          <w:lang w:val="es-ES"/>
        </w:rPr>
        <w:t>Á</w:t>
      </w:r>
      <w:r w:rsidRPr="0039078C">
        <w:rPr>
          <w:rFonts w:ascii="Book Antiqua" w:hAnsi="Book Antiqua"/>
          <w:b/>
          <w:sz w:val="36"/>
          <w:szCs w:val="36"/>
          <w:lang w:val="es-ES"/>
        </w:rPr>
        <w:t>MARA DE REPRESENTANTES</w:t>
      </w:r>
    </w:p>
    <w:p w14:paraId="799E1A52" w14:textId="77777777" w:rsidR="00981A6C" w:rsidRPr="0039078C" w:rsidRDefault="00981A6C" w:rsidP="00981A6C">
      <w:pPr>
        <w:jc w:val="center"/>
        <w:rPr>
          <w:rFonts w:ascii="Book Antiqua" w:hAnsi="Book Antiqua"/>
          <w:lang w:val="es-ES"/>
        </w:rPr>
      </w:pPr>
    </w:p>
    <w:p w14:paraId="4164C4E8" w14:textId="76C08DC2" w:rsidR="00981A6C" w:rsidRPr="0039078C" w:rsidRDefault="00981A6C" w:rsidP="00981A6C">
      <w:pPr>
        <w:tabs>
          <w:tab w:val="left" w:pos="6240"/>
        </w:tabs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39078C">
        <w:rPr>
          <w:rFonts w:ascii="Book Antiqua" w:hAnsi="Book Antiqua"/>
          <w:b/>
          <w:sz w:val="52"/>
          <w:szCs w:val="52"/>
          <w:lang w:val="es-ES_tradnl"/>
        </w:rPr>
        <w:t xml:space="preserve">P. de la C. </w:t>
      </w:r>
      <w:r w:rsidR="006F5E65">
        <w:rPr>
          <w:rFonts w:ascii="Book Antiqua" w:hAnsi="Book Antiqua"/>
          <w:b/>
          <w:sz w:val="52"/>
          <w:szCs w:val="52"/>
          <w:lang w:val="es-ES_tradnl"/>
        </w:rPr>
        <w:t>881</w:t>
      </w:r>
    </w:p>
    <w:p w14:paraId="51E2E1B4" w14:textId="77777777" w:rsidR="00981A6C" w:rsidRPr="0039078C" w:rsidRDefault="00981A6C" w:rsidP="00981A6C">
      <w:pPr>
        <w:tabs>
          <w:tab w:val="left" w:pos="6240"/>
        </w:tabs>
        <w:jc w:val="center"/>
        <w:rPr>
          <w:rFonts w:ascii="Book Antiqua" w:hAnsi="Book Antiqua"/>
          <w:lang w:val="es-ES"/>
        </w:rPr>
      </w:pPr>
    </w:p>
    <w:p w14:paraId="07F9A60A" w14:textId="302F9B73" w:rsidR="00981A6C" w:rsidRPr="0039078C" w:rsidRDefault="006F5E65" w:rsidP="00981A6C">
      <w:pPr>
        <w:jc w:val="center"/>
        <w:rPr>
          <w:rFonts w:ascii="Book Antiqua" w:hAnsi="Book Antiqua" w:cs="Arial"/>
          <w:caps/>
          <w:lang w:val="es-ES"/>
        </w:rPr>
      </w:pPr>
      <w:r>
        <w:rPr>
          <w:rFonts w:ascii="Book Antiqua" w:hAnsi="Book Antiqua" w:cs="Arial"/>
          <w:caps/>
          <w:lang w:val="es-ES"/>
        </w:rPr>
        <w:t xml:space="preserve">26 </w:t>
      </w:r>
      <w:r w:rsidR="00981A6C" w:rsidRPr="0039078C">
        <w:rPr>
          <w:rFonts w:ascii="Book Antiqua" w:hAnsi="Book Antiqua" w:cs="Arial"/>
          <w:caps/>
          <w:lang w:val="es-ES"/>
        </w:rPr>
        <w:t xml:space="preserve">DE </w:t>
      </w:r>
      <w:r w:rsidR="00791157">
        <w:rPr>
          <w:rFonts w:ascii="Book Antiqua" w:hAnsi="Book Antiqua" w:cs="Arial"/>
          <w:caps/>
          <w:lang w:val="es-ES"/>
        </w:rPr>
        <w:t>SEPTIEMBRE</w:t>
      </w:r>
      <w:r w:rsidR="00981A6C" w:rsidRPr="0039078C">
        <w:rPr>
          <w:rFonts w:ascii="Book Antiqua" w:hAnsi="Book Antiqua" w:cs="Arial"/>
          <w:caps/>
          <w:lang w:val="es-ES"/>
        </w:rPr>
        <w:t xml:space="preserve"> DE 2025</w:t>
      </w:r>
    </w:p>
    <w:p w14:paraId="0F63737A" w14:textId="77777777" w:rsidR="00981A6C" w:rsidRPr="0039078C" w:rsidRDefault="00981A6C" w:rsidP="00981A6C">
      <w:pPr>
        <w:jc w:val="center"/>
        <w:rPr>
          <w:rFonts w:ascii="Book Antiqua" w:hAnsi="Book Antiqua" w:cs="Arial"/>
          <w:lang w:val="es-ES"/>
        </w:rPr>
      </w:pPr>
    </w:p>
    <w:p w14:paraId="7551B861" w14:textId="3F14C4E0" w:rsidR="00981A6C" w:rsidRPr="0039078C" w:rsidRDefault="00981A6C" w:rsidP="00981A6C">
      <w:pPr>
        <w:jc w:val="center"/>
        <w:rPr>
          <w:rFonts w:ascii="Book Antiqua" w:hAnsi="Book Antiqua" w:cs="Arial"/>
          <w:lang w:val="es-ES"/>
        </w:rPr>
      </w:pPr>
      <w:r w:rsidRPr="0039078C">
        <w:rPr>
          <w:rFonts w:ascii="Book Antiqua" w:hAnsi="Book Antiqua" w:cs="Arial"/>
          <w:lang w:val="es-ES"/>
        </w:rPr>
        <w:t xml:space="preserve">Presentado por </w:t>
      </w:r>
      <w:r w:rsidR="00F1285A">
        <w:rPr>
          <w:rFonts w:ascii="Book Antiqua" w:hAnsi="Book Antiqua" w:cs="Arial"/>
          <w:lang w:val="es-ES"/>
        </w:rPr>
        <w:t>el</w:t>
      </w:r>
      <w:r w:rsidRPr="0039078C">
        <w:rPr>
          <w:rFonts w:ascii="Book Antiqua" w:hAnsi="Book Antiqua" w:cs="Arial"/>
          <w:lang w:val="es-ES"/>
        </w:rPr>
        <w:t xml:space="preserve"> </w:t>
      </w:r>
      <w:r w:rsidR="00760DE4" w:rsidRPr="0039078C">
        <w:rPr>
          <w:rFonts w:ascii="Book Antiqua" w:hAnsi="Book Antiqua" w:cs="Arial"/>
          <w:lang w:val="es-ES"/>
        </w:rPr>
        <w:t>representante</w:t>
      </w:r>
      <w:r w:rsidR="00760DE4" w:rsidRPr="0039078C">
        <w:rPr>
          <w:rFonts w:ascii="Book Antiqua" w:hAnsi="Book Antiqua" w:cs="Arial"/>
          <w:i/>
          <w:lang w:val="es-ES"/>
        </w:rPr>
        <w:t xml:space="preserve"> </w:t>
      </w:r>
      <w:r w:rsidR="000D2584">
        <w:rPr>
          <w:rFonts w:ascii="Book Antiqua" w:hAnsi="Book Antiqua" w:cs="Arial"/>
          <w:i/>
          <w:lang w:val="es-ES"/>
        </w:rPr>
        <w:t>Carlo Acosta</w:t>
      </w:r>
      <w:r w:rsidR="008B3490" w:rsidRPr="0039078C">
        <w:rPr>
          <w:rFonts w:ascii="Book Antiqua" w:hAnsi="Book Antiqua" w:cs="Arial"/>
          <w:i/>
          <w:lang w:val="es-ES"/>
        </w:rPr>
        <w:t xml:space="preserve"> </w:t>
      </w:r>
    </w:p>
    <w:p w14:paraId="5B1B4FC2" w14:textId="77777777" w:rsidR="00981A6C" w:rsidRPr="0039078C" w:rsidRDefault="00981A6C" w:rsidP="00981A6C">
      <w:pPr>
        <w:jc w:val="center"/>
        <w:rPr>
          <w:rFonts w:ascii="Book Antiqua" w:hAnsi="Book Antiqua"/>
          <w:lang w:val="es-ES"/>
        </w:rPr>
      </w:pPr>
    </w:p>
    <w:p w14:paraId="41CF9C52" w14:textId="61D55E3D" w:rsidR="00981A6C" w:rsidRPr="0039078C" w:rsidRDefault="00981A6C" w:rsidP="00981A6C">
      <w:pPr>
        <w:jc w:val="center"/>
        <w:rPr>
          <w:rFonts w:ascii="Book Antiqua" w:hAnsi="Book Antiqua" w:cs="CG Times"/>
          <w:lang w:val="es-ES"/>
        </w:rPr>
      </w:pPr>
      <w:r w:rsidRPr="0039078C">
        <w:rPr>
          <w:rFonts w:ascii="Book Antiqua" w:hAnsi="Book Antiqua"/>
          <w:lang w:val="es-ES"/>
        </w:rPr>
        <w:t xml:space="preserve">Referido a </w:t>
      </w:r>
      <w:r w:rsidR="00F00D6D">
        <w:rPr>
          <w:rFonts w:ascii="Book Antiqua" w:hAnsi="Book Antiqua"/>
          <w:lang w:val="es-ES"/>
        </w:rPr>
        <w:t>la Comisión de Hacienda</w:t>
      </w:r>
    </w:p>
    <w:p w14:paraId="54ACBD45" w14:textId="77777777" w:rsidR="00981A6C" w:rsidRPr="0039078C" w:rsidRDefault="00981A6C" w:rsidP="00981A6C">
      <w:pPr>
        <w:jc w:val="both"/>
        <w:rPr>
          <w:rFonts w:ascii="Book Antiqua" w:hAnsi="Book Antiqua"/>
          <w:lang w:val="es-ES_tradnl"/>
        </w:rPr>
      </w:pPr>
    </w:p>
    <w:p w14:paraId="01E5E4D9" w14:textId="77777777" w:rsidR="00981A6C" w:rsidRPr="00EF577D" w:rsidRDefault="00981A6C" w:rsidP="00981A6C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EF577D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6B891812" w14:textId="77777777" w:rsidR="00981A6C" w:rsidRPr="0039078C" w:rsidRDefault="00981A6C" w:rsidP="00981A6C">
      <w:pPr>
        <w:jc w:val="center"/>
        <w:rPr>
          <w:rFonts w:ascii="Book Antiqua" w:hAnsi="Book Antiqua"/>
          <w:lang w:val="es-PR"/>
        </w:rPr>
      </w:pPr>
    </w:p>
    <w:p w14:paraId="056D5013" w14:textId="1B9DC15E" w:rsidR="00981A6C" w:rsidRDefault="00981A6C" w:rsidP="00F00D6D">
      <w:pPr>
        <w:pStyle w:val="Textodebloque"/>
        <w:ind w:left="720" w:right="0"/>
        <w:rPr>
          <w:rFonts w:ascii="Book Antiqua" w:hAnsi="Book Antiqua"/>
          <w:sz w:val="24"/>
          <w:lang w:val="es-ES"/>
        </w:rPr>
      </w:pPr>
      <w:r w:rsidRPr="005A332F">
        <w:rPr>
          <w:rFonts w:ascii="Book Antiqua" w:hAnsi="Book Antiqua"/>
          <w:sz w:val="24"/>
        </w:rPr>
        <w:t xml:space="preserve">Para enmendar el </w:t>
      </w:r>
      <w:r w:rsidR="005A332F" w:rsidRPr="005A332F">
        <w:rPr>
          <w:rFonts w:ascii="Book Antiqua" w:hAnsi="Book Antiqua"/>
          <w:sz w:val="24"/>
        </w:rPr>
        <w:t>inciso (</w:t>
      </w:r>
      <w:r w:rsidR="00791157">
        <w:rPr>
          <w:rFonts w:ascii="Book Antiqua" w:hAnsi="Book Antiqua"/>
          <w:sz w:val="24"/>
        </w:rPr>
        <w:t>a</w:t>
      </w:r>
      <w:r w:rsidR="005A332F" w:rsidRPr="005A332F">
        <w:rPr>
          <w:rFonts w:ascii="Book Antiqua" w:hAnsi="Book Antiqua"/>
          <w:sz w:val="24"/>
        </w:rPr>
        <w:t>) de</w:t>
      </w:r>
      <w:r w:rsidR="00791157">
        <w:rPr>
          <w:rFonts w:ascii="Book Antiqua" w:hAnsi="Book Antiqua"/>
          <w:sz w:val="24"/>
        </w:rPr>
        <w:t xml:space="preserve"> la sección 1020.01 </w:t>
      </w:r>
      <w:r w:rsidR="005A332F" w:rsidRPr="005A332F">
        <w:rPr>
          <w:rFonts w:ascii="Book Antiqua" w:hAnsi="Book Antiqua"/>
          <w:sz w:val="24"/>
        </w:rPr>
        <w:t xml:space="preserve">de la Ley </w:t>
      </w:r>
      <w:r w:rsidR="00791157">
        <w:rPr>
          <w:rFonts w:ascii="Book Antiqua" w:hAnsi="Book Antiqua"/>
          <w:sz w:val="24"/>
        </w:rPr>
        <w:t>60</w:t>
      </w:r>
      <w:r w:rsidR="00595CDB">
        <w:rPr>
          <w:rFonts w:ascii="Book Antiqua" w:hAnsi="Book Antiqua"/>
          <w:sz w:val="24"/>
        </w:rPr>
        <w:t>-20</w:t>
      </w:r>
      <w:r w:rsidR="00791157">
        <w:rPr>
          <w:rFonts w:ascii="Book Antiqua" w:hAnsi="Book Antiqua"/>
          <w:sz w:val="24"/>
        </w:rPr>
        <w:t>19</w:t>
      </w:r>
      <w:r w:rsidR="005A332F" w:rsidRPr="005A332F">
        <w:rPr>
          <w:rFonts w:ascii="Book Antiqua" w:hAnsi="Book Antiqua"/>
          <w:sz w:val="24"/>
        </w:rPr>
        <w:t xml:space="preserve">, según enmendada, mejor conocida como </w:t>
      </w:r>
      <w:r w:rsidR="003D75C7">
        <w:rPr>
          <w:rFonts w:ascii="Book Antiqua" w:hAnsi="Book Antiqua"/>
          <w:sz w:val="24"/>
        </w:rPr>
        <w:t>"</w:t>
      </w:r>
      <w:r w:rsidR="00791157">
        <w:rPr>
          <w:rFonts w:ascii="Book Antiqua" w:hAnsi="Book Antiqua"/>
          <w:sz w:val="24"/>
        </w:rPr>
        <w:t>Código de Incentivos de Puerto Rico</w:t>
      </w:r>
      <w:r w:rsidR="003D75C7">
        <w:rPr>
          <w:rFonts w:ascii="Book Antiqua" w:hAnsi="Book Antiqua"/>
          <w:sz w:val="24"/>
        </w:rPr>
        <w:t>"</w:t>
      </w:r>
      <w:r w:rsidR="00791157">
        <w:rPr>
          <w:rFonts w:ascii="Book Antiqua" w:hAnsi="Book Antiqua"/>
          <w:sz w:val="24"/>
        </w:rPr>
        <w:t>,</w:t>
      </w:r>
      <w:r w:rsidR="00595CDB">
        <w:rPr>
          <w:rFonts w:ascii="Book Antiqua" w:hAnsi="Book Antiqua"/>
          <w:sz w:val="24"/>
        </w:rPr>
        <w:t xml:space="preserve"> a los fines de </w:t>
      </w:r>
      <w:r w:rsidR="00791157">
        <w:rPr>
          <w:rFonts w:ascii="Book Antiqua" w:hAnsi="Book Antiqua"/>
          <w:sz w:val="24"/>
        </w:rPr>
        <w:t>aclarar que los empleos a tiempo parcial y el autoempleo están cubiertos bajo la definición de microempresas</w:t>
      </w:r>
      <w:r w:rsidR="005A332F" w:rsidRPr="005A332F">
        <w:rPr>
          <w:rFonts w:ascii="Book Antiqua" w:hAnsi="Book Antiqua"/>
          <w:sz w:val="24"/>
          <w:lang w:val="es-ES"/>
        </w:rPr>
        <w:t>; entre otros fines relacionados.</w:t>
      </w:r>
    </w:p>
    <w:p w14:paraId="6BA1EA3A" w14:textId="77777777" w:rsidR="00EF577D" w:rsidRPr="0039078C" w:rsidRDefault="00EF577D" w:rsidP="00EF577D">
      <w:pPr>
        <w:pStyle w:val="Textodebloque"/>
        <w:ind w:left="540" w:right="0" w:hanging="540"/>
        <w:rPr>
          <w:rFonts w:ascii="Book Antiqua" w:hAnsi="Book Antiqua"/>
          <w:sz w:val="24"/>
        </w:rPr>
      </w:pPr>
    </w:p>
    <w:p w14:paraId="63D4D946" w14:textId="77777777" w:rsidR="00981A6C" w:rsidRPr="00EF577D" w:rsidRDefault="00981A6C" w:rsidP="00EF577D">
      <w:pPr>
        <w:pStyle w:val="Ttulo1"/>
        <w:spacing w:before="0" w:after="0"/>
        <w:jc w:val="center"/>
        <w:rPr>
          <w:rFonts w:ascii="Book Antiqua" w:hAnsi="Book Antiqua"/>
          <w:caps/>
          <w:color w:val="auto"/>
          <w:sz w:val="24"/>
          <w:lang w:val="es-PR"/>
        </w:rPr>
      </w:pPr>
      <w:r w:rsidRPr="00EF577D">
        <w:rPr>
          <w:rFonts w:ascii="Book Antiqua" w:hAnsi="Book Antiqua"/>
          <w:caps/>
          <w:color w:val="auto"/>
          <w:sz w:val="24"/>
          <w:lang w:val="es-PR"/>
        </w:rPr>
        <w:t>Exposición de Motivos</w:t>
      </w:r>
    </w:p>
    <w:p w14:paraId="77A0358F" w14:textId="77777777" w:rsidR="00981A6C" w:rsidRPr="0039078C" w:rsidRDefault="00981A6C" w:rsidP="00EF577D">
      <w:pPr>
        <w:jc w:val="center"/>
        <w:rPr>
          <w:rFonts w:ascii="Book Antiqua" w:hAnsi="Book Antiqua"/>
          <w:caps/>
          <w:lang w:val="es-PR"/>
        </w:rPr>
      </w:pPr>
    </w:p>
    <w:p w14:paraId="197598FA" w14:textId="4BA1C4B5" w:rsidR="000F7171" w:rsidRDefault="005D05FD" w:rsidP="00EF57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  <w:r>
        <w:rPr>
          <w:rFonts w:ascii="Book Antiqua" w:hAnsi="Book Antiqua" w:cs="Arial"/>
          <w:color w:val="000000"/>
          <w:lang w:val="es-ES"/>
        </w:rPr>
        <w:tab/>
      </w:r>
      <w:r w:rsidR="000F7171" w:rsidRPr="000F7171">
        <w:rPr>
          <w:rFonts w:ascii="Book Antiqua" w:hAnsi="Book Antiqua" w:cs="Arial"/>
          <w:color w:val="000000"/>
          <w:lang w:val="es-ES"/>
        </w:rPr>
        <w:t>La Ley Núm. 60-2019, conocida como el “Código de Incentivos de Puerto Rico”, tiene como uno de sus objetivos principales fomentar el desarrollo económico sostenible</w:t>
      </w:r>
      <w:r w:rsidR="00297425">
        <w:rPr>
          <w:rFonts w:ascii="Book Antiqua" w:hAnsi="Book Antiqua" w:cs="Arial"/>
          <w:color w:val="000000"/>
          <w:lang w:val="es-ES"/>
        </w:rPr>
        <w:t>, estimular la inversión y la creación de empleos</w:t>
      </w:r>
      <w:r w:rsidR="000F7171" w:rsidRPr="000F7171">
        <w:rPr>
          <w:rFonts w:ascii="Book Antiqua" w:hAnsi="Book Antiqua" w:cs="Arial"/>
          <w:color w:val="000000"/>
          <w:lang w:val="es-ES"/>
        </w:rPr>
        <w:t xml:space="preserve"> mediante el respaldo a las pequeñas y medianas empresas (PYMES), particularmente aquellas que comienzan operaciones en condiciones económicas </w:t>
      </w:r>
      <w:proofErr w:type="spellStart"/>
      <w:r w:rsidR="000F7171" w:rsidRPr="000F7171">
        <w:rPr>
          <w:rFonts w:ascii="Book Antiqua" w:hAnsi="Book Antiqua" w:cs="Arial"/>
          <w:color w:val="000000"/>
          <w:lang w:val="es-ES"/>
        </w:rPr>
        <w:t>retantes</w:t>
      </w:r>
      <w:proofErr w:type="spellEnd"/>
      <w:r w:rsidR="000F7171" w:rsidRPr="000F7171">
        <w:rPr>
          <w:rFonts w:ascii="Book Antiqua" w:hAnsi="Book Antiqua" w:cs="Arial"/>
          <w:color w:val="000000"/>
          <w:lang w:val="es-ES"/>
        </w:rPr>
        <w:t xml:space="preserve">. Dentro de esta estructura, el incentivo denominado “Capital Semilla para PYMES Nuevas” busca precisamente brindar apoyo a las </w:t>
      </w:r>
      <w:r w:rsidR="00297425">
        <w:rPr>
          <w:rFonts w:ascii="Book Antiqua" w:hAnsi="Book Antiqua" w:cs="Arial"/>
          <w:color w:val="000000"/>
          <w:lang w:val="es-ES"/>
        </w:rPr>
        <w:t xml:space="preserve">PYMES, incluyendo las microempresas </w:t>
      </w:r>
      <w:r w:rsidR="000F7171" w:rsidRPr="000F7171">
        <w:rPr>
          <w:rFonts w:ascii="Book Antiqua" w:hAnsi="Book Antiqua" w:cs="Arial"/>
          <w:color w:val="000000"/>
          <w:lang w:val="es-ES"/>
        </w:rPr>
        <w:t>que se encuentran en etapas iniciales de desarrollo, facilitando así la creación de empleos, el aumento en actividad comercial y la formalización de negocios.</w:t>
      </w:r>
    </w:p>
    <w:p w14:paraId="4EA31C4E" w14:textId="77777777" w:rsidR="00297425" w:rsidRPr="000F7171" w:rsidRDefault="00297425" w:rsidP="00EF57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</w:p>
    <w:p w14:paraId="4F7A6C43" w14:textId="5FEB14C8" w:rsidR="000F7171" w:rsidRPr="000F7171" w:rsidRDefault="00297425" w:rsidP="00EF57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  <w:r>
        <w:rPr>
          <w:rFonts w:ascii="Book Antiqua" w:hAnsi="Book Antiqua" w:cs="Arial"/>
          <w:color w:val="000000"/>
          <w:lang w:val="es-ES"/>
        </w:rPr>
        <w:tab/>
      </w:r>
      <w:r w:rsidR="000F7171" w:rsidRPr="000F7171">
        <w:rPr>
          <w:rFonts w:ascii="Book Antiqua" w:hAnsi="Book Antiqua" w:cs="Arial"/>
          <w:color w:val="000000"/>
          <w:lang w:val="es-ES"/>
        </w:rPr>
        <w:t>No obstante, en la aplicación de esta política pública, se ha identificado que la definición vigente de </w:t>
      </w:r>
      <w:r w:rsidR="000F7171" w:rsidRPr="000F7171">
        <w:rPr>
          <w:rFonts w:ascii="Book Antiqua" w:hAnsi="Book Antiqua" w:cs="Arial"/>
          <w:i/>
          <w:iCs/>
          <w:color w:val="000000"/>
          <w:lang w:val="es-ES"/>
        </w:rPr>
        <w:t>microempresa</w:t>
      </w:r>
      <w:r w:rsidR="000F7171" w:rsidRPr="000F7171">
        <w:rPr>
          <w:rFonts w:ascii="Book Antiqua" w:hAnsi="Book Antiqua" w:cs="Arial"/>
          <w:color w:val="000000"/>
          <w:lang w:val="es-ES"/>
        </w:rPr>
        <w:t> ha sido interpretada por el Departamento de Desarrollo Económico y Comercio (DDEC) como que dichas empresas deben contar con al menos un (1) empleado a tiempo completo para poder ser elegibles al programa de incentivos</w:t>
      </w:r>
      <w:r>
        <w:rPr>
          <w:rFonts w:ascii="Book Antiqua" w:hAnsi="Book Antiqua" w:cs="Arial"/>
          <w:color w:val="000000"/>
          <w:lang w:val="es-ES"/>
        </w:rPr>
        <w:t xml:space="preserve"> antes mencionado</w:t>
      </w:r>
      <w:r w:rsidR="000F7171" w:rsidRPr="000F7171">
        <w:rPr>
          <w:rFonts w:ascii="Book Antiqua" w:hAnsi="Book Antiqua" w:cs="Arial"/>
          <w:color w:val="000000"/>
          <w:lang w:val="es-ES"/>
        </w:rPr>
        <w:t>. Esto ha resultado en la exclusión de empresas bajo esquemas de autoempleo o con personal a tiempo parcial, precisamente el tipo de empresas que el Código de Incentivos busca apoyar y hacer crecer.</w:t>
      </w:r>
    </w:p>
    <w:p w14:paraId="26981E15" w14:textId="566BD501" w:rsidR="000F7171" w:rsidRDefault="00297425" w:rsidP="00EF57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  <w:r>
        <w:rPr>
          <w:rFonts w:ascii="Book Antiqua" w:hAnsi="Book Antiqua" w:cs="Arial"/>
          <w:color w:val="000000"/>
          <w:lang w:val="es-ES"/>
        </w:rPr>
        <w:lastRenderedPageBreak/>
        <w:tab/>
      </w:r>
      <w:r w:rsidR="000F7171" w:rsidRPr="000F7171">
        <w:rPr>
          <w:rFonts w:ascii="Book Antiqua" w:hAnsi="Book Antiqua" w:cs="Arial"/>
          <w:color w:val="000000"/>
          <w:lang w:val="es-ES"/>
        </w:rPr>
        <w:t>Esta interpretación, aunque basada en una lectura literal del lenguaje actual, contraviene el espíritu del Código de Incentivos. Muchas microempresas operan inicialmente bajo esquemas de autoempleo</w:t>
      </w:r>
      <w:r>
        <w:rPr>
          <w:rFonts w:ascii="Book Antiqua" w:hAnsi="Book Antiqua" w:cs="Arial"/>
          <w:color w:val="000000"/>
          <w:lang w:val="es-ES"/>
        </w:rPr>
        <w:t xml:space="preserve"> o mediante el empleo de recursos a tiempo parcial y al momento no se están considerando elegibles para recibir los incentivos que de</w:t>
      </w:r>
      <w:r w:rsidR="000F7171" w:rsidRPr="000F7171">
        <w:rPr>
          <w:rFonts w:ascii="Book Antiqua" w:hAnsi="Book Antiqua" w:cs="Arial"/>
          <w:color w:val="000000"/>
          <w:lang w:val="es-ES"/>
        </w:rPr>
        <w:t xml:space="preserve"> programas como “Capital Semilla para PYMES Nuevas”,</w:t>
      </w:r>
      <w:r>
        <w:rPr>
          <w:rFonts w:ascii="Book Antiqua" w:hAnsi="Book Antiqua" w:cs="Arial"/>
          <w:color w:val="000000"/>
          <w:lang w:val="es-ES"/>
        </w:rPr>
        <w:t xml:space="preserve"> que les ayudarán a</w:t>
      </w:r>
      <w:r w:rsidR="000F7171" w:rsidRPr="000F7171">
        <w:rPr>
          <w:rFonts w:ascii="Book Antiqua" w:hAnsi="Book Antiqua" w:cs="Arial"/>
          <w:color w:val="000000"/>
          <w:lang w:val="es-ES"/>
        </w:rPr>
        <w:t xml:space="preserve"> logra</w:t>
      </w:r>
      <w:r>
        <w:rPr>
          <w:rFonts w:ascii="Book Antiqua" w:hAnsi="Book Antiqua" w:cs="Arial"/>
          <w:color w:val="000000"/>
          <w:lang w:val="es-ES"/>
        </w:rPr>
        <w:t>r</w:t>
      </w:r>
      <w:r w:rsidR="000F7171" w:rsidRPr="000F7171">
        <w:rPr>
          <w:rFonts w:ascii="Book Antiqua" w:hAnsi="Book Antiqua" w:cs="Arial"/>
          <w:color w:val="000000"/>
          <w:lang w:val="es-ES"/>
        </w:rPr>
        <w:t xml:space="preserve"> alcanzar un crecimiento sostenible que les permit</w:t>
      </w:r>
      <w:r>
        <w:rPr>
          <w:rFonts w:ascii="Book Antiqua" w:hAnsi="Book Antiqua" w:cs="Arial"/>
          <w:color w:val="000000"/>
          <w:lang w:val="es-ES"/>
        </w:rPr>
        <w:t>a</w:t>
      </w:r>
      <w:r w:rsidR="000F7171" w:rsidRPr="000F7171">
        <w:rPr>
          <w:rFonts w:ascii="Book Antiqua" w:hAnsi="Book Antiqua" w:cs="Arial"/>
          <w:color w:val="000000"/>
          <w:lang w:val="es-ES"/>
        </w:rPr>
        <w:t>, en etapas posteriores, reclutar empleados adicionales y expandir sus operaciones. Al excluir a este segmento, se frena la efectividad del incentivo y se limita el impacto positivo que podría tener en la economía local.</w:t>
      </w:r>
    </w:p>
    <w:p w14:paraId="409EA3B5" w14:textId="77777777" w:rsidR="00297425" w:rsidRPr="000F7171" w:rsidRDefault="00297425" w:rsidP="00EF57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</w:p>
    <w:p w14:paraId="34C6DA01" w14:textId="7E10CEAC" w:rsidR="000F7171" w:rsidRDefault="00297425" w:rsidP="00EF57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  <w:r>
        <w:rPr>
          <w:rFonts w:ascii="Book Antiqua" w:hAnsi="Book Antiqua" w:cs="Arial"/>
          <w:color w:val="000000"/>
          <w:lang w:val="es-ES"/>
        </w:rPr>
        <w:tab/>
      </w:r>
      <w:r w:rsidR="000F7171" w:rsidRPr="000F7171">
        <w:rPr>
          <w:rFonts w:ascii="Book Antiqua" w:hAnsi="Book Antiqua" w:cs="Arial"/>
          <w:color w:val="000000"/>
          <w:lang w:val="es-ES"/>
        </w:rPr>
        <w:t>Esta medida legislativa tiene como propósito principal aclarar que las </w:t>
      </w:r>
      <w:r w:rsidR="000F7171" w:rsidRPr="000F7171">
        <w:rPr>
          <w:rFonts w:ascii="Book Antiqua" w:hAnsi="Book Antiqua" w:cs="Arial"/>
          <w:i/>
          <w:iCs/>
          <w:color w:val="000000"/>
          <w:lang w:val="es-ES"/>
        </w:rPr>
        <w:t>microempresas</w:t>
      </w:r>
      <w:r w:rsidR="000F7171" w:rsidRPr="000F7171">
        <w:rPr>
          <w:rFonts w:ascii="Book Antiqua" w:hAnsi="Book Antiqua" w:cs="Arial"/>
          <w:color w:val="000000"/>
          <w:lang w:val="es-ES"/>
        </w:rPr>
        <w:t> incluyen aquellas que generan ingresos brutos menores de quinientos mil dólares ($500,000) anuales y que poseen siete (7) empleados o menos, sin requerir un número mínimo de empleados a tiempo completo. Con ello, se asegura que personas emprendedoras que trabajan bajo esquemas de autoempleo o con ayuda parcial puedan tener acceso al capital necesario para iniciar, formalizar y expandir sus operaciones.</w:t>
      </w:r>
    </w:p>
    <w:p w14:paraId="176FE3A6" w14:textId="77777777" w:rsidR="00297425" w:rsidRPr="000F7171" w:rsidRDefault="00297425" w:rsidP="00EF57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</w:p>
    <w:p w14:paraId="4BA6320D" w14:textId="5CCC7E51" w:rsidR="000F7171" w:rsidRPr="000F7171" w:rsidRDefault="00297425" w:rsidP="00EF57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  <w:r>
        <w:rPr>
          <w:rFonts w:ascii="Book Antiqua" w:hAnsi="Book Antiqua" w:cs="Arial"/>
          <w:color w:val="000000"/>
          <w:lang w:val="es-ES"/>
        </w:rPr>
        <w:tab/>
      </w:r>
      <w:r w:rsidR="000F7171" w:rsidRPr="000F7171">
        <w:rPr>
          <w:rFonts w:ascii="Book Antiqua" w:hAnsi="Book Antiqua" w:cs="Arial"/>
          <w:color w:val="000000"/>
          <w:lang w:val="es-ES"/>
        </w:rPr>
        <w:t>Esta enmienda es esencial para asegurar que la política pública contenida en la Ley 60-2019 se implemente de manera justa, inclusiva y efectiva, incentivando verdaderamente a aquellos sectores con mayor potencial de crecimiento y generación de empleo.</w:t>
      </w:r>
    </w:p>
    <w:p w14:paraId="5980A97F" w14:textId="41DB06D2" w:rsidR="00106947" w:rsidRPr="006F5E65" w:rsidRDefault="00106947" w:rsidP="00EF57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1"/>
          <w:szCs w:val="21"/>
          <w:lang w:val="es-ES"/>
        </w:rPr>
      </w:pPr>
    </w:p>
    <w:p w14:paraId="4F992293" w14:textId="563B4D0E" w:rsidR="00981A6C" w:rsidRPr="00EF577D" w:rsidRDefault="00981A6C" w:rsidP="00EF577D">
      <w:pPr>
        <w:spacing w:line="480" w:lineRule="auto"/>
        <w:jc w:val="both"/>
        <w:rPr>
          <w:rFonts w:ascii="Book Antiqua" w:hAnsi="Book Antiqua"/>
          <w:i/>
          <w:lang w:val="es-PR"/>
        </w:rPr>
      </w:pPr>
      <w:r w:rsidRPr="00EF577D">
        <w:rPr>
          <w:rFonts w:ascii="Book Antiqua" w:hAnsi="Book Antiqua"/>
          <w:i/>
          <w:lang w:val="es-PR"/>
        </w:rPr>
        <w:t>DECRÉTASE POR LA ASAMBLEA LEGISLATIVA DE PUERTO RICO:</w:t>
      </w:r>
    </w:p>
    <w:p w14:paraId="40D0420F" w14:textId="77777777" w:rsidR="00981A6C" w:rsidRPr="0039078C" w:rsidRDefault="00981A6C" w:rsidP="00981A6C">
      <w:pPr>
        <w:spacing w:line="480" w:lineRule="auto"/>
        <w:jc w:val="both"/>
        <w:rPr>
          <w:rFonts w:ascii="Book Antiqua" w:hAnsi="Book Antiqua"/>
          <w:lang w:val="es-PR"/>
        </w:rPr>
        <w:sectPr w:rsidR="00981A6C" w:rsidRPr="0039078C" w:rsidSect="00981A6C">
          <w:headerReference w:type="even" r:id="rId7"/>
          <w:headerReference w:type="default" r:id="rId8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10831F6E" w14:textId="3E8A18EE" w:rsidR="00981A6C" w:rsidRPr="0039078C" w:rsidRDefault="00981A6C" w:rsidP="00981A6C">
      <w:pPr>
        <w:spacing w:line="480" w:lineRule="auto"/>
        <w:jc w:val="both"/>
        <w:rPr>
          <w:rFonts w:ascii="Book Antiqua" w:hAnsi="Book Antiqua"/>
          <w:lang w:val="es-PR"/>
        </w:rPr>
      </w:pPr>
      <w:r w:rsidRPr="0039078C">
        <w:rPr>
          <w:rFonts w:ascii="Book Antiqua" w:hAnsi="Book Antiqua"/>
          <w:lang w:val="es-PR"/>
        </w:rPr>
        <w:tab/>
      </w:r>
      <w:r w:rsidR="00A80B42">
        <w:rPr>
          <w:rFonts w:ascii="Book Antiqua" w:hAnsi="Book Antiqua"/>
          <w:lang w:val="es-PR"/>
        </w:rPr>
        <w:t>Artículo</w:t>
      </w:r>
      <w:r w:rsidRPr="0039078C">
        <w:rPr>
          <w:rFonts w:ascii="Book Antiqua" w:hAnsi="Book Antiqua"/>
          <w:lang w:val="es-PR"/>
        </w:rPr>
        <w:t xml:space="preserve"> 1.-</w:t>
      </w:r>
      <w:r w:rsidR="00A80B42">
        <w:rPr>
          <w:rFonts w:ascii="Book Antiqua" w:hAnsi="Book Antiqua"/>
          <w:lang w:val="es-PR"/>
        </w:rPr>
        <w:t xml:space="preserve"> </w:t>
      </w:r>
      <w:r w:rsidRPr="0039078C">
        <w:rPr>
          <w:rFonts w:ascii="Book Antiqua" w:hAnsi="Book Antiqua"/>
          <w:lang w:val="es-PR"/>
        </w:rPr>
        <w:t xml:space="preserve">Se enmienda el </w:t>
      </w:r>
      <w:r w:rsidR="001D35AA">
        <w:rPr>
          <w:rFonts w:ascii="Book Antiqua" w:hAnsi="Book Antiqua"/>
          <w:lang w:val="es-PR"/>
        </w:rPr>
        <w:t xml:space="preserve">inciso </w:t>
      </w:r>
      <w:r w:rsidR="00595CDB">
        <w:rPr>
          <w:rFonts w:ascii="Book Antiqua" w:hAnsi="Book Antiqua"/>
          <w:lang w:val="es-PR"/>
        </w:rPr>
        <w:t>(</w:t>
      </w:r>
      <w:r w:rsidR="000F7171">
        <w:rPr>
          <w:rFonts w:ascii="Book Antiqua" w:hAnsi="Book Antiqua"/>
          <w:lang w:val="es-PR"/>
        </w:rPr>
        <w:t>a</w:t>
      </w:r>
      <w:r w:rsidR="00595CDB">
        <w:rPr>
          <w:rFonts w:ascii="Book Antiqua" w:hAnsi="Book Antiqua"/>
          <w:lang w:val="es-PR"/>
        </w:rPr>
        <w:t>)</w:t>
      </w:r>
      <w:r w:rsidR="001D35AA">
        <w:rPr>
          <w:rFonts w:ascii="Book Antiqua" w:hAnsi="Book Antiqua"/>
          <w:lang w:val="es-PR"/>
        </w:rPr>
        <w:t xml:space="preserve"> de</w:t>
      </w:r>
      <w:r w:rsidR="000F7171">
        <w:rPr>
          <w:rFonts w:ascii="Book Antiqua" w:hAnsi="Book Antiqua"/>
          <w:lang w:val="es-PR"/>
        </w:rPr>
        <w:t xml:space="preserve"> la sección</w:t>
      </w:r>
      <w:r w:rsidR="001D35AA">
        <w:rPr>
          <w:rFonts w:ascii="Book Antiqua" w:hAnsi="Book Antiqua"/>
          <w:lang w:val="es-PR"/>
        </w:rPr>
        <w:t xml:space="preserve"> </w:t>
      </w:r>
      <w:r w:rsidR="000F7171" w:rsidRPr="006F5E65">
        <w:rPr>
          <w:rFonts w:ascii="Book Antiqua" w:hAnsi="Book Antiqua"/>
          <w:lang w:val="es-ES"/>
        </w:rPr>
        <w:t>1020.01 de la Ley 60-2019, según enmendada,</w:t>
      </w:r>
      <w:r w:rsidR="001D35AA">
        <w:rPr>
          <w:rFonts w:ascii="Book Antiqua" w:hAnsi="Book Antiqua"/>
          <w:lang w:val="es-PR"/>
        </w:rPr>
        <w:t xml:space="preserve"> para que lea como sigue: </w:t>
      </w:r>
      <w:r w:rsidR="00C62677">
        <w:rPr>
          <w:rFonts w:ascii="Book Antiqua" w:hAnsi="Book Antiqua"/>
          <w:lang w:val="es-PR"/>
        </w:rPr>
        <w:t xml:space="preserve"> </w:t>
      </w:r>
    </w:p>
    <w:p w14:paraId="11597A9B" w14:textId="191875FA" w:rsidR="00981A6C" w:rsidRPr="0039078C" w:rsidRDefault="00981A6C" w:rsidP="006E4CB7">
      <w:pPr>
        <w:tabs>
          <w:tab w:val="left" w:pos="720"/>
        </w:tabs>
        <w:spacing w:line="480" w:lineRule="auto"/>
        <w:jc w:val="both"/>
        <w:rPr>
          <w:rFonts w:ascii="Book Antiqua" w:hAnsi="Book Antiqua"/>
          <w:lang w:val="es-PR"/>
        </w:rPr>
      </w:pPr>
      <w:r w:rsidRPr="0039078C">
        <w:rPr>
          <w:rFonts w:ascii="Book Antiqua" w:hAnsi="Book Antiqua"/>
          <w:lang w:val="es-PR"/>
        </w:rPr>
        <w:tab/>
        <w:t>“</w:t>
      </w:r>
      <w:r w:rsidR="000F7171">
        <w:rPr>
          <w:rFonts w:ascii="Book Antiqua" w:hAnsi="Book Antiqua"/>
          <w:b/>
          <w:bCs/>
          <w:lang w:val="es-PR"/>
        </w:rPr>
        <w:t>Sección</w:t>
      </w:r>
      <w:r w:rsidRPr="00FE3031">
        <w:rPr>
          <w:rFonts w:ascii="Book Antiqua" w:hAnsi="Book Antiqua"/>
          <w:b/>
          <w:bCs/>
          <w:lang w:val="es-PR"/>
        </w:rPr>
        <w:t xml:space="preserve"> </w:t>
      </w:r>
      <w:r w:rsidR="000F7171">
        <w:rPr>
          <w:rFonts w:ascii="Book Antiqua" w:hAnsi="Book Antiqua"/>
          <w:b/>
          <w:bCs/>
          <w:lang w:val="es-PR"/>
        </w:rPr>
        <w:t>1020.01.</w:t>
      </w:r>
      <w:r w:rsidR="001D35AA" w:rsidRPr="00FE3031">
        <w:rPr>
          <w:rFonts w:ascii="Book Antiqua" w:hAnsi="Book Antiqua"/>
          <w:b/>
          <w:bCs/>
          <w:lang w:val="es-PR"/>
        </w:rPr>
        <w:t xml:space="preserve"> </w:t>
      </w:r>
      <w:r w:rsidR="00873753" w:rsidRPr="00FE3031">
        <w:rPr>
          <w:rFonts w:ascii="Book Antiqua" w:hAnsi="Book Antiqua"/>
          <w:b/>
          <w:bCs/>
          <w:lang w:val="es-PR"/>
        </w:rPr>
        <w:t>─</w:t>
      </w:r>
      <w:r w:rsidR="001D35AA" w:rsidRPr="00FE3031">
        <w:rPr>
          <w:rFonts w:ascii="Book Antiqua" w:hAnsi="Book Antiqua"/>
          <w:b/>
          <w:bCs/>
          <w:lang w:val="es-PR"/>
        </w:rPr>
        <w:t xml:space="preserve"> Definiciones</w:t>
      </w:r>
      <w:r w:rsidR="000F7171">
        <w:rPr>
          <w:rFonts w:ascii="Book Antiqua" w:hAnsi="Book Antiqua"/>
          <w:b/>
          <w:bCs/>
          <w:lang w:val="es-PR"/>
        </w:rPr>
        <w:t xml:space="preserve"> Generales</w:t>
      </w:r>
    </w:p>
    <w:p w14:paraId="13F42A89" w14:textId="4A6B5BC8" w:rsidR="001D35AA" w:rsidRPr="006F5E65" w:rsidRDefault="000F7171" w:rsidP="00490254">
      <w:pPr>
        <w:spacing w:line="480" w:lineRule="auto"/>
        <w:ind w:left="1080" w:hanging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PR"/>
        </w:rPr>
        <w:t xml:space="preserve">(a) </w:t>
      </w:r>
      <w:r w:rsidRPr="00490254">
        <w:rPr>
          <w:rFonts w:ascii="Book Antiqua" w:hAnsi="Book Antiqua"/>
          <w:lang w:val="es-ES"/>
        </w:rPr>
        <w:t xml:space="preserve">Para los fines de este Código, los siguientes términos, frases y palabras tendrán el significado </w:t>
      </w:r>
      <w:r w:rsidRPr="000F7171">
        <w:rPr>
          <w:rFonts w:ascii="Book Antiqua" w:hAnsi="Book Antiqua"/>
          <w:lang w:val="es-ES"/>
        </w:rPr>
        <w:t>y alcance que se expresa a continuación, cuando no resultare</w:t>
      </w:r>
      <w:r w:rsidRPr="00490254">
        <w:rPr>
          <w:rFonts w:ascii="Book Antiqua" w:hAnsi="Book Antiqua"/>
          <w:lang w:val="es-ES"/>
        </w:rPr>
        <w:t xml:space="preserve"> </w:t>
      </w:r>
      <w:r w:rsidRPr="000F7171">
        <w:rPr>
          <w:rFonts w:ascii="Book Antiqua" w:hAnsi="Book Antiqua"/>
          <w:lang w:val="es-ES"/>
        </w:rPr>
        <w:t>manifiestamente incompatible</w:t>
      </w:r>
      <w:r w:rsidRPr="00490254">
        <w:rPr>
          <w:rFonts w:ascii="Book Antiqua" w:hAnsi="Book Antiqua"/>
          <w:lang w:val="es-ES"/>
        </w:rPr>
        <w:t xml:space="preserve"> </w:t>
      </w:r>
      <w:r w:rsidRPr="000F7171">
        <w:rPr>
          <w:rFonts w:ascii="Book Antiqua" w:hAnsi="Book Antiqua"/>
          <w:lang w:val="es-ES"/>
        </w:rPr>
        <w:t xml:space="preserve">con los fines </w:t>
      </w:r>
      <w:proofErr w:type="gramStart"/>
      <w:r w:rsidRPr="000F7171">
        <w:rPr>
          <w:rFonts w:ascii="Book Antiqua" w:hAnsi="Book Antiqua"/>
          <w:lang w:val="es-ES"/>
        </w:rPr>
        <w:t>del mismo</w:t>
      </w:r>
      <w:proofErr w:type="gramEnd"/>
      <w:r w:rsidR="001D35AA" w:rsidRPr="00490254">
        <w:rPr>
          <w:rFonts w:ascii="Book Antiqua" w:hAnsi="Book Antiqua"/>
          <w:lang w:val="es-ES"/>
        </w:rPr>
        <w:t>:</w:t>
      </w:r>
    </w:p>
    <w:p w14:paraId="70C9A70C" w14:textId="2B8C8F12" w:rsidR="001D35AA" w:rsidRPr="001D35AA" w:rsidRDefault="000F7171" w:rsidP="000F7171">
      <w:pPr>
        <w:pStyle w:val="Prrafodelista"/>
        <w:spacing w:line="480" w:lineRule="auto"/>
        <w:ind w:left="108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(1) </w:t>
      </w:r>
      <w:r w:rsidR="001D35AA">
        <w:rPr>
          <w:rFonts w:ascii="Book Antiqua" w:hAnsi="Book Antiqua"/>
          <w:lang w:val="es-ES"/>
        </w:rPr>
        <w:t>[…]</w:t>
      </w:r>
    </w:p>
    <w:p w14:paraId="4358B062" w14:textId="7619088D" w:rsidR="001D35AA" w:rsidRDefault="001D35AA" w:rsidP="000F7171">
      <w:pPr>
        <w:spacing w:line="480" w:lineRule="auto"/>
        <w:ind w:left="720"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[…]</w:t>
      </w:r>
    </w:p>
    <w:p w14:paraId="3E834F7A" w14:textId="53E51E2B" w:rsidR="000F7171" w:rsidRDefault="000F7171" w:rsidP="00297425">
      <w:pPr>
        <w:spacing w:line="480" w:lineRule="auto"/>
        <w:ind w:left="720" w:firstLine="360"/>
        <w:jc w:val="both"/>
        <w:rPr>
          <w:rFonts w:ascii="Book Antiqua" w:hAnsi="Book Antiqua"/>
          <w:lang w:val="es-ES"/>
        </w:rPr>
      </w:pPr>
      <w:r w:rsidRPr="00490254">
        <w:rPr>
          <w:rFonts w:ascii="Book Antiqua" w:hAnsi="Book Antiqua"/>
          <w:lang w:val="es-ES"/>
        </w:rPr>
        <w:t xml:space="preserve">(61) </w:t>
      </w:r>
      <w:r w:rsidR="00490254" w:rsidRPr="00490254">
        <w:rPr>
          <w:rFonts w:ascii="Book Antiqua" w:hAnsi="Book Antiqua"/>
          <w:b/>
          <w:bCs/>
          <w:lang w:val="es-ES"/>
        </w:rPr>
        <w:t>Pequeñas y Medianas Empresas (PYMES)</w:t>
      </w:r>
      <w:r w:rsidR="00490254" w:rsidRPr="00490254">
        <w:rPr>
          <w:rFonts w:ascii="Book Antiqua" w:hAnsi="Book Antiqua"/>
          <w:lang w:val="es-ES"/>
        </w:rPr>
        <w:t xml:space="preserve">. — son Negocios Exentos, según definido en este Código, que generan un volumen de negocio promedio de </w:t>
      </w:r>
      <w:r w:rsidR="00490254" w:rsidRPr="00490254">
        <w:rPr>
          <w:rFonts w:ascii="Book Antiqua" w:hAnsi="Book Antiqua"/>
          <w:lang w:val="es-ES"/>
        </w:rPr>
        <w:lastRenderedPageBreak/>
        <w:t>tres millones de dólares ($3,000,000.00) o menos durante los tres (3) años contributivos anteriores que preceden al Año Contributivo corriente. Para estos propósitos, y a tenor con la Sección 1061.15 del Código de Rentas Internas, el volumen de negocio será el total generado de las ventas de bienes, productos y servicios sin considerar el costo de los bienes o productos vendidos, por el Negocio Elegible e incluirá el volumen de negocio del grupo controlado, según dicho término lo define la Sección 1010.04 del Código de Rentas Internas, o del grupo de entidades relacionadas, según se define dicho término bajo la Sección 1010.05 del Código de Rentas Internas. Para propósitos de este Código, el término PYMES no incluye a Individuos Residentes Inversionistas, Profesionales de Difícil Reclutamiento, ni los términos Servicios Médicos Profesionales e Investigaciones Científicas Elegibles. El término microempresas se entenderá como aquellas PYMES que generan un ingreso bruto menor de quinientos mil dólares anuales ($500,000.00), y posee siete (7) empleados o menos</w:t>
      </w:r>
      <w:r w:rsidR="00490254" w:rsidRPr="00490254">
        <w:rPr>
          <w:rFonts w:ascii="Book Antiqua" w:hAnsi="Book Antiqua"/>
          <w:i/>
          <w:iCs/>
          <w:lang w:val="es-ES"/>
        </w:rPr>
        <w:t xml:space="preserve">, a tiempo parcial o completo, o </w:t>
      </w:r>
      <w:r w:rsidR="00297425">
        <w:rPr>
          <w:rFonts w:ascii="Book Antiqua" w:hAnsi="Book Antiqua"/>
          <w:i/>
          <w:iCs/>
          <w:lang w:val="es-ES"/>
        </w:rPr>
        <w:t xml:space="preserve">que </w:t>
      </w:r>
      <w:r w:rsidR="00490254" w:rsidRPr="00490254">
        <w:rPr>
          <w:rFonts w:ascii="Book Antiqua" w:hAnsi="Book Antiqua"/>
          <w:i/>
          <w:iCs/>
          <w:lang w:val="es-ES"/>
        </w:rPr>
        <w:t>son operadas por medio de autoempleo</w:t>
      </w:r>
      <w:r w:rsidR="00490254">
        <w:rPr>
          <w:rFonts w:ascii="Book Antiqua" w:hAnsi="Book Antiqua"/>
          <w:lang w:val="es-ES"/>
        </w:rPr>
        <w:t>.</w:t>
      </w:r>
    </w:p>
    <w:p w14:paraId="4EDDCE22" w14:textId="7CD9BC84" w:rsidR="00525B73" w:rsidRDefault="00525B73" w:rsidP="00525B73">
      <w:pPr>
        <w:spacing w:line="480" w:lineRule="auto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            […]</w:t>
      </w:r>
    </w:p>
    <w:p w14:paraId="68AC4174" w14:textId="08FB809E" w:rsidR="00297425" w:rsidRPr="00B516FD" w:rsidRDefault="00A80B42" w:rsidP="00297425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Artículo</w:t>
      </w:r>
      <w:r w:rsidR="00981A6C" w:rsidRPr="0039078C">
        <w:rPr>
          <w:rFonts w:ascii="Book Antiqua" w:hAnsi="Book Antiqua"/>
          <w:lang w:val="es-PR"/>
        </w:rPr>
        <w:t xml:space="preserve"> 2.-</w:t>
      </w:r>
      <w:r>
        <w:rPr>
          <w:rFonts w:ascii="Book Antiqua" w:hAnsi="Book Antiqua"/>
          <w:lang w:val="es-PR"/>
        </w:rPr>
        <w:t xml:space="preserve"> </w:t>
      </w:r>
      <w:r w:rsidR="00297425">
        <w:rPr>
          <w:rFonts w:ascii="Book Antiqua" w:hAnsi="Book Antiqua"/>
          <w:lang w:val="es-PR"/>
        </w:rPr>
        <w:t>Se ordena al Departamento de Desarrollo Económico y Comercio a enmendar el Reglamento Núm. 9465, conocido como “</w:t>
      </w:r>
      <w:r w:rsidR="00297425" w:rsidRPr="00297425">
        <w:rPr>
          <w:rFonts w:ascii="Book Antiqua" w:hAnsi="Book Antiqua"/>
          <w:i/>
          <w:iCs/>
          <w:lang w:val="es-PR"/>
        </w:rPr>
        <w:t>Reglamento para Programas Económicos e Incentivos del Departamento de Desarrollo Económico y Comercio (MO-DEC-015)</w:t>
      </w:r>
      <w:r w:rsidR="00297425">
        <w:rPr>
          <w:rFonts w:ascii="Book Antiqua" w:hAnsi="Book Antiqua"/>
          <w:lang w:val="es-PR"/>
        </w:rPr>
        <w:t xml:space="preserve">”, así como cualquier otro reglamento, carta circular o documento normativo a los efectos de atemperarlo en conformidad con lo aquí establecido, en un término que no excederá de noventa (90) días a partir de la aprobación de esta Ley. </w:t>
      </w:r>
    </w:p>
    <w:p w14:paraId="04BBADBE" w14:textId="3357DB88" w:rsidR="000E129B" w:rsidRDefault="000E129B" w:rsidP="00297425">
      <w:pPr>
        <w:spacing w:line="48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>Art</w:t>
      </w:r>
      <w:r w:rsidR="00C02CFA">
        <w:rPr>
          <w:rFonts w:ascii="Book Antiqua" w:hAnsi="Book Antiqua"/>
          <w:lang w:val="es-PR"/>
        </w:rPr>
        <w:t>ículo 3. - Cláusula de Separabilidad</w:t>
      </w:r>
    </w:p>
    <w:p w14:paraId="5650EB34" w14:textId="56E12E7D" w:rsidR="00C02CFA" w:rsidRPr="000E129B" w:rsidRDefault="00C02CFA" w:rsidP="00C02CFA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Si cualquier artículo, inciso, parte, párrafo o cláusula de esta Ley o su aplicación a cualquier persona,</w:t>
      </w:r>
      <w:r w:rsidR="00297425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o circunstancia, fuera declarada inconstitucional por un Tribunal con jurisdicción, la sentencia dictada no afectará ni invalidará sus demás disposiciones, sino que su efecto quedará limitado y será extensivo al inciso, parte, párrafo o cláusula de ésta, o su aplicación, que hubiera sido declarada </w:t>
      </w:r>
      <w:proofErr w:type="spellStart"/>
      <w:r>
        <w:rPr>
          <w:rFonts w:ascii="Book Antiqua" w:hAnsi="Book Antiqua"/>
          <w:lang w:val="es-PR"/>
        </w:rPr>
        <w:t>inclonstitucional</w:t>
      </w:r>
      <w:proofErr w:type="spellEnd"/>
      <w:r>
        <w:rPr>
          <w:rFonts w:ascii="Book Antiqua" w:hAnsi="Book Antiqua"/>
          <w:lang w:val="es-PR"/>
        </w:rPr>
        <w:t xml:space="preserve">. </w:t>
      </w:r>
    </w:p>
    <w:p w14:paraId="6D54E188" w14:textId="77777777" w:rsidR="00C02CFA" w:rsidRDefault="00981A6C" w:rsidP="00981A6C">
      <w:pPr>
        <w:spacing w:line="480" w:lineRule="auto"/>
        <w:jc w:val="both"/>
        <w:rPr>
          <w:rFonts w:ascii="Book Antiqua" w:hAnsi="Book Antiqua"/>
          <w:lang w:val="es-PR"/>
        </w:rPr>
      </w:pPr>
      <w:r w:rsidRPr="0039078C">
        <w:rPr>
          <w:rFonts w:ascii="Book Antiqua" w:hAnsi="Book Antiqua"/>
          <w:lang w:val="es-PR"/>
        </w:rPr>
        <w:tab/>
      </w:r>
      <w:r w:rsidR="00A80B42">
        <w:rPr>
          <w:rFonts w:ascii="Book Antiqua" w:hAnsi="Book Antiqua"/>
          <w:lang w:val="es-PR"/>
        </w:rPr>
        <w:t>Artículo</w:t>
      </w:r>
      <w:r w:rsidRPr="0039078C">
        <w:rPr>
          <w:rFonts w:ascii="Book Antiqua" w:hAnsi="Book Antiqua"/>
          <w:lang w:val="es-PR"/>
        </w:rPr>
        <w:t xml:space="preserve"> </w:t>
      </w:r>
      <w:r w:rsidR="00C02CFA">
        <w:rPr>
          <w:rFonts w:ascii="Book Antiqua" w:hAnsi="Book Antiqua"/>
          <w:lang w:val="es-PR"/>
        </w:rPr>
        <w:t>4</w:t>
      </w:r>
      <w:r w:rsidRPr="0039078C">
        <w:rPr>
          <w:rFonts w:ascii="Book Antiqua" w:hAnsi="Book Antiqua"/>
          <w:lang w:val="es-PR"/>
        </w:rPr>
        <w:t>.-</w:t>
      </w:r>
      <w:r w:rsidR="00F52086">
        <w:rPr>
          <w:rFonts w:ascii="Book Antiqua" w:hAnsi="Book Antiqua"/>
          <w:lang w:val="es-PR"/>
        </w:rPr>
        <w:t xml:space="preserve"> </w:t>
      </w:r>
      <w:r w:rsidR="00C02CFA">
        <w:rPr>
          <w:rFonts w:ascii="Book Antiqua" w:hAnsi="Book Antiqua"/>
          <w:lang w:val="es-PR"/>
        </w:rPr>
        <w:t>Vigencia</w:t>
      </w:r>
    </w:p>
    <w:p w14:paraId="333BD2E7" w14:textId="24AD1648" w:rsidR="00362E50" w:rsidRPr="0039078C" w:rsidRDefault="00981A6C" w:rsidP="00C02CFA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39078C">
        <w:rPr>
          <w:rFonts w:ascii="Book Antiqua" w:hAnsi="Book Antiqua"/>
          <w:lang w:val="es-PR"/>
        </w:rPr>
        <w:t xml:space="preserve">Esta Ley comenzará a regir </w:t>
      </w:r>
      <w:r w:rsidR="00C02CFA">
        <w:rPr>
          <w:rFonts w:ascii="Book Antiqua" w:hAnsi="Book Antiqua"/>
          <w:lang w:val="es-PR"/>
        </w:rPr>
        <w:t xml:space="preserve">inmediatamente luego </w:t>
      </w:r>
      <w:r w:rsidRPr="0039078C">
        <w:rPr>
          <w:rFonts w:ascii="Book Antiqua" w:hAnsi="Book Antiqua"/>
          <w:lang w:val="es-PR"/>
        </w:rPr>
        <w:t>de su aprobación.</w:t>
      </w:r>
    </w:p>
    <w:sectPr w:rsidR="00362E50" w:rsidRPr="0039078C" w:rsidSect="00981A6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5708B3" w14:textId="77777777" w:rsidR="007F68BB" w:rsidRDefault="007F68BB">
      <w:r>
        <w:separator/>
      </w:r>
    </w:p>
  </w:endnote>
  <w:endnote w:type="continuationSeparator" w:id="0">
    <w:p w14:paraId="2CD7F23B" w14:textId="77777777" w:rsidR="007F68BB" w:rsidRDefault="007F6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9CD57" w14:textId="77777777" w:rsidR="007F68BB" w:rsidRDefault="007F68BB">
      <w:r>
        <w:separator/>
      </w:r>
    </w:p>
  </w:footnote>
  <w:footnote w:type="continuationSeparator" w:id="0">
    <w:p w14:paraId="7EB17108" w14:textId="77777777" w:rsidR="007F68BB" w:rsidRDefault="007F68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0B196" w14:textId="77777777" w:rsidR="000413FF" w:rsidRDefault="00E46443" w:rsidP="00B57F5C">
    <w:pPr>
      <w:pStyle w:val="Encabezado"/>
      <w:framePr w:wrap="around" w:vAnchor="text" w:hAnchor="margin" w:xAlign="center" w:y="1"/>
      <w:rPr>
        <w:rStyle w:val="Nmerodepgina"/>
        <w:rFonts w:eastAsiaTheme="majorEastAsia"/>
      </w:rPr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PAGE  </w:instrText>
    </w:r>
    <w:r>
      <w:rPr>
        <w:rStyle w:val="Nmerodepgina"/>
        <w:rFonts w:eastAsiaTheme="majorEastAsia"/>
      </w:rPr>
      <w:fldChar w:fldCharType="end"/>
    </w:r>
  </w:p>
  <w:p w14:paraId="53F97A5E" w14:textId="77777777" w:rsidR="000413FF" w:rsidRDefault="000413F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3E278" w14:textId="77777777" w:rsidR="000413FF" w:rsidRDefault="00E46443" w:rsidP="00B57F5C">
    <w:pPr>
      <w:pStyle w:val="Encabezado"/>
      <w:framePr w:wrap="around" w:vAnchor="text" w:hAnchor="margin" w:xAlign="center" w:y="1"/>
      <w:rPr>
        <w:rStyle w:val="Nmerodepgina"/>
        <w:rFonts w:eastAsiaTheme="majorEastAsia"/>
      </w:rPr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PAGE  </w:instrText>
    </w:r>
    <w:r>
      <w:rPr>
        <w:rStyle w:val="Nmerodepgina"/>
        <w:rFonts w:eastAsiaTheme="majorEastAsia"/>
      </w:rPr>
      <w:fldChar w:fldCharType="separate"/>
    </w:r>
    <w:r>
      <w:rPr>
        <w:rStyle w:val="Nmerodepgina"/>
        <w:rFonts w:eastAsiaTheme="majorEastAsia"/>
        <w:noProof/>
      </w:rPr>
      <w:t>2</w:t>
    </w:r>
    <w:r>
      <w:rPr>
        <w:rStyle w:val="Nmerodepgina"/>
        <w:rFonts w:eastAsiaTheme="majorEastAsia"/>
      </w:rPr>
      <w:fldChar w:fldCharType="end"/>
    </w:r>
  </w:p>
  <w:p w14:paraId="4223E0D2" w14:textId="77777777" w:rsidR="000413FF" w:rsidRDefault="000413F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C3569"/>
    <w:multiLevelType w:val="multilevel"/>
    <w:tmpl w:val="9A148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185A43"/>
    <w:multiLevelType w:val="hybridMultilevel"/>
    <w:tmpl w:val="1C52DA04"/>
    <w:lvl w:ilvl="0" w:tplc="676AA6C4">
      <w:start w:val="1"/>
      <w:numFmt w:val="lowerLetter"/>
      <w:lvlText w:val="(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CB402E"/>
    <w:multiLevelType w:val="multilevel"/>
    <w:tmpl w:val="CFD0E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BC6FA2"/>
    <w:multiLevelType w:val="hybridMultilevel"/>
    <w:tmpl w:val="35569FB8"/>
    <w:lvl w:ilvl="0" w:tplc="83B8C14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35758A2"/>
    <w:multiLevelType w:val="hybridMultilevel"/>
    <w:tmpl w:val="558E833E"/>
    <w:lvl w:ilvl="0" w:tplc="3A38D3C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45316FC"/>
    <w:multiLevelType w:val="hybridMultilevel"/>
    <w:tmpl w:val="08A63C1E"/>
    <w:lvl w:ilvl="0" w:tplc="0FFA3F20">
      <w:start w:val="1"/>
      <w:numFmt w:val="lowerLetter"/>
      <w:lvlText w:val="(%1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num w:numId="1" w16cid:durableId="312370793">
    <w:abstractNumId w:val="5"/>
  </w:num>
  <w:num w:numId="2" w16cid:durableId="409888006">
    <w:abstractNumId w:val="0"/>
  </w:num>
  <w:num w:numId="3" w16cid:durableId="1468355395">
    <w:abstractNumId w:val="2"/>
  </w:num>
  <w:num w:numId="4" w16cid:durableId="806125417">
    <w:abstractNumId w:val="1"/>
  </w:num>
  <w:num w:numId="5" w16cid:durableId="1430537998">
    <w:abstractNumId w:val="4"/>
  </w:num>
  <w:num w:numId="6" w16cid:durableId="1597838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A6C"/>
    <w:rsid w:val="00013607"/>
    <w:rsid w:val="00025D5A"/>
    <w:rsid w:val="00040935"/>
    <w:rsid w:val="000413FF"/>
    <w:rsid w:val="00077079"/>
    <w:rsid w:val="00085468"/>
    <w:rsid w:val="000C06C5"/>
    <w:rsid w:val="000D1987"/>
    <w:rsid w:val="000D1C78"/>
    <w:rsid w:val="000D2584"/>
    <w:rsid w:val="000E129B"/>
    <w:rsid w:val="000F7171"/>
    <w:rsid w:val="00104844"/>
    <w:rsid w:val="00106947"/>
    <w:rsid w:val="001106C1"/>
    <w:rsid w:val="00123059"/>
    <w:rsid w:val="00153B62"/>
    <w:rsid w:val="0018397A"/>
    <w:rsid w:val="001935D5"/>
    <w:rsid w:val="001C4D9D"/>
    <w:rsid w:val="001D21D0"/>
    <w:rsid w:val="001D35AA"/>
    <w:rsid w:val="001D416A"/>
    <w:rsid w:val="001E0EA2"/>
    <w:rsid w:val="0021009B"/>
    <w:rsid w:val="0021669F"/>
    <w:rsid w:val="0022317D"/>
    <w:rsid w:val="00233B98"/>
    <w:rsid w:val="002809D4"/>
    <w:rsid w:val="002820D1"/>
    <w:rsid w:val="00297425"/>
    <w:rsid w:val="00333873"/>
    <w:rsid w:val="00362E50"/>
    <w:rsid w:val="0038737D"/>
    <w:rsid w:val="0039078C"/>
    <w:rsid w:val="00395699"/>
    <w:rsid w:val="003A24C5"/>
    <w:rsid w:val="003D75C7"/>
    <w:rsid w:val="003F021E"/>
    <w:rsid w:val="00422976"/>
    <w:rsid w:val="00425802"/>
    <w:rsid w:val="00431BE6"/>
    <w:rsid w:val="0044487C"/>
    <w:rsid w:val="0044722A"/>
    <w:rsid w:val="00452340"/>
    <w:rsid w:val="004569CE"/>
    <w:rsid w:val="00463314"/>
    <w:rsid w:val="004660D8"/>
    <w:rsid w:val="00490254"/>
    <w:rsid w:val="00497359"/>
    <w:rsid w:val="004B32D1"/>
    <w:rsid w:val="004F4059"/>
    <w:rsid w:val="00525B73"/>
    <w:rsid w:val="00555FE2"/>
    <w:rsid w:val="00595CDB"/>
    <w:rsid w:val="005A332F"/>
    <w:rsid w:val="005A7EC2"/>
    <w:rsid w:val="005B2941"/>
    <w:rsid w:val="005B3024"/>
    <w:rsid w:val="005B3F50"/>
    <w:rsid w:val="005B4464"/>
    <w:rsid w:val="005D05FD"/>
    <w:rsid w:val="00611908"/>
    <w:rsid w:val="0061306B"/>
    <w:rsid w:val="00624898"/>
    <w:rsid w:val="0063436A"/>
    <w:rsid w:val="00647C94"/>
    <w:rsid w:val="0065033D"/>
    <w:rsid w:val="006C2C28"/>
    <w:rsid w:val="006D49BB"/>
    <w:rsid w:val="006E4CB7"/>
    <w:rsid w:val="006F5E65"/>
    <w:rsid w:val="0072251F"/>
    <w:rsid w:val="007231DD"/>
    <w:rsid w:val="00755FF3"/>
    <w:rsid w:val="00760DE4"/>
    <w:rsid w:val="00771C3A"/>
    <w:rsid w:val="007753B8"/>
    <w:rsid w:val="007810F9"/>
    <w:rsid w:val="00791157"/>
    <w:rsid w:val="007A72E7"/>
    <w:rsid w:val="007A7B42"/>
    <w:rsid w:val="007E6C24"/>
    <w:rsid w:val="007F68BB"/>
    <w:rsid w:val="0080441C"/>
    <w:rsid w:val="00806AEC"/>
    <w:rsid w:val="00812280"/>
    <w:rsid w:val="008141CD"/>
    <w:rsid w:val="00836F2F"/>
    <w:rsid w:val="00866CBE"/>
    <w:rsid w:val="00870974"/>
    <w:rsid w:val="00871FD0"/>
    <w:rsid w:val="00873753"/>
    <w:rsid w:val="00874963"/>
    <w:rsid w:val="00884111"/>
    <w:rsid w:val="008B3490"/>
    <w:rsid w:val="008C417D"/>
    <w:rsid w:val="00924D40"/>
    <w:rsid w:val="00951028"/>
    <w:rsid w:val="009641C2"/>
    <w:rsid w:val="00976057"/>
    <w:rsid w:val="00981A6C"/>
    <w:rsid w:val="009B00B4"/>
    <w:rsid w:val="009B1F2D"/>
    <w:rsid w:val="009C3522"/>
    <w:rsid w:val="009E57BE"/>
    <w:rsid w:val="00A02A5B"/>
    <w:rsid w:val="00A13084"/>
    <w:rsid w:val="00A271BD"/>
    <w:rsid w:val="00A57C7A"/>
    <w:rsid w:val="00A726DB"/>
    <w:rsid w:val="00A765C7"/>
    <w:rsid w:val="00A80B42"/>
    <w:rsid w:val="00AB0700"/>
    <w:rsid w:val="00AC349C"/>
    <w:rsid w:val="00AD5A04"/>
    <w:rsid w:val="00AF2A7D"/>
    <w:rsid w:val="00B15244"/>
    <w:rsid w:val="00B50044"/>
    <w:rsid w:val="00B62B0E"/>
    <w:rsid w:val="00B6432A"/>
    <w:rsid w:val="00B80E67"/>
    <w:rsid w:val="00BD3A65"/>
    <w:rsid w:val="00BE71BA"/>
    <w:rsid w:val="00C02CFA"/>
    <w:rsid w:val="00C0488D"/>
    <w:rsid w:val="00C33C1E"/>
    <w:rsid w:val="00C37D58"/>
    <w:rsid w:val="00C471B3"/>
    <w:rsid w:val="00C54130"/>
    <w:rsid w:val="00C62677"/>
    <w:rsid w:val="00C7044A"/>
    <w:rsid w:val="00C735FB"/>
    <w:rsid w:val="00CC7FAB"/>
    <w:rsid w:val="00CD4CCF"/>
    <w:rsid w:val="00CF5D00"/>
    <w:rsid w:val="00D01647"/>
    <w:rsid w:val="00D043B9"/>
    <w:rsid w:val="00D16E5E"/>
    <w:rsid w:val="00D26555"/>
    <w:rsid w:val="00D43876"/>
    <w:rsid w:val="00D46938"/>
    <w:rsid w:val="00D634B1"/>
    <w:rsid w:val="00D7743D"/>
    <w:rsid w:val="00DB09A8"/>
    <w:rsid w:val="00DD7A7B"/>
    <w:rsid w:val="00DE7208"/>
    <w:rsid w:val="00DF52AD"/>
    <w:rsid w:val="00E02D14"/>
    <w:rsid w:val="00E31B6F"/>
    <w:rsid w:val="00E419D7"/>
    <w:rsid w:val="00E46443"/>
    <w:rsid w:val="00E93A15"/>
    <w:rsid w:val="00E950DA"/>
    <w:rsid w:val="00ED264A"/>
    <w:rsid w:val="00EF577D"/>
    <w:rsid w:val="00F00D6D"/>
    <w:rsid w:val="00F03264"/>
    <w:rsid w:val="00F05DC8"/>
    <w:rsid w:val="00F1285A"/>
    <w:rsid w:val="00F2473E"/>
    <w:rsid w:val="00F30B5F"/>
    <w:rsid w:val="00F51464"/>
    <w:rsid w:val="00F52086"/>
    <w:rsid w:val="00F606DD"/>
    <w:rsid w:val="00F637F2"/>
    <w:rsid w:val="00F758C8"/>
    <w:rsid w:val="00F93580"/>
    <w:rsid w:val="00FA0033"/>
    <w:rsid w:val="00FA4180"/>
    <w:rsid w:val="00FD5850"/>
    <w:rsid w:val="00FE1555"/>
    <w:rsid w:val="00FE3031"/>
    <w:rsid w:val="00FE437F"/>
    <w:rsid w:val="00FF0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8C63CC"/>
  <w15:chartTrackingRefBased/>
  <w15:docId w15:val="{8FB56866-1F06-4C74-9B35-9D0B63139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A6C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981A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81A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81A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81A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81A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81A6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81A6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81A6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81A6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1A6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81A6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81A6C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81A6C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81A6C"/>
    <w:rPr>
      <w:rFonts w:eastAsiaTheme="majorEastAsia" w:cstheme="majorBidi"/>
      <w:color w:val="0F4761" w:themeColor="accent1" w:themeShade="BF"/>
      <w:lang w:val="es-PR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81A6C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81A6C"/>
    <w:rPr>
      <w:rFonts w:eastAsiaTheme="majorEastAsia" w:cstheme="majorBidi"/>
      <w:color w:val="595959" w:themeColor="text1" w:themeTint="A6"/>
      <w:lang w:val="es-PR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81A6C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81A6C"/>
    <w:rPr>
      <w:rFonts w:eastAsiaTheme="majorEastAsia" w:cstheme="majorBidi"/>
      <w:color w:val="272727" w:themeColor="text1" w:themeTint="D8"/>
      <w:lang w:val="es-PR"/>
    </w:rPr>
  </w:style>
  <w:style w:type="paragraph" w:styleId="Ttulo">
    <w:name w:val="Title"/>
    <w:basedOn w:val="Normal"/>
    <w:next w:val="Normal"/>
    <w:link w:val="TtuloCar"/>
    <w:uiPriority w:val="10"/>
    <w:qFormat/>
    <w:rsid w:val="00981A6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81A6C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tulo">
    <w:name w:val="Subtitle"/>
    <w:basedOn w:val="Normal"/>
    <w:next w:val="Normal"/>
    <w:link w:val="SubttuloCar"/>
    <w:uiPriority w:val="11"/>
    <w:qFormat/>
    <w:rsid w:val="00981A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81A6C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Cita">
    <w:name w:val="Quote"/>
    <w:basedOn w:val="Normal"/>
    <w:next w:val="Normal"/>
    <w:link w:val="CitaCar"/>
    <w:uiPriority w:val="29"/>
    <w:qFormat/>
    <w:rsid w:val="00981A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81A6C"/>
    <w:rPr>
      <w:i/>
      <w:iCs/>
      <w:color w:val="404040" w:themeColor="text1" w:themeTint="BF"/>
      <w:lang w:val="es-PR"/>
    </w:rPr>
  </w:style>
  <w:style w:type="paragraph" w:styleId="Prrafodelista">
    <w:name w:val="List Paragraph"/>
    <w:basedOn w:val="Normal"/>
    <w:uiPriority w:val="34"/>
    <w:qFormat/>
    <w:rsid w:val="00981A6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81A6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81A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81A6C"/>
    <w:rPr>
      <w:i/>
      <w:iCs/>
      <w:color w:val="0F4761" w:themeColor="accent1" w:themeShade="BF"/>
      <w:lang w:val="es-PR"/>
    </w:rPr>
  </w:style>
  <w:style w:type="character" w:styleId="Referenciaintensa">
    <w:name w:val="Intense Reference"/>
    <w:basedOn w:val="Fuentedeprrafopredeter"/>
    <w:uiPriority w:val="32"/>
    <w:qFormat/>
    <w:rsid w:val="00981A6C"/>
    <w:rPr>
      <w:b/>
      <w:bCs/>
      <w:smallCaps/>
      <w:color w:val="0F4761" w:themeColor="accent1" w:themeShade="BF"/>
      <w:spacing w:val="5"/>
    </w:rPr>
  </w:style>
  <w:style w:type="paragraph" w:styleId="Textodebloque">
    <w:name w:val="Block Text"/>
    <w:basedOn w:val="Normal"/>
    <w:rsid w:val="00981A6C"/>
    <w:pPr>
      <w:ind w:left="2160" w:right="1440" w:hanging="720"/>
      <w:jc w:val="both"/>
    </w:pPr>
    <w:rPr>
      <w:sz w:val="28"/>
      <w:lang w:val="es-PR"/>
    </w:rPr>
  </w:style>
  <w:style w:type="paragraph" w:styleId="Sangradetextonormal">
    <w:name w:val="Body Text Indent"/>
    <w:basedOn w:val="Normal"/>
    <w:link w:val="SangradetextonormalCar"/>
    <w:rsid w:val="00981A6C"/>
    <w:pPr>
      <w:spacing w:line="480" w:lineRule="auto"/>
      <w:ind w:firstLine="720"/>
      <w:jc w:val="both"/>
    </w:pPr>
    <w:rPr>
      <w:sz w:val="28"/>
      <w:lang w:val="es-PR"/>
    </w:rPr>
  </w:style>
  <w:style w:type="character" w:customStyle="1" w:styleId="SangradetextonormalCar">
    <w:name w:val="Sangría de texto normal Car"/>
    <w:basedOn w:val="Fuentedeprrafopredeter"/>
    <w:link w:val="Sangradetextonormal"/>
    <w:rsid w:val="00981A6C"/>
    <w:rPr>
      <w:rFonts w:ascii="Times New Roman" w:eastAsia="Times New Roman" w:hAnsi="Times New Roman" w:cs="Times New Roman"/>
      <w:kern w:val="0"/>
      <w:sz w:val="28"/>
      <w:lang w:val="es-PR"/>
      <w14:ligatures w14:val="none"/>
    </w:rPr>
  </w:style>
  <w:style w:type="paragraph" w:styleId="Sangra2detindependiente">
    <w:name w:val="Body Text Indent 2"/>
    <w:basedOn w:val="Normal"/>
    <w:link w:val="Sangra2detindependienteCar"/>
    <w:rsid w:val="00981A6C"/>
    <w:pPr>
      <w:spacing w:line="480" w:lineRule="auto"/>
      <w:ind w:firstLine="720"/>
      <w:jc w:val="both"/>
    </w:pPr>
    <w:rPr>
      <w:i/>
      <w:iCs/>
      <w:sz w:val="28"/>
      <w:lang w:val="es-PR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1A6C"/>
    <w:rPr>
      <w:rFonts w:ascii="Times New Roman" w:eastAsia="Times New Roman" w:hAnsi="Times New Roman" w:cs="Times New Roman"/>
      <w:i/>
      <w:iCs/>
      <w:kern w:val="0"/>
      <w:sz w:val="28"/>
      <w:lang w:val="es-PR"/>
      <w14:ligatures w14:val="none"/>
    </w:rPr>
  </w:style>
  <w:style w:type="character" w:styleId="Nmerodepgina">
    <w:name w:val="page number"/>
    <w:basedOn w:val="Fuentedeprrafopredeter"/>
    <w:rsid w:val="00981A6C"/>
  </w:style>
  <w:style w:type="paragraph" w:styleId="Encabezado">
    <w:name w:val="header"/>
    <w:basedOn w:val="Normal"/>
    <w:link w:val="EncabezadoCar"/>
    <w:rsid w:val="00981A6C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rsid w:val="00981A6C"/>
    <w:rPr>
      <w:rFonts w:ascii="Times New Roman" w:eastAsia="Times New Roman" w:hAnsi="Times New Roman" w:cs="Times New Roman"/>
      <w:kern w:val="0"/>
      <w14:ligatures w14:val="none"/>
    </w:rPr>
  </w:style>
  <w:style w:type="character" w:styleId="Nmerodelnea">
    <w:name w:val="line number"/>
    <w:basedOn w:val="Fuentedeprrafopredeter"/>
    <w:uiPriority w:val="99"/>
    <w:semiHidden/>
    <w:unhideWhenUsed/>
    <w:rsid w:val="00981A6C"/>
  </w:style>
  <w:style w:type="paragraph" w:styleId="NormalWeb">
    <w:name w:val="Normal (Web)"/>
    <w:basedOn w:val="Normal"/>
    <w:uiPriority w:val="99"/>
    <w:semiHidden/>
    <w:unhideWhenUsed/>
    <w:rsid w:val="00425802"/>
    <w:pPr>
      <w:spacing w:before="100" w:beforeAutospacing="1" w:after="100" w:afterAutospacing="1"/>
    </w:pPr>
  </w:style>
  <w:style w:type="character" w:styleId="Textoennegrita">
    <w:name w:val="Strong"/>
    <w:basedOn w:val="Fuentedeprrafopredeter"/>
    <w:uiPriority w:val="22"/>
    <w:qFormat/>
    <w:rsid w:val="00425802"/>
    <w:rPr>
      <w:b/>
      <w:bCs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9B00B4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9B00B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Refdenotaalfinal">
    <w:name w:val="endnote reference"/>
    <w:basedOn w:val="Fuentedeprrafopredeter"/>
    <w:uiPriority w:val="99"/>
    <w:semiHidden/>
    <w:unhideWhenUsed/>
    <w:rsid w:val="009B00B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28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9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902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Efrain Babilonia Soto</dc:creator>
  <cp:keywords/>
  <dc:description/>
  <cp:lastModifiedBy>Rocío Alayón Morell</cp:lastModifiedBy>
  <cp:revision>7</cp:revision>
  <cp:lastPrinted>2025-09-29T14:57:00Z</cp:lastPrinted>
  <dcterms:created xsi:type="dcterms:W3CDTF">2025-09-26T15:05:00Z</dcterms:created>
  <dcterms:modified xsi:type="dcterms:W3CDTF">2025-09-29T14:58:00Z</dcterms:modified>
</cp:coreProperties>
</file>