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13024C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13024C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13024C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13024C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13024C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13024C">
        <w:rPr>
          <w:rFonts w:ascii="Book Antiqua" w:hAnsi="Book Antiqua"/>
          <w:szCs w:val="24"/>
          <w:lang w:val="es-ES_tradnl"/>
        </w:rPr>
        <w:t>20m</w:t>
      </w:r>
      <w:r w:rsidR="002670C1" w:rsidRPr="0013024C">
        <w:rPr>
          <w:rFonts w:ascii="Book Antiqua" w:hAnsi="Book Antiqua"/>
          <w:szCs w:val="24"/>
          <w:lang w:val="es-ES_tradnl"/>
        </w:rPr>
        <w:t>a. Asamblea</w:t>
      </w:r>
      <w:r w:rsidR="002670C1" w:rsidRPr="0013024C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13024C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13024C">
        <w:rPr>
          <w:rFonts w:ascii="Book Antiqua" w:hAnsi="Book Antiqua"/>
          <w:szCs w:val="24"/>
          <w:lang w:val="es-ES_tradnl"/>
        </w:rPr>
        <w:t xml:space="preserve">  </w:t>
      </w:r>
      <w:r w:rsidR="003D1498" w:rsidRPr="0013024C">
        <w:rPr>
          <w:rFonts w:ascii="Book Antiqua" w:hAnsi="Book Antiqua"/>
          <w:szCs w:val="24"/>
          <w:lang w:val="es-ES_tradnl"/>
        </w:rPr>
        <w:t>2d</w:t>
      </w:r>
      <w:r w:rsidR="002670C1" w:rsidRPr="0013024C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13024C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13024C">
        <w:rPr>
          <w:rFonts w:ascii="Book Antiqua" w:hAnsi="Book Antiqua"/>
          <w:szCs w:val="24"/>
          <w:lang w:val="es-ES_tradnl"/>
        </w:rPr>
        <w:tab/>
        <w:t>Legislativa</w:t>
      </w:r>
      <w:r w:rsidRPr="0013024C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13024C">
        <w:rPr>
          <w:rFonts w:ascii="Book Antiqua" w:hAnsi="Book Antiqua"/>
          <w:szCs w:val="24"/>
          <w:lang w:val="es-ES_tradnl"/>
        </w:rPr>
        <w:t xml:space="preserve">       </w:t>
      </w:r>
      <w:r w:rsidRPr="0013024C">
        <w:rPr>
          <w:rFonts w:ascii="Book Antiqua" w:hAnsi="Book Antiqua"/>
          <w:szCs w:val="24"/>
          <w:lang w:val="es-ES_tradnl"/>
        </w:rPr>
        <w:t xml:space="preserve"> </w:t>
      </w:r>
      <w:r w:rsidR="00632DBA" w:rsidRPr="0013024C">
        <w:rPr>
          <w:rFonts w:ascii="Book Antiqua" w:hAnsi="Book Antiqua"/>
          <w:szCs w:val="24"/>
          <w:lang w:val="es-ES_tradnl"/>
        </w:rPr>
        <w:t xml:space="preserve"> </w:t>
      </w:r>
      <w:r w:rsidRPr="0013024C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13024C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13024C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13024C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13024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13024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5C15E4CF" w:rsidR="002670C1" w:rsidRPr="0013024C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13024C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13024C" w:rsidRPr="0013024C">
        <w:rPr>
          <w:rFonts w:ascii="Book Antiqua" w:hAnsi="Book Antiqua" w:cs="Tahoma"/>
          <w:b/>
          <w:sz w:val="52"/>
          <w:szCs w:val="52"/>
          <w:lang w:val="es-ES_tradnl"/>
        </w:rPr>
        <w:t>459</w:t>
      </w:r>
    </w:p>
    <w:p w14:paraId="2AB71EBC" w14:textId="77777777" w:rsidR="001A14B6" w:rsidRPr="0013024C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13024C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13024C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13024C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13024C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444E65F1" w:rsidR="002670C1" w:rsidRPr="0013024C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13024C">
        <w:rPr>
          <w:rFonts w:ascii="Book Antiqua" w:hAnsi="Book Antiqua" w:cs="Tahoma"/>
          <w:lang w:val="es-ES_tradnl"/>
        </w:rPr>
        <w:t xml:space="preserve"> </w:t>
      </w:r>
      <w:r w:rsidR="00A031F1">
        <w:rPr>
          <w:rFonts w:ascii="Book Antiqua" w:hAnsi="Book Antiqua" w:cs="Tahoma"/>
          <w:lang w:val="es-ES_tradnl"/>
        </w:rPr>
        <w:t>10</w:t>
      </w:r>
      <w:r w:rsidRPr="0013024C">
        <w:rPr>
          <w:rFonts w:ascii="Book Antiqua" w:hAnsi="Book Antiqua" w:cs="Tahoma"/>
          <w:lang w:val="es-ES_tradnl"/>
        </w:rPr>
        <w:t xml:space="preserve"> de </w:t>
      </w:r>
      <w:r w:rsidR="00A031F1">
        <w:rPr>
          <w:rFonts w:ascii="Book Antiqua" w:hAnsi="Book Antiqua" w:cs="Tahoma"/>
          <w:lang w:val="es-ES_tradnl"/>
        </w:rPr>
        <w:t>noviembre</w:t>
      </w:r>
      <w:r w:rsidRPr="0013024C">
        <w:rPr>
          <w:rFonts w:ascii="Book Antiqua" w:hAnsi="Book Antiqua" w:cs="Tahoma"/>
          <w:lang w:val="es-ES_tradnl"/>
        </w:rPr>
        <w:t xml:space="preserve"> de </w:t>
      </w:r>
      <w:r w:rsidR="00333864" w:rsidRPr="0013024C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13024C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13024C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13024C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13024C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13024C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7233D331" w:rsidR="00682883" w:rsidRPr="0013024C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13024C">
        <w:rPr>
          <w:rFonts w:ascii="Book Antiqua" w:hAnsi="Book Antiqua" w:cs="Tahoma"/>
          <w:lang w:val="es-ES_tradnl"/>
        </w:rPr>
        <w:tab/>
      </w:r>
      <w:r w:rsidR="008A4022" w:rsidRPr="0013024C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13024C">
        <w:rPr>
          <w:rFonts w:ascii="Book Antiqua" w:hAnsi="Book Antiqua" w:cs="Tahoma"/>
          <w:lang w:val="es-ES_tradnl"/>
        </w:rPr>
        <w:t>sideración de la R. de la C.</w:t>
      </w:r>
      <w:r w:rsidR="0013024C" w:rsidRPr="0013024C">
        <w:rPr>
          <w:rFonts w:ascii="Book Antiqua" w:hAnsi="Book Antiqua" w:cs="Tahoma"/>
          <w:lang w:val="es-ES_tradnl"/>
        </w:rPr>
        <w:t xml:space="preserve"> 459</w:t>
      </w:r>
      <w:r w:rsidR="00FA5F29" w:rsidRPr="0013024C">
        <w:rPr>
          <w:rFonts w:ascii="Book Antiqua" w:hAnsi="Book Antiqua" w:cs="Tahoma"/>
          <w:lang w:val="es-ES_tradnl"/>
        </w:rPr>
        <w:t xml:space="preserve">, </w:t>
      </w:r>
      <w:r w:rsidR="00682883" w:rsidRPr="0013024C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13024C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6DBE5516" w:rsidR="008D4A0A" w:rsidRPr="0013024C" w:rsidRDefault="00BC1CB2" w:rsidP="0013024C">
      <w:pPr>
        <w:ind w:left="567" w:hanging="567"/>
        <w:jc w:val="both"/>
        <w:rPr>
          <w:rFonts w:ascii="Book Antiqua" w:hAnsi="Book Antiqua"/>
          <w:lang w:val="es-ES_tradnl"/>
        </w:rPr>
      </w:pPr>
      <w:r w:rsidRPr="0013024C">
        <w:rPr>
          <w:rFonts w:ascii="Book Antiqua" w:hAnsi="Book Antiqua" w:cs="Tahoma"/>
          <w:lang w:val="es-ES_tradnl"/>
        </w:rPr>
        <w:t xml:space="preserve"> </w:t>
      </w:r>
      <w:r w:rsidR="00E86FF9" w:rsidRPr="0013024C">
        <w:rPr>
          <w:rFonts w:ascii="Book Antiqua" w:hAnsi="Book Antiqua" w:cs="Tahoma"/>
          <w:lang w:val="es-ES_tradnl"/>
        </w:rPr>
        <w:t>“</w:t>
      </w:r>
      <w:r w:rsidR="00E86FF9" w:rsidRPr="0013024C">
        <w:rPr>
          <w:rFonts w:ascii="Book Antiqua" w:hAnsi="Book Antiqua"/>
          <w:lang w:val="es-ES_tradnl"/>
        </w:rPr>
        <w:t>Para</w:t>
      </w:r>
      <w:r w:rsidR="00E86FF9" w:rsidRPr="0013024C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13024C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13024C">
        <w:rPr>
          <w:rFonts w:ascii="Book Antiqua" w:hAnsi="Book Antiqua"/>
          <w:lang w:val="es-ES_tradnl"/>
        </w:rPr>
        <w:t xml:space="preserve">a la Comisión </w:t>
      </w:r>
      <w:r w:rsidR="00C321E8" w:rsidRPr="0013024C">
        <w:rPr>
          <w:rFonts w:ascii="Book Antiqua" w:hAnsi="Book Antiqua"/>
          <w:lang w:val="es-ES_tradnl"/>
        </w:rPr>
        <w:t>de</w:t>
      </w:r>
      <w:r w:rsidR="00DF3E6F" w:rsidRPr="0013024C">
        <w:rPr>
          <w:rFonts w:ascii="Book Antiqua" w:hAnsi="Book Antiqua"/>
          <w:lang w:val="es-ES_tradnl"/>
        </w:rPr>
        <w:t xml:space="preserve"> </w:t>
      </w:r>
      <w:bookmarkEnd w:id="0"/>
      <w:bookmarkEnd w:id="3"/>
      <w:bookmarkEnd w:id="1"/>
      <w:bookmarkEnd w:id="2"/>
      <w:r w:rsidR="0013024C" w:rsidRPr="0013024C">
        <w:rPr>
          <w:rFonts w:ascii="Book Antiqua" w:hAnsi="Book Antiqua"/>
          <w:lang w:val="es-ES_tradnl"/>
        </w:rPr>
        <w:t>Transportación e Infraestructura de la Cámara de Representantes de Puerto Rico, realizar una investigación sobre el proceso de implantación y cumplimiento del sistema de “tablilla única” establecido por la Ley Núm. 22-2000, según enmendada, conocida como “Ley de Vehículos y Tránsito de Puerto Rico” conforme a las enmiendas introducidas a la misma mediante la Ley Núm. 2-2016 y la Ley Núm. 23-2020; y para otros fines relacionados.</w:t>
      </w:r>
      <w:r w:rsidR="00FA5F29" w:rsidRPr="0013024C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13024C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13024C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13024C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13024C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52B7D056" w14:textId="77777777" w:rsidR="0013024C" w:rsidRPr="0013024C" w:rsidRDefault="00CC4336" w:rsidP="0013024C">
      <w:pPr>
        <w:jc w:val="both"/>
        <w:rPr>
          <w:rFonts w:ascii="Book Antiqua" w:hAnsi="Book Antiqua"/>
          <w:lang w:val="es-ES_tradnl"/>
        </w:rPr>
      </w:pPr>
      <w:r w:rsidRPr="0013024C">
        <w:rPr>
          <w:rFonts w:ascii="Book Antiqua" w:eastAsiaTheme="minorHAnsi" w:hAnsi="Book Antiqua"/>
          <w:lang w:val="es-ES_tradnl"/>
        </w:rPr>
        <w:t xml:space="preserve">     </w:t>
      </w:r>
      <w:r w:rsidR="00DE02EB" w:rsidRPr="0013024C">
        <w:rPr>
          <w:rFonts w:ascii="Book Antiqua" w:hAnsi="Book Antiqua"/>
          <w:lang w:val="es-ES_tradnl"/>
        </w:rPr>
        <w:t>La</w:t>
      </w:r>
      <w:r w:rsidR="00194744" w:rsidRPr="0013024C">
        <w:rPr>
          <w:rFonts w:ascii="Book Antiqua" w:hAnsi="Book Antiqua"/>
          <w:lang w:val="es-ES_tradnl"/>
        </w:rPr>
        <w:t xml:space="preserve"> Resolución de la Cámara Núm.</w:t>
      </w:r>
      <w:r w:rsidR="0013024C" w:rsidRPr="0013024C">
        <w:rPr>
          <w:rFonts w:ascii="Book Antiqua" w:hAnsi="Book Antiqua"/>
          <w:lang w:val="es-ES_tradnl"/>
        </w:rPr>
        <w:t xml:space="preserve"> 459 </w:t>
      </w:r>
      <w:r w:rsidR="00DF3E6F" w:rsidRPr="0013024C">
        <w:rPr>
          <w:rFonts w:ascii="Book Antiqua" w:hAnsi="Book Antiqua"/>
          <w:lang w:val="es-ES_tradnl"/>
        </w:rPr>
        <w:t>tiene el propósito de realizar una</w:t>
      </w:r>
      <w:r w:rsidR="0013024C" w:rsidRPr="0013024C">
        <w:rPr>
          <w:rFonts w:ascii="Book Antiqua" w:hAnsi="Book Antiqua"/>
          <w:lang w:val="es-ES_tradnl"/>
        </w:rPr>
        <w:t xml:space="preserve"> investigación exhaustiva sobre el </w:t>
      </w:r>
      <w:r w:rsidR="0013024C" w:rsidRPr="0013024C">
        <w:rPr>
          <w:rFonts w:ascii="Book Antiqua" w:hAnsi="Book Antiqua"/>
          <w:bCs/>
          <w:lang w:val="es-ES_tradnl"/>
        </w:rPr>
        <w:t>proceso de implantación y cumplimiento del sistema de “tablilla única”</w:t>
      </w:r>
      <w:r w:rsidR="0013024C" w:rsidRPr="0013024C">
        <w:rPr>
          <w:rFonts w:ascii="Book Antiqua" w:hAnsi="Book Antiqua"/>
          <w:lang w:val="es-ES_tradnl"/>
        </w:rPr>
        <w:t xml:space="preserve"> dispuesto en la </w:t>
      </w:r>
      <w:r w:rsidR="0013024C" w:rsidRPr="0013024C">
        <w:rPr>
          <w:rFonts w:ascii="Book Antiqua" w:hAnsi="Book Antiqua"/>
          <w:bCs/>
          <w:lang w:val="es-ES_tradnl"/>
        </w:rPr>
        <w:t>Ley Núm. 22-2000</w:t>
      </w:r>
      <w:r w:rsidR="0013024C" w:rsidRPr="0013024C">
        <w:rPr>
          <w:rFonts w:ascii="Book Antiqua" w:hAnsi="Book Antiqua"/>
          <w:lang w:val="es-ES_tradnl"/>
        </w:rPr>
        <w:t xml:space="preserve">, conocida como la </w:t>
      </w:r>
      <w:r w:rsidR="0013024C" w:rsidRPr="0013024C">
        <w:rPr>
          <w:rFonts w:ascii="Book Antiqua" w:hAnsi="Book Antiqua"/>
          <w:bCs/>
          <w:lang w:val="es-ES_tradnl"/>
        </w:rPr>
        <w:t>“Ley de Vehículos y Tránsito de Puerto Rico”</w:t>
      </w:r>
      <w:r w:rsidR="0013024C" w:rsidRPr="0013024C">
        <w:rPr>
          <w:rFonts w:ascii="Book Antiqua" w:hAnsi="Book Antiqua"/>
          <w:lang w:val="es-ES_tradnl"/>
        </w:rPr>
        <w:t xml:space="preserve">, y enmendada por las </w:t>
      </w:r>
      <w:r w:rsidR="0013024C" w:rsidRPr="0013024C">
        <w:rPr>
          <w:rFonts w:ascii="Book Antiqua" w:hAnsi="Book Antiqua"/>
          <w:bCs/>
          <w:lang w:val="es-ES_tradnl"/>
        </w:rPr>
        <w:t>Leyes Núm. 2-2016</w:t>
      </w:r>
      <w:r w:rsidR="0013024C" w:rsidRPr="0013024C">
        <w:rPr>
          <w:rFonts w:ascii="Book Antiqua" w:hAnsi="Book Antiqua"/>
          <w:lang w:val="es-ES_tradnl"/>
        </w:rPr>
        <w:t xml:space="preserve"> y </w:t>
      </w:r>
      <w:r w:rsidR="0013024C" w:rsidRPr="0013024C">
        <w:rPr>
          <w:rFonts w:ascii="Book Antiqua" w:hAnsi="Book Antiqua"/>
          <w:bCs/>
          <w:lang w:val="es-ES_tradnl"/>
        </w:rPr>
        <w:t>Núm. 23-2020</w:t>
      </w:r>
      <w:r w:rsidR="0013024C" w:rsidRPr="0013024C">
        <w:rPr>
          <w:rFonts w:ascii="Book Antiqua" w:hAnsi="Book Antiqua"/>
          <w:lang w:val="es-ES_tradnl"/>
        </w:rPr>
        <w:t>.</w:t>
      </w:r>
    </w:p>
    <w:p w14:paraId="1D73A3A1" w14:textId="77777777" w:rsidR="0013024C" w:rsidRPr="0013024C" w:rsidRDefault="0013024C" w:rsidP="0013024C">
      <w:pPr>
        <w:jc w:val="both"/>
        <w:rPr>
          <w:rFonts w:ascii="Book Antiqua" w:hAnsi="Book Antiqua"/>
          <w:lang w:val="es-ES_tradnl"/>
        </w:rPr>
      </w:pPr>
    </w:p>
    <w:p w14:paraId="25B83154" w14:textId="77777777" w:rsidR="0013024C" w:rsidRPr="0013024C" w:rsidRDefault="0013024C" w:rsidP="0013024C">
      <w:pPr>
        <w:jc w:val="both"/>
        <w:rPr>
          <w:rFonts w:ascii="Book Antiqua" w:hAnsi="Book Antiqua"/>
          <w:lang w:val="es-ES_tradnl"/>
        </w:rPr>
      </w:pPr>
      <w:r w:rsidRPr="0013024C">
        <w:rPr>
          <w:rFonts w:ascii="Book Antiqua" w:hAnsi="Book Antiqua"/>
          <w:lang w:val="es-ES_tradnl"/>
        </w:rPr>
        <w:t xml:space="preserve">     El propósito de la investigación propuesta es evaluar si las agencias con jurisdicción principalmente el </w:t>
      </w:r>
      <w:r w:rsidRPr="0013024C">
        <w:rPr>
          <w:rFonts w:ascii="Book Antiqua" w:hAnsi="Book Antiqua"/>
          <w:bCs/>
          <w:lang w:val="es-ES_tradnl"/>
        </w:rPr>
        <w:t>Departamento de Transportación y Obras Públicas (DTOP)</w:t>
      </w:r>
      <w:r w:rsidRPr="0013024C">
        <w:rPr>
          <w:rFonts w:ascii="Book Antiqua" w:hAnsi="Book Antiqua"/>
          <w:lang w:val="es-ES_tradnl"/>
        </w:rPr>
        <w:t xml:space="preserve"> han implementado de manera efectiva las disposiciones relacionadas con la “tablilla única”, </w:t>
      </w:r>
      <w:r w:rsidRPr="0013024C">
        <w:rPr>
          <w:rFonts w:ascii="Book Antiqua" w:hAnsi="Book Antiqua"/>
          <w:lang w:val="es-ES_tradnl"/>
        </w:rPr>
        <w:lastRenderedPageBreak/>
        <w:t>su integración con los sistemas de registro y traspaso de vehículos, y los procesos de recaudación y control de gravámenes asociados a las tablillas.</w:t>
      </w:r>
    </w:p>
    <w:p w14:paraId="030A3E01" w14:textId="77777777" w:rsidR="0013024C" w:rsidRPr="0013024C" w:rsidRDefault="0013024C" w:rsidP="0013024C">
      <w:pPr>
        <w:jc w:val="both"/>
        <w:rPr>
          <w:rFonts w:ascii="Book Antiqua" w:hAnsi="Book Antiqua"/>
          <w:lang w:val="es-ES_tradnl"/>
        </w:rPr>
      </w:pPr>
      <w:r w:rsidRPr="0013024C">
        <w:rPr>
          <w:rFonts w:ascii="Book Antiqua" w:hAnsi="Book Antiqua"/>
          <w:lang w:val="es-ES_tradnl"/>
        </w:rPr>
        <w:t xml:space="preserve">     Según se desprende de la Exposición de Motivos de la </w:t>
      </w:r>
      <w:r w:rsidRPr="0013024C">
        <w:rPr>
          <w:rFonts w:ascii="Book Antiqua" w:hAnsi="Book Antiqua"/>
          <w:bCs/>
          <w:lang w:val="es-ES_tradnl"/>
        </w:rPr>
        <w:t>Ley Núm. 2-2016</w:t>
      </w:r>
      <w:r w:rsidRPr="0013024C">
        <w:rPr>
          <w:rFonts w:ascii="Book Antiqua" w:hAnsi="Book Antiqua"/>
          <w:lang w:val="es-ES_tradnl"/>
        </w:rPr>
        <w:t>, la “tablilla única” fue concebida como una herramienta de alivio económico para las familias puertorriqueñas y una medida de modernización administrativa. La política pública establecida en dicha ley persigue que la tablilla pertenezca al propietario del vehículo y no al vehículo de motor, reduciendo costos en los procesos de compraventa y traspaso, evitando duplicidad de gastos y facilitando la fiscalización de multas o gravámenes sobre el titular.</w:t>
      </w:r>
    </w:p>
    <w:p w14:paraId="0B26950F" w14:textId="77777777" w:rsidR="0013024C" w:rsidRPr="0013024C" w:rsidRDefault="0013024C" w:rsidP="0013024C">
      <w:pPr>
        <w:jc w:val="both"/>
        <w:rPr>
          <w:rFonts w:ascii="Book Antiqua" w:hAnsi="Book Antiqua"/>
          <w:lang w:val="es-ES_tradnl"/>
        </w:rPr>
      </w:pPr>
    </w:p>
    <w:p w14:paraId="05E78832" w14:textId="7620099F" w:rsidR="00DF3E6F" w:rsidRPr="0013024C" w:rsidRDefault="0013024C" w:rsidP="00DF3E6F">
      <w:pPr>
        <w:jc w:val="both"/>
        <w:rPr>
          <w:rFonts w:ascii="Book Antiqua" w:hAnsi="Book Antiqua"/>
          <w:lang w:val="es-ES_tradnl"/>
        </w:rPr>
      </w:pPr>
      <w:r w:rsidRPr="0013024C">
        <w:rPr>
          <w:rFonts w:ascii="Book Antiqua" w:hAnsi="Book Antiqua"/>
          <w:lang w:val="es-ES_tradnl"/>
        </w:rPr>
        <w:t xml:space="preserve">     No obstante, a pesar del tiempo transcurrido desde la aprobación de la medida, diversos sectores han planteado dudas sobre la aplicación práctica de la ley, la existencia de procedimientos uniformes y la eficacia de los controles tecnológicos implantados. La investigación legislativa que propone la </w:t>
      </w:r>
      <w:r w:rsidRPr="0013024C">
        <w:rPr>
          <w:rFonts w:ascii="Book Antiqua" w:hAnsi="Book Antiqua"/>
          <w:bCs/>
          <w:lang w:val="es-ES_tradnl"/>
        </w:rPr>
        <w:t>R. de la C. 459</w:t>
      </w:r>
      <w:r w:rsidRPr="0013024C">
        <w:rPr>
          <w:rFonts w:ascii="Book Antiqua" w:hAnsi="Book Antiqua"/>
          <w:lang w:val="es-ES_tradnl"/>
        </w:rPr>
        <w:t xml:space="preserve"> permitirá determinar si el DTOP ha cumplido con los objetivos dispuestos por la Asamblea Legislativa al aprobar la “tablilla única” y si se han logrado los beneficios económicos y operacionales esperados.</w:t>
      </w:r>
    </w:p>
    <w:p w14:paraId="7645A4CC" w14:textId="77777777" w:rsidR="006150BB" w:rsidRPr="0013024C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13024C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7F768604" w:rsidR="001A02E8" w:rsidRPr="0013024C" w:rsidRDefault="0013024C" w:rsidP="001A02E8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13024C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1A02E8" w:rsidRPr="0013024C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Pr="0013024C">
        <w:rPr>
          <w:rFonts w:ascii="Book Antiqua" w:hAnsi="Book Antiqua"/>
          <w:sz w:val="24"/>
          <w:szCs w:val="24"/>
          <w:lang w:val="es-ES_tradnl"/>
        </w:rPr>
        <w:t>a Resolución de la Cámara 459</w:t>
      </w:r>
      <w:r w:rsidR="001A02E8" w:rsidRPr="0013024C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284E870A" w14:textId="0422BA43" w:rsidR="001A02E8" w:rsidRPr="0013024C" w:rsidRDefault="001A02E8" w:rsidP="0013024C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0FFCE58" w14:textId="77777777" w:rsidR="006150BB" w:rsidRPr="0013024C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13024C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13024C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13024C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13024C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13024C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13024C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13024C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13024C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13024C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13024C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13024C">
        <w:rPr>
          <w:rFonts w:ascii="Book Antiqua" w:hAnsi="Book Antiqua" w:cs="Tahoma"/>
          <w:lang w:val="es-ES_tradnl"/>
        </w:rPr>
        <w:br/>
        <w:t>Presidente</w:t>
      </w:r>
      <w:r w:rsidRPr="0013024C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13024C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024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0278969">
    <w:abstractNumId w:val="6"/>
  </w:num>
  <w:num w:numId="2" w16cid:durableId="1767269146">
    <w:abstractNumId w:val="12"/>
  </w:num>
  <w:num w:numId="3" w16cid:durableId="273095812">
    <w:abstractNumId w:val="3"/>
  </w:num>
  <w:num w:numId="4" w16cid:durableId="2004040450">
    <w:abstractNumId w:val="1"/>
  </w:num>
  <w:num w:numId="5" w16cid:durableId="1412656523">
    <w:abstractNumId w:val="7"/>
  </w:num>
  <w:num w:numId="6" w16cid:durableId="1677075168">
    <w:abstractNumId w:val="4"/>
  </w:num>
  <w:num w:numId="7" w16cid:durableId="811026208">
    <w:abstractNumId w:val="5"/>
  </w:num>
  <w:num w:numId="8" w16cid:durableId="659769692">
    <w:abstractNumId w:val="8"/>
  </w:num>
  <w:num w:numId="9" w16cid:durableId="768350522">
    <w:abstractNumId w:val="9"/>
  </w:num>
  <w:num w:numId="10" w16cid:durableId="336730632">
    <w:abstractNumId w:val="0"/>
  </w:num>
  <w:num w:numId="11" w16cid:durableId="877742150">
    <w:abstractNumId w:val="2"/>
  </w:num>
  <w:num w:numId="12" w16cid:durableId="889537988">
    <w:abstractNumId w:val="11"/>
  </w:num>
  <w:num w:numId="13" w16cid:durableId="140367300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024C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2B1C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2F08CD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C4FD9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16C0"/>
    <w:rsid w:val="007F3B99"/>
    <w:rsid w:val="00812C0F"/>
    <w:rsid w:val="008171E8"/>
    <w:rsid w:val="00846B7C"/>
    <w:rsid w:val="00851127"/>
    <w:rsid w:val="008A0F7D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031F1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B624D309-2F55-41AD-B68E-996A6C482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3</cp:revision>
  <cp:lastPrinted>2025-02-17T12:55:00Z</cp:lastPrinted>
  <dcterms:created xsi:type="dcterms:W3CDTF">2025-10-31T13:44:00Z</dcterms:created>
  <dcterms:modified xsi:type="dcterms:W3CDTF">2025-11-10T15:53:00Z</dcterms:modified>
</cp:coreProperties>
</file>