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F7A94" w14:textId="34322BCD" w:rsidR="00FF6BD2" w:rsidRDefault="00726D51" w:rsidP="00726D5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D611B">
        <w:rPr>
          <w:rFonts w:ascii="Book Antiqua" w:hAnsi="Book Antiqua"/>
          <w:sz w:val="28"/>
          <w:lang w:val="es-ES_tradnl"/>
        </w:rPr>
        <w:t xml:space="preserve"> DE PUERTO RICO</w:t>
      </w:r>
    </w:p>
    <w:p w14:paraId="30CE40BB" w14:textId="77777777" w:rsidR="001D611B" w:rsidRPr="00726D51" w:rsidRDefault="001D611B" w:rsidP="00726D51">
      <w:pPr>
        <w:jc w:val="center"/>
        <w:rPr>
          <w:rFonts w:ascii="Book Antiqua" w:hAnsi="Book Antiqua"/>
          <w:szCs w:val="18"/>
          <w:lang w:val="es-ES_tradnl"/>
        </w:rPr>
      </w:pPr>
    </w:p>
    <w:p w14:paraId="73960BEA" w14:textId="3DA3351E" w:rsidR="001D611B" w:rsidRDefault="006044E3" w:rsidP="00726D5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1D611B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1D611B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1D611B">
        <w:rPr>
          <w:rFonts w:ascii="Book Antiqua" w:hAnsi="Book Antiqua"/>
          <w:lang w:val="es-ES_tradnl"/>
        </w:rPr>
        <w:tab/>
        <w:t>Asamblea</w:t>
      </w:r>
      <w:r w:rsidR="001D611B">
        <w:rPr>
          <w:rFonts w:ascii="Book Antiqua" w:hAnsi="Book Antiqua"/>
          <w:lang w:val="es-ES_tradnl"/>
        </w:rPr>
        <w:tab/>
        <w:t xml:space="preserve">2 </w:t>
      </w:r>
      <w:r w:rsidR="001D611B">
        <w:rPr>
          <w:rFonts w:ascii="Book Antiqua" w:hAnsi="Book Antiqua"/>
          <w:vertAlign w:val="superscript"/>
          <w:lang w:val="es-ES_tradnl"/>
        </w:rPr>
        <w:t>da</w:t>
      </w:r>
      <w:r w:rsidR="001D611B">
        <w:rPr>
          <w:rFonts w:ascii="Book Antiqua" w:hAnsi="Book Antiqua"/>
          <w:lang w:val="es-ES_tradnl"/>
        </w:rPr>
        <w:tab/>
        <w:t>Sesión</w:t>
      </w:r>
    </w:p>
    <w:p w14:paraId="5E5402DF" w14:textId="77777777" w:rsidR="001D611B" w:rsidRDefault="001D611B" w:rsidP="00726D5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7FF1062" w14:textId="77777777" w:rsidR="001D611B" w:rsidRDefault="001D611B" w:rsidP="00726D51">
      <w:pPr>
        <w:rPr>
          <w:lang w:val="es-ES_tradnl"/>
        </w:rPr>
      </w:pPr>
    </w:p>
    <w:p w14:paraId="62346274" w14:textId="099F3B57" w:rsidR="001D611B" w:rsidRDefault="001D611B" w:rsidP="00726D5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B48A0E9" w14:textId="77777777" w:rsidR="00726D51" w:rsidRPr="00726D51" w:rsidRDefault="00726D51" w:rsidP="00726D5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EB1D562" w14:textId="23A91A41" w:rsidR="001D611B" w:rsidRDefault="001D611B" w:rsidP="00726D5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726D51">
        <w:rPr>
          <w:rFonts w:ascii="Book Antiqua" w:hAnsi="Book Antiqua"/>
          <w:b/>
          <w:sz w:val="52"/>
          <w:lang w:val="es-ES_tradnl"/>
        </w:rPr>
        <w:t xml:space="preserve"> </w:t>
      </w:r>
      <w:r w:rsidR="007E55C0">
        <w:rPr>
          <w:rFonts w:ascii="Book Antiqua" w:hAnsi="Book Antiqua"/>
          <w:b/>
          <w:sz w:val="52"/>
          <w:lang w:val="es-ES_tradnl"/>
        </w:rPr>
        <w:t>459</w:t>
      </w:r>
      <w:r>
        <w:rPr>
          <w:rFonts w:ascii="Book Antiqua" w:hAnsi="Book Antiqua"/>
          <w:b/>
          <w:sz w:val="52"/>
          <w:lang w:val="es-ES_tradnl"/>
        </w:rPr>
        <w:t xml:space="preserve"> </w:t>
      </w:r>
    </w:p>
    <w:p w14:paraId="689B2A0D" w14:textId="77777777" w:rsidR="00726D51" w:rsidRPr="00726D51" w:rsidRDefault="00726D51" w:rsidP="00726D5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753D0E4" w14:textId="123107E2" w:rsidR="001D611B" w:rsidRDefault="006044E3" w:rsidP="00726D5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7E55C0">
        <w:rPr>
          <w:rFonts w:ascii="Book Antiqua" w:hAnsi="Book Antiqua"/>
          <w:lang w:val="es-ES_tradnl"/>
        </w:rPr>
        <w:t>9</w:t>
      </w:r>
      <w:r w:rsidR="001D611B">
        <w:rPr>
          <w:rFonts w:ascii="Book Antiqua" w:hAnsi="Book Antiqua"/>
          <w:lang w:val="es-ES_tradnl"/>
        </w:rPr>
        <w:t xml:space="preserve"> DE </w:t>
      </w:r>
      <w:r>
        <w:rPr>
          <w:rFonts w:ascii="Book Antiqua" w:hAnsi="Book Antiqua"/>
          <w:lang w:val="es-ES_tradnl"/>
        </w:rPr>
        <w:t>SEPTIEMBRE</w:t>
      </w:r>
      <w:r w:rsidR="001D611B">
        <w:rPr>
          <w:rFonts w:ascii="Book Antiqua" w:hAnsi="Book Antiqua"/>
          <w:lang w:val="es-ES_tradnl"/>
        </w:rPr>
        <w:t xml:space="preserve"> DE 202</w:t>
      </w:r>
      <w:r>
        <w:rPr>
          <w:rFonts w:ascii="Book Antiqua" w:hAnsi="Book Antiqua"/>
          <w:lang w:val="es-ES_tradnl"/>
        </w:rPr>
        <w:t>5</w:t>
      </w:r>
    </w:p>
    <w:p w14:paraId="01C16A00" w14:textId="77777777" w:rsidR="00726D51" w:rsidRDefault="00726D51" w:rsidP="00726D51">
      <w:pPr>
        <w:jc w:val="center"/>
        <w:rPr>
          <w:rFonts w:ascii="Book Antiqua" w:hAnsi="Book Antiqua"/>
          <w:lang w:val="es-ES_tradnl"/>
        </w:rPr>
      </w:pPr>
    </w:p>
    <w:p w14:paraId="45818ED3" w14:textId="4FB97DFE" w:rsidR="001D611B" w:rsidRDefault="001D611B" w:rsidP="00726D51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044E3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</w:t>
      </w:r>
      <w:r w:rsidR="006044E3">
        <w:rPr>
          <w:rFonts w:ascii="Book Antiqua" w:hAnsi="Book Antiqua"/>
          <w:lang w:val="es-ES_tradnl"/>
        </w:rPr>
        <w:t xml:space="preserve">representante </w:t>
      </w:r>
      <w:r w:rsidR="006044E3" w:rsidRPr="006044E3">
        <w:rPr>
          <w:rFonts w:ascii="Book Antiqua" w:hAnsi="Book Antiqua"/>
          <w:i/>
          <w:iCs/>
          <w:lang w:val="es-ES_tradnl"/>
        </w:rPr>
        <w:t>Rodríguez Aguiló</w:t>
      </w:r>
    </w:p>
    <w:p w14:paraId="11CE6D9F" w14:textId="77777777" w:rsidR="00726D51" w:rsidRDefault="00726D51" w:rsidP="00726D51">
      <w:pPr>
        <w:jc w:val="center"/>
        <w:rPr>
          <w:rFonts w:ascii="Book Antiqua" w:hAnsi="Book Antiqua"/>
          <w:i/>
          <w:iCs/>
          <w:lang w:val="es-ES_tradnl"/>
        </w:rPr>
      </w:pPr>
    </w:p>
    <w:p w14:paraId="4BFE7A5F" w14:textId="74355093" w:rsidR="006044E3" w:rsidRPr="006044E3" w:rsidRDefault="006044E3" w:rsidP="00726D5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726D51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 la Comisión de </w:t>
      </w:r>
      <w:r w:rsidR="00726D51">
        <w:rPr>
          <w:rFonts w:ascii="Book Antiqua" w:hAnsi="Book Antiqua"/>
          <w:lang w:val="es-ES_tradnl"/>
        </w:rPr>
        <w:t>Asuntos Internos</w:t>
      </w:r>
    </w:p>
    <w:p w14:paraId="3C7542AA" w14:textId="77777777" w:rsidR="001D611B" w:rsidRDefault="001D611B" w:rsidP="00726D51">
      <w:pPr>
        <w:jc w:val="both"/>
        <w:rPr>
          <w:rFonts w:ascii="Book Antiqua" w:hAnsi="Book Antiqua"/>
          <w:lang w:val="es-ES_tradnl"/>
        </w:rPr>
      </w:pPr>
    </w:p>
    <w:p w14:paraId="798B4B1F" w14:textId="77777777" w:rsidR="001D611B" w:rsidRDefault="001D611B" w:rsidP="00726D5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FCDDC85" w14:textId="77777777" w:rsidR="001D611B" w:rsidRDefault="001D611B" w:rsidP="00726D51">
      <w:pPr>
        <w:jc w:val="both"/>
        <w:rPr>
          <w:rFonts w:ascii="Book Antiqua" w:hAnsi="Book Antiqua"/>
          <w:lang w:val="es-ES_tradnl"/>
        </w:rPr>
      </w:pPr>
    </w:p>
    <w:p w14:paraId="525CE7BD" w14:textId="77777777" w:rsidR="001D611B" w:rsidRPr="00070870" w:rsidRDefault="001D611B" w:rsidP="00726D51">
      <w:pPr>
        <w:ind w:left="720" w:hanging="720"/>
        <w:jc w:val="both"/>
        <w:rPr>
          <w:rFonts w:ascii="Book Antiqua" w:hAnsi="Book Antiqua" w:cs="Arial"/>
          <w:color w:val="000000"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Pr="00A40D99">
        <w:rPr>
          <w:rFonts w:ascii="Book Antiqua" w:hAnsi="Book Antiqua"/>
          <w:lang w:val="es-ES"/>
        </w:rPr>
        <w:t xml:space="preserve">ordenar </w:t>
      </w:r>
      <w:r>
        <w:rPr>
          <w:rFonts w:ascii="Book Antiqua" w:hAnsi="Book Antiqua"/>
          <w:lang w:val="es-ES"/>
        </w:rPr>
        <w:t>a la Comisión de Transportación e Infraestructura de la Cámara de Representantes de Puerto Rico, realizar una investigación sobre la implementación de la “tablilla única” la cual surge de la Ley Núm. 22-2000, según enmendada, conocida como “Ley de Vehículos y Tránsito de Puerto Rico” conforme a las enmiendas introducidas a la misma mediante la Ley Núm. 2</w:t>
      </w:r>
      <w:r w:rsidRPr="00F50799">
        <w:rPr>
          <w:rFonts w:ascii="Book Antiqua" w:hAnsi="Book Antiqua"/>
          <w:lang w:val="es-PR"/>
        </w:rPr>
        <w:t>-2016</w:t>
      </w:r>
      <w:r>
        <w:rPr>
          <w:rFonts w:ascii="Book Antiqua" w:hAnsi="Book Antiqua"/>
          <w:lang w:val="es-PR"/>
        </w:rPr>
        <w:t xml:space="preserve"> y la Ley Núm. 23-2020</w:t>
      </w:r>
      <w:r w:rsidRPr="00F50799">
        <w:rPr>
          <w:rFonts w:ascii="Book Antiqua" w:hAnsi="Book Antiqua"/>
          <w:lang w:val="es-PR"/>
        </w:rPr>
        <w:t>; y para otros fines relacionados.</w:t>
      </w:r>
    </w:p>
    <w:p w14:paraId="4791C8B0" w14:textId="513326A2" w:rsidR="001D611B" w:rsidRDefault="001D611B" w:rsidP="00726D5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ECCD0D8" w14:textId="77777777" w:rsidR="001D611B" w:rsidRDefault="001D611B" w:rsidP="00726D5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051A40F4" w14:textId="77777777" w:rsidR="00726D51" w:rsidRDefault="00726D51" w:rsidP="00726D51">
      <w:pPr>
        <w:ind w:firstLine="360"/>
        <w:jc w:val="center"/>
        <w:rPr>
          <w:rFonts w:ascii="Book Antiqua" w:hAnsi="Book Antiqua"/>
          <w:lang w:val="es-ES_tradnl"/>
        </w:rPr>
      </w:pPr>
    </w:p>
    <w:p w14:paraId="49579276" w14:textId="77777777" w:rsidR="001D611B" w:rsidRPr="000067C0" w:rsidRDefault="001D611B" w:rsidP="00726D51">
      <w:pPr>
        <w:pStyle w:val="s9"/>
        <w:spacing w:before="0" w:beforeAutospacing="0" w:after="0" w:afterAutospacing="0"/>
        <w:ind w:firstLine="540"/>
        <w:jc w:val="both"/>
        <w:rPr>
          <w:rFonts w:ascii="-webkit-standard" w:hAnsi="-webkit-standard"/>
          <w:color w:val="000000"/>
          <w:lang w:val="es-ES_tradnl"/>
        </w:rPr>
      </w:pPr>
      <w:r w:rsidRPr="00070870">
        <w:rPr>
          <w:rFonts w:ascii="Book Antiqua" w:hAnsi="Book Antiqua" w:cs="Arial"/>
          <w:color w:val="000000"/>
          <w:lang w:val="es-ES"/>
        </w:rPr>
        <w:t>El 1 de febrero de 2016, fue aprobada la Ley Núm. 2-2016 (Ley 2) con el propósito de introducir a Puerto Rico el concepto de “tablilla única”.  El mencionado concepto persigue el propósito de que la tablilla le pertenezca a la persona y no a un vehículo.  Surge de la Exposición de Motivos de la Ley 2, que la misma fue motivada por la difícil situación económica a nivel mundial.  En cuanto a la crisis económica, es referido que</w:t>
      </w:r>
      <w:r w:rsidRPr="000067C0">
        <w:rPr>
          <w:rStyle w:val="s4"/>
          <w:rFonts w:ascii="Book Antiqua" w:hAnsi="Book Antiqua"/>
          <w:color w:val="000000"/>
          <w:lang w:val="es-ES_tradnl"/>
        </w:rPr>
        <w:t xml:space="preserve"> “[d]iversas familias se ven afectadas en sus necesidades más básicas, situación que eventualmente, afecta a la sociedad en general.  A estos efectos, es necesario que el Gobierno del Estado Libre Asociado de Puerto Rico les brinde a sus ciudadanos una mayor cantidad de herramientas para encarar los costos del diario vivir”.</w:t>
      </w:r>
    </w:p>
    <w:p w14:paraId="3F9A9135" w14:textId="77777777" w:rsidR="001D611B" w:rsidRPr="000067C0" w:rsidRDefault="001D611B" w:rsidP="00726D51">
      <w:pPr>
        <w:pStyle w:val="s9"/>
        <w:spacing w:before="0" w:beforeAutospacing="0" w:after="0" w:afterAutospacing="0"/>
        <w:ind w:firstLine="540"/>
        <w:jc w:val="both"/>
        <w:rPr>
          <w:rFonts w:ascii="-webkit-standard" w:hAnsi="-webkit-standard"/>
          <w:color w:val="000000"/>
          <w:lang w:val="es-ES_tradnl"/>
        </w:rPr>
      </w:pPr>
      <w:r w:rsidRPr="000067C0">
        <w:rPr>
          <w:rFonts w:ascii="-webkit-standard" w:hAnsi="-webkit-standard"/>
          <w:color w:val="000000"/>
          <w:lang w:val="es-ES_tradnl"/>
        </w:rPr>
        <w:t> </w:t>
      </w:r>
    </w:p>
    <w:p w14:paraId="7C083D14" w14:textId="367BD316" w:rsidR="001D611B" w:rsidRDefault="001D611B" w:rsidP="00726D51">
      <w:pPr>
        <w:pStyle w:val="s9"/>
        <w:spacing w:before="0" w:beforeAutospacing="0" w:after="0" w:afterAutospacing="0"/>
        <w:ind w:firstLine="540"/>
        <w:jc w:val="both"/>
        <w:rPr>
          <w:rStyle w:val="s4"/>
          <w:rFonts w:ascii="Book Antiqua" w:hAnsi="Book Antiqua"/>
          <w:color w:val="000000"/>
          <w:lang w:val="es-ES_tradnl"/>
        </w:rPr>
      </w:pPr>
      <w:r>
        <w:rPr>
          <w:rStyle w:val="s4"/>
          <w:rFonts w:ascii="Book Antiqua" w:hAnsi="Book Antiqua"/>
          <w:color w:val="000000"/>
          <w:lang w:val="es-ES_tradnl"/>
        </w:rPr>
        <w:t>Sostiene además la Exposición de Motivos de la mencionada L</w:t>
      </w:r>
      <w:r w:rsidRPr="000067C0">
        <w:rPr>
          <w:rStyle w:val="s4"/>
          <w:rFonts w:ascii="Book Antiqua" w:hAnsi="Book Antiqua"/>
          <w:color w:val="000000"/>
          <w:lang w:val="es-ES_tradnl"/>
        </w:rPr>
        <w:t>ey que para entonces</w:t>
      </w:r>
      <w:r>
        <w:rPr>
          <w:rStyle w:val="s4"/>
          <w:rFonts w:ascii="Book Antiqua" w:hAnsi="Book Antiqua"/>
          <w:color w:val="000000"/>
          <w:lang w:val="es-ES_tradnl"/>
        </w:rPr>
        <w:t xml:space="preserve"> “[...] </w:t>
      </w:r>
      <w:r w:rsidRPr="000067C0">
        <w:rPr>
          <w:rStyle w:val="s4"/>
          <w:rFonts w:ascii="Book Antiqua" w:hAnsi="Book Antiqua"/>
          <w:color w:val="000000"/>
          <w:lang w:val="es-ES_tradnl"/>
        </w:rPr>
        <w:t>la</w:t>
      </w:r>
      <w:r w:rsidRPr="000067C0">
        <w:rPr>
          <w:rStyle w:val="apple-converted-space"/>
          <w:rFonts w:ascii="Book Antiqua" w:hAnsi="Book Antiqua"/>
          <w:color w:val="000000"/>
          <w:lang w:val="es-ES_tradnl"/>
        </w:rPr>
        <w:t> </w:t>
      </w:r>
      <w:r w:rsidRPr="000067C0">
        <w:rPr>
          <w:rStyle w:val="s4"/>
          <w:rFonts w:ascii="Book Antiqua" w:hAnsi="Book Antiqua"/>
          <w:color w:val="000000"/>
          <w:lang w:val="es-ES_tradnl"/>
        </w:rPr>
        <w:t>Ley 22-2000, según enmendada, conocida como</w:t>
      </w:r>
      <w:r w:rsidRPr="000067C0">
        <w:rPr>
          <w:rStyle w:val="apple-converted-space"/>
          <w:rFonts w:ascii="Book Antiqua" w:hAnsi="Book Antiqua"/>
          <w:color w:val="000000"/>
          <w:lang w:val="es-ES_tradnl"/>
        </w:rPr>
        <w:t> </w:t>
      </w:r>
      <w:r w:rsidRPr="000067C0">
        <w:rPr>
          <w:rStyle w:val="s4"/>
          <w:rFonts w:ascii="Book Antiqua" w:hAnsi="Book Antiqua"/>
          <w:color w:val="000000"/>
          <w:lang w:val="es-ES_tradnl"/>
        </w:rPr>
        <w:t>“Ley de Vehículos y Tránsito</w:t>
      </w:r>
      <w:r w:rsidRPr="000067C0">
        <w:rPr>
          <w:rStyle w:val="apple-converted-space"/>
          <w:rFonts w:ascii="Book Antiqua" w:hAnsi="Book Antiqua"/>
          <w:color w:val="000000"/>
          <w:lang w:val="es-ES_tradnl"/>
        </w:rPr>
        <w:t> </w:t>
      </w:r>
      <w:r w:rsidRPr="000067C0">
        <w:rPr>
          <w:rStyle w:val="s4"/>
          <w:rFonts w:ascii="Book Antiqua" w:hAnsi="Book Antiqua"/>
          <w:color w:val="000000"/>
          <w:lang w:val="es-ES_tradnl"/>
        </w:rPr>
        <w:t>de Puerto Rico”,</w:t>
      </w:r>
      <w:r w:rsidRPr="000067C0">
        <w:rPr>
          <w:rStyle w:val="apple-converted-space"/>
          <w:rFonts w:ascii="Book Antiqua" w:hAnsi="Book Antiqua"/>
          <w:color w:val="000000"/>
          <w:lang w:val="es-ES_tradnl"/>
        </w:rPr>
        <w:t> </w:t>
      </w:r>
      <w:r w:rsidRPr="000067C0">
        <w:rPr>
          <w:rStyle w:val="s4"/>
          <w:rFonts w:ascii="Book Antiqua" w:hAnsi="Book Antiqua"/>
          <w:color w:val="000000"/>
          <w:lang w:val="es-ES_tradnl"/>
        </w:rPr>
        <w:t>no reconoce como</w:t>
      </w:r>
      <w:r w:rsidRPr="000067C0">
        <w:rPr>
          <w:rStyle w:val="apple-converted-space"/>
          <w:rFonts w:ascii="Book Antiqua" w:hAnsi="Book Antiqua"/>
          <w:color w:val="000000"/>
          <w:lang w:val="es-ES_tradnl"/>
        </w:rPr>
        <w:t> </w:t>
      </w:r>
      <w:r w:rsidRPr="000067C0">
        <w:rPr>
          <w:rStyle w:val="s4"/>
          <w:rFonts w:ascii="Book Antiqua" w:hAnsi="Book Antiqua"/>
          <w:color w:val="000000"/>
          <w:lang w:val="es-ES_tradnl"/>
        </w:rPr>
        <w:t>pertenencia</w:t>
      </w:r>
      <w:r w:rsidRPr="000067C0">
        <w:rPr>
          <w:rStyle w:val="apple-converted-space"/>
          <w:rFonts w:ascii="Book Antiqua" w:hAnsi="Book Antiqua"/>
          <w:color w:val="000000"/>
          <w:lang w:val="es-ES_tradnl"/>
        </w:rPr>
        <w:t> </w:t>
      </w:r>
      <w:r w:rsidRPr="000067C0">
        <w:rPr>
          <w:rStyle w:val="s4"/>
          <w:rFonts w:ascii="Book Antiqua" w:hAnsi="Book Antiqua"/>
          <w:color w:val="000000"/>
          <w:lang w:val="es-ES_tradnl"/>
        </w:rPr>
        <w:t>del dueño del vehículo de motor la tablilla de éste”.  Provocando de esta manera que</w:t>
      </w:r>
      <w:r>
        <w:rPr>
          <w:rStyle w:val="s4"/>
          <w:rFonts w:ascii="Book Antiqua" w:hAnsi="Book Antiqua"/>
          <w:color w:val="000000"/>
          <w:lang w:val="es-ES_tradnl"/>
        </w:rPr>
        <w:t>:</w:t>
      </w:r>
      <w:r w:rsidRPr="000067C0">
        <w:rPr>
          <w:rStyle w:val="s4"/>
          <w:rFonts w:ascii="Book Antiqua" w:hAnsi="Book Antiqua"/>
          <w:color w:val="000000"/>
          <w:lang w:val="es-ES_tradnl"/>
        </w:rPr>
        <w:t xml:space="preserve"> </w:t>
      </w:r>
      <w:r>
        <w:rPr>
          <w:rStyle w:val="s4"/>
          <w:rFonts w:ascii="Book Antiqua" w:hAnsi="Book Antiqua"/>
          <w:color w:val="000000"/>
          <w:lang w:val="es-ES_tradnl"/>
        </w:rPr>
        <w:t>“...</w:t>
      </w:r>
      <w:r w:rsidRPr="000067C0">
        <w:rPr>
          <w:rStyle w:val="s4"/>
          <w:rFonts w:ascii="Book Antiqua" w:hAnsi="Book Antiqua"/>
          <w:color w:val="000000"/>
          <w:lang w:val="es-ES_tradnl"/>
        </w:rPr>
        <w:t>en los procesos de compraventa de vehículos en la Isla, sea obligatoria la compra de una nueva tablilla con cada vehículo de</w:t>
      </w:r>
      <w:r w:rsidRPr="006327A5">
        <w:rPr>
          <w:rStyle w:val="s4"/>
          <w:rFonts w:ascii="Book Antiqua" w:hAnsi="Book Antiqua"/>
          <w:color w:val="000000"/>
          <w:lang w:val="es-ES_tradnl"/>
        </w:rPr>
        <w:t xml:space="preserve"> </w:t>
      </w:r>
      <w:r w:rsidRPr="006327A5">
        <w:rPr>
          <w:rStyle w:val="s4"/>
          <w:rFonts w:ascii="Book Antiqua" w:hAnsi="Book Antiqua"/>
          <w:color w:val="000000"/>
          <w:lang w:val="es-ES_tradnl"/>
        </w:rPr>
        <w:lastRenderedPageBreak/>
        <w:t>motor que se adquiera</w:t>
      </w:r>
      <w:r>
        <w:rPr>
          <w:rStyle w:val="s4"/>
          <w:rFonts w:ascii="Book Antiqua" w:hAnsi="Book Antiqua"/>
          <w:color w:val="000000"/>
          <w:lang w:val="es-ES_tradnl"/>
        </w:rPr>
        <w:t>”</w:t>
      </w:r>
      <w:r w:rsidRPr="006327A5">
        <w:rPr>
          <w:rStyle w:val="s4"/>
          <w:rFonts w:ascii="Book Antiqua" w:hAnsi="Book Antiqua"/>
          <w:color w:val="000000"/>
          <w:lang w:val="es-ES_tradnl"/>
        </w:rPr>
        <w:t>.</w:t>
      </w:r>
      <w:r>
        <w:rPr>
          <w:rStyle w:val="s4"/>
          <w:rFonts w:ascii="Book Antiqua" w:hAnsi="Book Antiqua"/>
          <w:color w:val="000000"/>
          <w:lang w:val="es-ES_tradnl"/>
        </w:rPr>
        <w:t xml:space="preserve">  Provocando así gastos adicionales para el comprador del nuevo </w:t>
      </w:r>
      <w:r w:rsidRPr="006327A5">
        <w:rPr>
          <w:rStyle w:val="s4"/>
          <w:rFonts w:ascii="Book Antiqua" w:hAnsi="Book Antiqua"/>
          <w:color w:val="000000"/>
          <w:lang w:val="es-ES_tradnl"/>
        </w:rPr>
        <w:t>vehícu</w:t>
      </w:r>
      <w:r>
        <w:rPr>
          <w:rStyle w:val="s4"/>
          <w:rFonts w:ascii="Book Antiqua" w:hAnsi="Book Antiqua"/>
          <w:color w:val="000000"/>
          <w:lang w:val="es-ES_tradnl"/>
        </w:rPr>
        <w:t>lo</w:t>
      </w:r>
      <w:r w:rsidRPr="006327A5">
        <w:rPr>
          <w:rStyle w:val="s4"/>
          <w:rFonts w:ascii="Book Antiqua" w:hAnsi="Book Antiqua"/>
          <w:color w:val="000000"/>
          <w:lang w:val="es-ES_tradnl"/>
        </w:rPr>
        <w:t>.</w:t>
      </w:r>
      <w:r w:rsidRPr="006327A5">
        <w:rPr>
          <w:rStyle w:val="apple-converted-space"/>
          <w:rFonts w:ascii="Book Antiqua" w:hAnsi="Book Antiqua"/>
          <w:color w:val="000000"/>
          <w:lang w:val="es-ES_tradnl"/>
        </w:rPr>
        <w:t> </w:t>
      </w:r>
      <w:r>
        <w:rPr>
          <w:rStyle w:val="s4"/>
          <w:rFonts w:ascii="Book Antiqua" w:hAnsi="Book Antiqua"/>
          <w:color w:val="000000"/>
          <w:lang w:val="es-ES_tradnl"/>
        </w:rPr>
        <w:t xml:space="preserve"> </w:t>
      </w:r>
    </w:p>
    <w:p w14:paraId="77F32B57" w14:textId="77777777" w:rsidR="00726D51" w:rsidRPr="006044E3" w:rsidRDefault="00726D51" w:rsidP="00726D51">
      <w:pPr>
        <w:pStyle w:val="s9"/>
        <w:spacing w:before="0" w:beforeAutospacing="0" w:after="0" w:afterAutospacing="0"/>
        <w:ind w:firstLine="540"/>
        <w:jc w:val="both"/>
        <w:rPr>
          <w:rFonts w:ascii="-webkit-standard" w:hAnsi="-webkit-standard"/>
          <w:color w:val="000000"/>
          <w:lang w:val="es-ES_tradnl"/>
        </w:rPr>
      </w:pPr>
    </w:p>
    <w:p w14:paraId="63B141D4" w14:textId="77777777" w:rsidR="001D611B" w:rsidRDefault="001D611B" w:rsidP="00726D5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2374EAA" w14:textId="77777777" w:rsidR="001D611B" w:rsidRDefault="001D611B" w:rsidP="001D611B">
      <w:pPr>
        <w:spacing w:line="480" w:lineRule="auto"/>
        <w:jc w:val="both"/>
        <w:rPr>
          <w:rFonts w:ascii="Book Antiqua" w:hAnsi="Book Antiqua"/>
          <w:lang w:val="es-ES_tradnl"/>
        </w:rPr>
        <w:sectPr w:rsidR="001D611B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9091688" w14:textId="77777777" w:rsidR="001D611B" w:rsidRPr="00070870" w:rsidRDefault="001D611B" w:rsidP="001D611B">
      <w:pPr>
        <w:spacing w:line="480" w:lineRule="auto"/>
        <w:ind w:firstLine="720"/>
        <w:jc w:val="both"/>
        <w:rPr>
          <w:rFonts w:ascii="Book Antiqua" w:hAnsi="Book Antiqua" w:cs="Arial"/>
          <w:color w:val="000000"/>
          <w:lang w:val="es-ES"/>
        </w:rPr>
      </w:pPr>
      <w:r w:rsidRPr="00070870">
        <w:rPr>
          <w:rFonts w:ascii="Book Antiqua" w:hAnsi="Book Antiqua"/>
          <w:color w:val="000000"/>
          <w:lang w:val="es-ES"/>
        </w:rPr>
        <w:t xml:space="preserve">Sección 1.-Se ordena a la </w:t>
      </w:r>
      <w:r>
        <w:rPr>
          <w:rFonts w:ascii="Book Antiqua" w:hAnsi="Book Antiqua"/>
          <w:lang w:val="es-ES"/>
        </w:rPr>
        <w:t>Comisión de Transportación e Infraestructura de la Cámara de Representantes de Puerto Rico, realizar una investigación sobre la implementación de la “tablilla única” la cual surge de la Ley Núm. 22-2000, según enmendada, conocida como “Ley de Vehículos y Tránsito de Puerto Rico” conforme a las enmiendas introducidas a la misma mediante la Ley Núm. 2</w:t>
      </w:r>
      <w:r w:rsidRPr="00F50799">
        <w:rPr>
          <w:rFonts w:ascii="Book Antiqua" w:hAnsi="Book Antiqua"/>
          <w:lang w:val="es-PR"/>
        </w:rPr>
        <w:t>-2016</w:t>
      </w:r>
      <w:r>
        <w:rPr>
          <w:rFonts w:ascii="Book Antiqua" w:hAnsi="Book Antiqua"/>
          <w:lang w:val="es-PR"/>
        </w:rPr>
        <w:t xml:space="preserve"> y la Ley Núm. 23-2020</w:t>
      </w:r>
      <w:r w:rsidRPr="00F50799">
        <w:rPr>
          <w:rFonts w:ascii="Book Antiqua" w:hAnsi="Book Antiqua"/>
          <w:lang w:val="es-PR"/>
        </w:rPr>
        <w:t>; y para otros fines relacionados.</w:t>
      </w:r>
    </w:p>
    <w:p w14:paraId="0CB20E8A" w14:textId="77777777" w:rsidR="001D611B" w:rsidRPr="00070870" w:rsidRDefault="001D611B" w:rsidP="001D611B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"/>
        </w:rPr>
      </w:pPr>
      <w:r w:rsidRPr="00070870">
        <w:rPr>
          <w:rFonts w:ascii="Book Antiqua" w:hAnsi="Book Antiqua"/>
          <w:color w:val="000000"/>
          <w:lang w:val="es-ES"/>
        </w:rPr>
        <w:t xml:space="preserve">Sección 2.-La Comisión de </w:t>
      </w:r>
      <w:r>
        <w:rPr>
          <w:rFonts w:ascii="Book Antiqua" w:hAnsi="Book Antiqua"/>
          <w:lang w:val="es-ES"/>
        </w:rPr>
        <w:t>Transportación e Infraestructura</w:t>
      </w:r>
      <w:r w:rsidRPr="00070870">
        <w:rPr>
          <w:rFonts w:ascii="Book Antiqua" w:hAnsi="Book Antiqua"/>
          <w:color w:val="000000"/>
          <w:lang w:val="es-ES"/>
        </w:rPr>
        <w:t xml:space="preserve"> de la Cámara de Representantes de Puerto Rico realizará la investigación que aquí se dispone y presentará un informe a la Cámara de Representantes de Puerto Rico, conteniendo determinaciones, conclusiones y recomendaciones, dentro de los ciento ochenta (180) días siguientes a la fecha de aprobación de esta Resolución.</w:t>
      </w:r>
    </w:p>
    <w:p w14:paraId="3ED191C5" w14:textId="5AE5A3CD" w:rsidR="001D611B" w:rsidRPr="001D611B" w:rsidRDefault="001D611B" w:rsidP="001D611B">
      <w:pPr>
        <w:spacing w:line="480" w:lineRule="auto"/>
        <w:jc w:val="both"/>
        <w:rPr>
          <w:rFonts w:ascii="Book Antiqua" w:hAnsi="Book Antiqua"/>
          <w:color w:val="000000"/>
          <w:lang w:val="es-ES"/>
        </w:rPr>
      </w:pPr>
      <w:r w:rsidRPr="00070870">
        <w:rPr>
          <w:rFonts w:ascii="Book Antiqua" w:hAnsi="Book Antiqua"/>
          <w:color w:val="000000"/>
          <w:lang w:val="es-ES"/>
        </w:rPr>
        <w:tab/>
        <w:t>Sección 3.-Esta Resolución comenzará a regir inmediatamente después de su aprobación.</w:t>
      </w:r>
    </w:p>
    <w:sectPr w:rsidR="001D611B" w:rsidRPr="001D611B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1C578" w14:textId="77777777" w:rsidR="006C210F" w:rsidRDefault="006C210F">
      <w:r>
        <w:separator/>
      </w:r>
    </w:p>
  </w:endnote>
  <w:endnote w:type="continuationSeparator" w:id="0">
    <w:p w14:paraId="06E640C3" w14:textId="77777777" w:rsidR="006C210F" w:rsidRDefault="006C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-webkit-standard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6EDCB" w14:textId="77777777" w:rsidR="006C210F" w:rsidRDefault="006C210F">
      <w:r>
        <w:separator/>
      </w:r>
    </w:p>
  </w:footnote>
  <w:footnote w:type="continuationSeparator" w:id="0">
    <w:p w14:paraId="43738A21" w14:textId="77777777" w:rsidR="006C210F" w:rsidRDefault="006C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C4D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3442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D611B"/>
    <w:rsid w:val="00003426"/>
    <w:rsid w:val="00020BBB"/>
    <w:rsid w:val="00056024"/>
    <w:rsid w:val="00095AE1"/>
    <w:rsid w:val="000A6B6C"/>
    <w:rsid w:val="000B0DBB"/>
    <w:rsid w:val="00111E71"/>
    <w:rsid w:val="00127C6A"/>
    <w:rsid w:val="001363FE"/>
    <w:rsid w:val="0017132B"/>
    <w:rsid w:val="001D611B"/>
    <w:rsid w:val="001F4CA3"/>
    <w:rsid w:val="001F612A"/>
    <w:rsid w:val="00211396"/>
    <w:rsid w:val="0022317D"/>
    <w:rsid w:val="00226AE6"/>
    <w:rsid w:val="00245B34"/>
    <w:rsid w:val="00263355"/>
    <w:rsid w:val="00273792"/>
    <w:rsid w:val="002D4AC8"/>
    <w:rsid w:val="00320D78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713D2"/>
    <w:rsid w:val="00521639"/>
    <w:rsid w:val="00532BB7"/>
    <w:rsid w:val="005332E4"/>
    <w:rsid w:val="0053550C"/>
    <w:rsid w:val="00555018"/>
    <w:rsid w:val="005723DC"/>
    <w:rsid w:val="006044E3"/>
    <w:rsid w:val="006210DC"/>
    <w:rsid w:val="0064349D"/>
    <w:rsid w:val="00653EED"/>
    <w:rsid w:val="00685549"/>
    <w:rsid w:val="006B7365"/>
    <w:rsid w:val="006C210F"/>
    <w:rsid w:val="006C2D81"/>
    <w:rsid w:val="006C7DF8"/>
    <w:rsid w:val="00726D51"/>
    <w:rsid w:val="00750FC8"/>
    <w:rsid w:val="007533D0"/>
    <w:rsid w:val="00755069"/>
    <w:rsid w:val="007920BC"/>
    <w:rsid w:val="007B0660"/>
    <w:rsid w:val="007E3868"/>
    <w:rsid w:val="007E55C0"/>
    <w:rsid w:val="00820C41"/>
    <w:rsid w:val="00850256"/>
    <w:rsid w:val="0093686F"/>
    <w:rsid w:val="00942FD4"/>
    <w:rsid w:val="00951997"/>
    <w:rsid w:val="00983442"/>
    <w:rsid w:val="00990352"/>
    <w:rsid w:val="00A03405"/>
    <w:rsid w:val="00A1528A"/>
    <w:rsid w:val="00A33918"/>
    <w:rsid w:val="00A7629F"/>
    <w:rsid w:val="00AA6D9F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D02F1A"/>
    <w:rsid w:val="00D417C2"/>
    <w:rsid w:val="00D60936"/>
    <w:rsid w:val="00D709EB"/>
    <w:rsid w:val="00D74714"/>
    <w:rsid w:val="00D82F3F"/>
    <w:rsid w:val="00D921C6"/>
    <w:rsid w:val="00D958C2"/>
    <w:rsid w:val="00E04AB5"/>
    <w:rsid w:val="00E50EEA"/>
    <w:rsid w:val="00E52F58"/>
    <w:rsid w:val="00EC26AA"/>
    <w:rsid w:val="00ED7A53"/>
    <w:rsid w:val="00EE4273"/>
    <w:rsid w:val="00F02004"/>
    <w:rsid w:val="00F042CB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5F81CE"/>
  <w15:chartTrackingRefBased/>
  <w15:docId w15:val="{A9438391-71DA-49BF-B706-7AF46B42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s9">
    <w:name w:val="s9"/>
    <w:basedOn w:val="Normal"/>
    <w:rsid w:val="001D611B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s4">
    <w:name w:val="s4"/>
    <w:basedOn w:val="DefaultParagraphFont"/>
    <w:rsid w:val="001D611B"/>
  </w:style>
  <w:style w:type="character" w:customStyle="1" w:styleId="apple-converted-space">
    <w:name w:val="apple-converted-space"/>
    <w:basedOn w:val="DefaultParagraphFont"/>
    <w:rsid w:val="001D6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Brenda L. Rivera García</dc:creator>
  <cp:keywords/>
  <cp:lastModifiedBy>Gladys J. Burgos Torres</cp:lastModifiedBy>
  <cp:revision>3</cp:revision>
  <cp:lastPrinted>2025-09-25T18:57:00Z</cp:lastPrinted>
  <dcterms:created xsi:type="dcterms:W3CDTF">2025-09-29T14:39:00Z</dcterms:created>
  <dcterms:modified xsi:type="dcterms:W3CDTF">2025-09-29T14:49:00Z</dcterms:modified>
</cp:coreProperties>
</file>