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03F6A" w14:textId="2A1F91B7" w:rsidR="00706E3D" w:rsidRDefault="00706E3D" w:rsidP="00FF3AE3">
      <w:pPr>
        <w:jc w:val="center"/>
        <w:rPr>
          <w:rFonts w:ascii="Book Antiqua" w:hAnsi="Book Antiqua"/>
          <w:sz w:val="36"/>
          <w:szCs w:val="36"/>
          <w:lang w:val="es-ES_tradnl"/>
        </w:rPr>
      </w:pPr>
      <w:proofErr w:type="spellStart"/>
      <w:r>
        <w:rPr>
          <w:rFonts w:ascii="Book Antiqua" w:hAnsi="Book Antiqua"/>
          <w:sz w:val="36"/>
          <w:szCs w:val="36"/>
          <w:lang w:val="es-ES_tradnl"/>
        </w:rPr>
        <w:t>Entirillado</w:t>
      </w:r>
      <w:proofErr w:type="spellEnd"/>
      <w:r>
        <w:rPr>
          <w:rFonts w:ascii="Book Antiqua" w:hAnsi="Book Antiqua"/>
          <w:sz w:val="36"/>
          <w:szCs w:val="36"/>
          <w:lang w:val="es-ES_tradnl"/>
        </w:rPr>
        <w:t xml:space="preserve"> electrónico</w:t>
      </w:r>
    </w:p>
    <w:p w14:paraId="50A427F9" w14:textId="216B491A" w:rsidR="00FF3AE3" w:rsidRPr="00097FC7" w:rsidRDefault="00FF3AE3" w:rsidP="00FF3AE3">
      <w:pPr>
        <w:jc w:val="center"/>
        <w:rPr>
          <w:rFonts w:ascii="Book Antiqua" w:hAnsi="Book Antiqua"/>
          <w:sz w:val="36"/>
          <w:szCs w:val="36"/>
          <w:lang w:val="es-ES_tradnl"/>
        </w:rPr>
      </w:pPr>
      <w:r w:rsidRPr="00097FC7">
        <w:rPr>
          <w:rFonts w:ascii="Book Antiqua" w:hAnsi="Book Antiqua"/>
          <w:sz w:val="36"/>
          <w:szCs w:val="36"/>
          <w:lang w:val="es-ES_tradnl"/>
        </w:rPr>
        <w:t>GOBIERNO DE PUERTO RICO</w:t>
      </w:r>
    </w:p>
    <w:p w14:paraId="449E506D" w14:textId="77777777" w:rsidR="00FF3AE3" w:rsidRPr="00097FC7" w:rsidRDefault="00FF3AE3" w:rsidP="00FF3AE3">
      <w:pPr>
        <w:jc w:val="center"/>
        <w:rPr>
          <w:rFonts w:ascii="Book Antiqua" w:hAnsi="Book Antiqua"/>
          <w:szCs w:val="24"/>
          <w:lang w:val="es-ES_tradnl"/>
        </w:rPr>
      </w:pPr>
    </w:p>
    <w:p w14:paraId="08803EB1" w14:textId="77777777" w:rsidR="00FF3AE3" w:rsidRPr="00097FC7" w:rsidRDefault="00FF3AE3" w:rsidP="00FF3AE3">
      <w:pPr>
        <w:pStyle w:val="Title2"/>
        <w:rPr>
          <w:rFonts w:ascii="Book Antiqua" w:hAnsi="Book Antiqua"/>
          <w:color w:val="000000"/>
          <w:szCs w:val="24"/>
          <w:lang w:val="es-ES_tradnl"/>
        </w:rPr>
      </w:pPr>
      <w:r w:rsidRPr="00097FC7">
        <w:rPr>
          <w:rFonts w:ascii="Book Antiqua" w:hAnsi="Book Antiqua"/>
          <w:szCs w:val="24"/>
          <w:lang w:val="es-ES_tradnl"/>
        </w:rPr>
        <w:t>20</w:t>
      </w:r>
      <w:r w:rsidRPr="00097FC7">
        <w:rPr>
          <w:rFonts w:ascii="Book Antiqua" w:hAnsi="Book Antiqua"/>
          <w:szCs w:val="24"/>
          <w:vertAlign w:val="superscript"/>
          <w:lang w:val="es-ES_tradnl"/>
        </w:rPr>
        <w:t xml:space="preserve"> ma.</w:t>
      </w:r>
      <w:r w:rsidRPr="00097FC7">
        <w:rPr>
          <w:rFonts w:ascii="Book Antiqua" w:hAnsi="Book Antiqua"/>
          <w:szCs w:val="24"/>
          <w:lang w:val="es-ES_tradnl"/>
        </w:rPr>
        <w:tab/>
        <w:t>Asamblea</w:t>
      </w:r>
      <w:r w:rsidRPr="00097FC7">
        <w:rPr>
          <w:rFonts w:ascii="Book Antiqua" w:hAnsi="Book Antiqua"/>
          <w:szCs w:val="24"/>
          <w:lang w:val="es-ES_tradnl"/>
        </w:rPr>
        <w:tab/>
      </w:r>
      <w:r w:rsidR="00413B4A" w:rsidRPr="00097FC7">
        <w:rPr>
          <w:rFonts w:ascii="Book Antiqua" w:hAnsi="Book Antiqua"/>
          <w:szCs w:val="24"/>
          <w:lang w:val="es-ES_tradnl"/>
        </w:rPr>
        <w:t>2</w:t>
      </w:r>
      <w:r w:rsidR="00413B4A" w:rsidRPr="00097FC7">
        <w:rPr>
          <w:rFonts w:ascii="Book Antiqua" w:hAnsi="Book Antiqua"/>
          <w:szCs w:val="24"/>
          <w:vertAlign w:val="superscript"/>
          <w:lang w:val="es-ES_tradnl"/>
        </w:rPr>
        <w:t>d</w:t>
      </w:r>
      <w:r w:rsidRPr="00097FC7">
        <w:rPr>
          <w:rFonts w:ascii="Book Antiqua" w:hAnsi="Book Antiqua"/>
          <w:szCs w:val="24"/>
          <w:vertAlign w:val="superscript"/>
          <w:lang w:val="es-ES_tradnl"/>
        </w:rPr>
        <w:t>a.</w:t>
      </w:r>
      <w:r w:rsidRPr="00097FC7">
        <w:rPr>
          <w:rFonts w:ascii="Book Antiqua" w:hAnsi="Book Antiqua"/>
          <w:color w:val="FF0000"/>
          <w:szCs w:val="24"/>
          <w:lang w:val="es-ES_tradnl"/>
        </w:rPr>
        <w:tab/>
      </w:r>
      <w:r w:rsidRPr="00097FC7">
        <w:rPr>
          <w:rFonts w:ascii="Book Antiqua" w:hAnsi="Book Antiqua"/>
          <w:color w:val="000000"/>
          <w:szCs w:val="24"/>
          <w:lang w:val="es-ES_tradnl"/>
        </w:rPr>
        <w:t>Sesión</w:t>
      </w:r>
    </w:p>
    <w:p w14:paraId="3AF1BEA7" w14:textId="77777777" w:rsidR="00FF3AE3" w:rsidRPr="00097FC7" w:rsidRDefault="00FF3AE3" w:rsidP="00FF3AE3">
      <w:pPr>
        <w:pStyle w:val="Title2"/>
        <w:ind w:right="-180"/>
        <w:rPr>
          <w:rFonts w:ascii="Book Antiqua" w:hAnsi="Book Antiqua"/>
          <w:color w:val="000000"/>
          <w:szCs w:val="24"/>
          <w:lang w:val="es-ES_tradnl"/>
        </w:rPr>
      </w:pPr>
      <w:r w:rsidRPr="00097FC7">
        <w:rPr>
          <w:rFonts w:ascii="Book Antiqua" w:hAnsi="Book Antiqua"/>
          <w:color w:val="000000"/>
          <w:szCs w:val="24"/>
          <w:lang w:val="es-ES_tradnl"/>
        </w:rPr>
        <w:tab/>
        <w:t>Legislativa</w:t>
      </w:r>
      <w:r w:rsidRPr="00097FC7">
        <w:rPr>
          <w:rFonts w:ascii="Book Antiqua" w:hAnsi="Book Antiqua"/>
          <w:color w:val="000000"/>
          <w:szCs w:val="24"/>
          <w:lang w:val="es-ES_tradnl"/>
        </w:rPr>
        <w:tab/>
      </w:r>
      <w:r w:rsidRPr="00097FC7">
        <w:rPr>
          <w:rFonts w:ascii="Book Antiqua" w:hAnsi="Book Antiqua"/>
          <w:color w:val="000000"/>
          <w:szCs w:val="24"/>
          <w:lang w:val="es-ES_tradnl"/>
        </w:rPr>
        <w:tab/>
        <w:t>Ordinaria</w:t>
      </w:r>
    </w:p>
    <w:p w14:paraId="672BE8E7" w14:textId="77777777" w:rsidR="00FF3AE3" w:rsidRPr="00097FC7" w:rsidRDefault="00FF3AE3" w:rsidP="00FF3AE3">
      <w:pPr>
        <w:rPr>
          <w:rFonts w:ascii="Book Antiqua" w:hAnsi="Book Antiqua"/>
          <w:szCs w:val="24"/>
          <w:lang w:val="es-ES_tradnl"/>
        </w:rPr>
      </w:pPr>
    </w:p>
    <w:p w14:paraId="1A92D6C3" w14:textId="77777777" w:rsidR="00FF3AE3" w:rsidRPr="00097FC7" w:rsidRDefault="00FF3AE3" w:rsidP="00FF3AE3">
      <w:pPr>
        <w:jc w:val="center"/>
        <w:rPr>
          <w:rFonts w:ascii="Book Antiqua" w:hAnsi="Book Antiqua"/>
          <w:b/>
          <w:sz w:val="36"/>
          <w:szCs w:val="36"/>
          <w:lang w:val="es-ES_tradnl"/>
        </w:rPr>
      </w:pPr>
      <w:r w:rsidRPr="00097FC7">
        <w:rPr>
          <w:rFonts w:ascii="Book Antiqua" w:hAnsi="Book Antiqua"/>
          <w:b/>
          <w:sz w:val="36"/>
          <w:szCs w:val="36"/>
          <w:lang w:val="es-ES_tradnl"/>
        </w:rPr>
        <w:t>SENADO DE PUERTO RICO</w:t>
      </w:r>
    </w:p>
    <w:p w14:paraId="0E45BF73" w14:textId="77777777" w:rsidR="00FF3AE3" w:rsidRPr="00097FC7" w:rsidRDefault="00FF3AE3" w:rsidP="00FF3AE3">
      <w:pPr>
        <w:spacing w:before="240"/>
        <w:jc w:val="center"/>
        <w:rPr>
          <w:rFonts w:ascii="Book Antiqua" w:hAnsi="Book Antiqua"/>
          <w:b/>
          <w:sz w:val="52"/>
          <w:szCs w:val="52"/>
          <w:lang w:val="es-ES_tradnl"/>
        </w:rPr>
      </w:pPr>
      <w:r w:rsidRPr="00097FC7">
        <w:rPr>
          <w:rFonts w:ascii="Book Antiqua" w:hAnsi="Book Antiqua"/>
          <w:b/>
          <w:sz w:val="52"/>
          <w:szCs w:val="52"/>
          <w:lang w:val="es-ES_tradnl"/>
        </w:rPr>
        <w:t>P. del S.</w:t>
      </w:r>
      <w:r w:rsidR="009873B7" w:rsidRPr="00097FC7">
        <w:rPr>
          <w:rFonts w:ascii="Book Antiqua" w:hAnsi="Book Antiqua"/>
          <w:b/>
          <w:sz w:val="52"/>
          <w:szCs w:val="52"/>
          <w:lang w:val="es-ES_tradnl"/>
        </w:rPr>
        <w:t xml:space="preserve"> 745</w:t>
      </w:r>
    </w:p>
    <w:p w14:paraId="24CE52A1" w14:textId="77777777" w:rsidR="00FF3AE3" w:rsidRPr="00097FC7" w:rsidRDefault="00FF3AE3" w:rsidP="00FF3AE3">
      <w:pPr>
        <w:spacing w:before="120"/>
        <w:jc w:val="center"/>
        <w:rPr>
          <w:rFonts w:ascii="Book Antiqua" w:hAnsi="Book Antiqua"/>
          <w:szCs w:val="24"/>
          <w:lang w:val="es-ES_tradnl"/>
        </w:rPr>
      </w:pPr>
      <w:r w:rsidRPr="00097FC7">
        <w:rPr>
          <w:rFonts w:ascii="Book Antiqua" w:hAnsi="Book Antiqua"/>
          <w:szCs w:val="24"/>
          <w:lang w:val="es-ES_tradnl"/>
        </w:rPr>
        <w:t xml:space="preserve">  </w:t>
      </w:r>
      <w:r w:rsidR="009873B7" w:rsidRPr="00097FC7">
        <w:rPr>
          <w:rFonts w:ascii="Book Antiqua" w:hAnsi="Book Antiqua"/>
          <w:szCs w:val="24"/>
          <w:lang w:val="es-ES_tradnl"/>
        </w:rPr>
        <w:t>29</w:t>
      </w:r>
      <w:r w:rsidRPr="00097FC7">
        <w:rPr>
          <w:rFonts w:ascii="Book Antiqua" w:hAnsi="Book Antiqua"/>
          <w:szCs w:val="24"/>
          <w:lang w:val="es-ES_tradnl"/>
        </w:rPr>
        <w:t xml:space="preserve"> de </w:t>
      </w:r>
      <w:r w:rsidR="003E1846" w:rsidRPr="00097FC7">
        <w:rPr>
          <w:rFonts w:ascii="Book Antiqua" w:hAnsi="Book Antiqua"/>
          <w:szCs w:val="24"/>
          <w:lang w:val="es-ES_tradnl"/>
        </w:rPr>
        <w:t>septiembre</w:t>
      </w:r>
      <w:r w:rsidRPr="00097FC7">
        <w:rPr>
          <w:rFonts w:ascii="Book Antiqua" w:hAnsi="Book Antiqua"/>
          <w:szCs w:val="24"/>
          <w:lang w:val="es-ES_tradnl"/>
        </w:rPr>
        <w:t xml:space="preserve"> de 2025</w:t>
      </w:r>
    </w:p>
    <w:p w14:paraId="1A44B8A4" w14:textId="77777777" w:rsidR="00FF3AE3" w:rsidRPr="00097FC7" w:rsidRDefault="00FF3AE3" w:rsidP="00FF3AE3">
      <w:pPr>
        <w:spacing w:before="120"/>
        <w:jc w:val="center"/>
        <w:rPr>
          <w:rFonts w:ascii="Book Antiqua" w:hAnsi="Book Antiqua"/>
          <w:szCs w:val="24"/>
          <w:lang w:val="es-ES_tradnl"/>
        </w:rPr>
      </w:pPr>
      <w:r w:rsidRPr="00097FC7">
        <w:rPr>
          <w:rFonts w:ascii="Book Antiqua" w:hAnsi="Book Antiqua"/>
          <w:szCs w:val="24"/>
          <w:lang w:val="es-ES_tradnl"/>
        </w:rPr>
        <w:t xml:space="preserve">Presentado por el </w:t>
      </w:r>
      <w:r w:rsidRPr="00097FC7">
        <w:rPr>
          <w:rFonts w:ascii="Book Antiqua" w:hAnsi="Book Antiqua"/>
          <w:iCs/>
          <w:szCs w:val="24"/>
          <w:lang w:val="es-ES_tradnl"/>
        </w:rPr>
        <w:t xml:space="preserve">señor </w:t>
      </w:r>
      <w:r w:rsidR="00F24D43" w:rsidRPr="00097FC7">
        <w:rPr>
          <w:rFonts w:ascii="Book Antiqua" w:hAnsi="Book Antiqua"/>
          <w:i/>
          <w:iCs/>
          <w:szCs w:val="24"/>
          <w:lang w:val="es-ES_tradnl"/>
        </w:rPr>
        <w:t xml:space="preserve">Toledo </w:t>
      </w:r>
      <w:r w:rsidR="00F7157A" w:rsidRPr="00097FC7">
        <w:rPr>
          <w:rFonts w:ascii="Book Antiqua" w:hAnsi="Book Antiqua"/>
          <w:i/>
          <w:iCs/>
          <w:szCs w:val="24"/>
          <w:lang w:val="es-ES_tradnl"/>
        </w:rPr>
        <w:t>López</w:t>
      </w:r>
    </w:p>
    <w:p w14:paraId="596C305C" w14:textId="77777777" w:rsidR="00FF3AE3" w:rsidRPr="00097FC7" w:rsidRDefault="00FF3AE3" w:rsidP="00FF3AE3">
      <w:pPr>
        <w:spacing w:before="120"/>
        <w:jc w:val="center"/>
        <w:rPr>
          <w:rFonts w:ascii="Book Antiqua" w:hAnsi="Book Antiqua"/>
          <w:i/>
          <w:iCs/>
          <w:color w:val="FF0000"/>
          <w:szCs w:val="24"/>
          <w:lang w:val="es-ES_tradnl"/>
        </w:rPr>
      </w:pPr>
      <w:r w:rsidRPr="00097FC7">
        <w:rPr>
          <w:rFonts w:ascii="Book Antiqua" w:hAnsi="Book Antiqua"/>
          <w:i/>
          <w:iCs/>
          <w:szCs w:val="24"/>
          <w:lang w:val="es-ES_tradnl"/>
        </w:rPr>
        <w:t xml:space="preserve">Referido a </w:t>
      </w:r>
      <w:r w:rsidR="00334630" w:rsidRPr="00097FC7">
        <w:rPr>
          <w:rFonts w:ascii="Book Antiqua" w:hAnsi="Book Antiqua"/>
          <w:i/>
          <w:iCs/>
          <w:szCs w:val="24"/>
          <w:lang w:val="es-ES_tradnl"/>
        </w:rPr>
        <w:t>la Comisión de lo Jurídico</w:t>
      </w:r>
    </w:p>
    <w:p w14:paraId="26882FE3" w14:textId="77777777" w:rsidR="00FF3AE3" w:rsidRPr="00097FC7" w:rsidRDefault="00FF3AE3" w:rsidP="00FF3AE3">
      <w:pPr>
        <w:jc w:val="both"/>
        <w:rPr>
          <w:rFonts w:ascii="Book Antiqua" w:hAnsi="Book Antiqua"/>
          <w:szCs w:val="24"/>
          <w:lang w:val="es-ES_tradnl"/>
        </w:rPr>
      </w:pPr>
    </w:p>
    <w:p w14:paraId="51A1D19C" w14:textId="77777777" w:rsidR="00FF3AE3" w:rsidRPr="00097FC7" w:rsidRDefault="00FF3AE3" w:rsidP="00FF3AE3">
      <w:pPr>
        <w:jc w:val="center"/>
        <w:rPr>
          <w:rFonts w:ascii="Book Antiqua" w:hAnsi="Book Antiqua"/>
          <w:b/>
          <w:szCs w:val="24"/>
          <w:lang w:val="es-ES_tradnl"/>
        </w:rPr>
      </w:pPr>
      <w:r w:rsidRPr="00097FC7">
        <w:rPr>
          <w:rFonts w:ascii="Book Antiqua" w:hAnsi="Book Antiqua"/>
          <w:b/>
          <w:szCs w:val="24"/>
          <w:lang w:val="es-ES_tradnl"/>
        </w:rPr>
        <w:t>LEY</w:t>
      </w:r>
    </w:p>
    <w:p w14:paraId="47F325B6" w14:textId="77777777" w:rsidR="00FF3AE3" w:rsidRPr="00097FC7" w:rsidRDefault="00FF3AE3" w:rsidP="00FF3AE3">
      <w:pPr>
        <w:jc w:val="center"/>
        <w:rPr>
          <w:rFonts w:ascii="Book Antiqua" w:hAnsi="Book Antiqua"/>
          <w:b/>
          <w:sz w:val="16"/>
          <w:szCs w:val="16"/>
          <w:lang w:val="es-ES_tradnl"/>
        </w:rPr>
      </w:pPr>
    </w:p>
    <w:p w14:paraId="55FAA15D" w14:textId="77777777" w:rsidR="00FF3AE3" w:rsidRPr="00097FC7" w:rsidRDefault="00FF3AE3" w:rsidP="00FF3AE3">
      <w:pPr>
        <w:ind w:left="360" w:hanging="360"/>
        <w:jc w:val="both"/>
        <w:rPr>
          <w:rFonts w:ascii="Book Antiqua" w:hAnsi="Book Antiqua"/>
          <w:szCs w:val="24"/>
        </w:rPr>
      </w:pPr>
      <w:r w:rsidRPr="00097FC7">
        <w:rPr>
          <w:rFonts w:ascii="Book Antiqua" w:hAnsi="Book Antiqua"/>
          <w:szCs w:val="24"/>
          <w:lang w:val="es-ES_tradnl"/>
        </w:rPr>
        <w:t xml:space="preserve">Para </w:t>
      </w:r>
      <w:r w:rsidRPr="00097FC7">
        <w:rPr>
          <w:rFonts w:ascii="Book Antiqua" w:hAnsi="Book Antiqua"/>
          <w:szCs w:val="24"/>
        </w:rPr>
        <w:t xml:space="preserve">enmendar los Artículos </w:t>
      </w:r>
      <w:r w:rsidR="00F24D43" w:rsidRPr="00097FC7">
        <w:rPr>
          <w:rFonts w:ascii="Book Antiqua" w:hAnsi="Book Antiqua"/>
          <w:szCs w:val="24"/>
        </w:rPr>
        <w:t xml:space="preserve">12 y </w:t>
      </w:r>
      <w:r w:rsidR="00F24D43" w:rsidRPr="007F32FE">
        <w:rPr>
          <w:rFonts w:ascii="Book Antiqua" w:hAnsi="Book Antiqua"/>
          <w:strike/>
          <w:szCs w:val="24"/>
        </w:rPr>
        <w:t>13</w:t>
      </w:r>
      <w:r w:rsidR="007F32FE">
        <w:rPr>
          <w:rFonts w:ascii="Book Antiqua" w:hAnsi="Book Antiqua"/>
          <w:szCs w:val="24"/>
        </w:rPr>
        <w:t xml:space="preserve"> </w:t>
      </w:r>
      <w:r w:rsidR="007F32FE" w:rsidRPr="00706E3D">
        <w:rPr>
          <w:rFonts w:ascii="Book Antiqua" w:hAnsi="Book Antiqua"/>
          <w:i/>
          <w:iCs/>
          <w:szCs w:val="24"/>
          <w:u w:val="single"/>
        </w:rPr>
        <w:t>13-A</w:t>
      </w:r>
      <w:r w:rsidR="00F24D43" w:rsidRPr="00097FC7">
        <w:rPr>
          <w:rFonts w:ascii="Book Antiqua" w:hAnsi="Book Antiqua"/>
          <w:szCs w:val="24"/>
        </w:rPr>
        <w:t xml:space="preserve"> de la </w:t>
      </w:r>
      <w:r w:rsidRPr="00097FC7">
        <w:rPr>
          <w:rFonts w:ascii="Book Antiqua" w:hAnsi="Book Antiqua"/>
          <w:szCs w:val="24"/>
        </w:rPr>
        <w:t xml:space="preserve">Ley Núm. </w:t>
      </w:r>
      <w:r w:rsidR="00C42A97" w:rsidRPr="00097FC7">
        <w:rPr>
          <w:rFonts w:ascii="Book Antiqua" w:hAnsi="Book Antiqua"/>
          <w:szCs w:val="24"/>
        </w:rPr>
        <w:t>75</w:t>
      </w:r>
      <w:r w:rsidR="00F24D43" w:rsidRPr="00097FC7">
        <w:rPr>
          <w:rFonts w:ascii="Book Antiqua" w:hAnsi="Book Antiqua"/>
          <w:szCs w:val="24"/>
        </w:rPr>
        <w:t xml:space="preserve"> </w:t>
      </w:r>
      <w:r w:rsidRPr="00097FC7">
        <w:rPr>
          <w:rFonts w:ascii="Book Antiqua" w:hAnsi="Book Antiqua"/>
          <w:szCs w:val="24"/>
        </w:rPr>
        <w:t>de</w:t>
      </w:r>
      <w:r w:rsidR="00C42A97" w:rsidRPr="00097FC7">
        <w:rPr>
          <w:rFonts w:ascii="Book Antiqua" w:hAnsi="Book Antiqua"/>
          <w:szCs w:val="24"/>
        </w:rPr>
        <w:t xml:space="preserve">l 2 </w:t>
      </w:r>
      <w:r w:rsidRPr="00097FC7">
        <w:rPr>
          <w:rFonts w:ascii="Book Antiqua" w:hAnsi="Book Antiqua"/>
          <w:szCs w:val="24"/>
        </w:rPr>
        <w:t xml:space="preserve">de </w:t>
      </w:r>
      <w:r w:rsidR="00C42A97" w:rsidRPr="00097FC7">
        <w:rPr>
          <w:rFonts w:ascii="Book Antiqua" w:hAnsi="Book Antiqua"/>
          <w:szCs w:val="24"/>
        </w:rPr>
        <w:t>julio</w:t>
      </w:r>
      <w:r w:rsidRPr="00097FC7">
        <w:rPr>
          <w:rFonts w:ascii="Book Antiqua" w:hAnsi="Book Antiqua"/>
          <w:szCs w:val="24"/>
        </w:rPr>
        <w:t xml:space="preserve"> de</w:t>
      </w:r>
      <w:r w:rsidR="00C42A97" w:rsidRPr="00097FC7">
        <w:rPr>
          <w:rFonts w:ascii="Book Antiqua" w:hAnsi="Book Antiqua"/>
          <w:szCs w:val="24"/>
        </w:rPr>
        <w:t xml:space="preserve"> 1987</w:t>
      </w:r>
      <w:r w:rsidRPr="00097FC7">
        <w:rPr>
          <w:rFonts w:ascii="Book Antiqua" w:hAnsi="Book Antiqua"/>
          <w:szCs w:val="24"/>
        </w:rPr>
        <w:t xml:space="preserve">, según enmendada, conocida como “Ley </w:t>
      </w:r>
      <w:r w:rsidR="00C42A97" w:rsidRPr="00097FC7">
        <w:rPr>
          <w:rFonts w:ascii="Book Antiqua" w:hAnsi="Book Antiqua"/>
          <w:szCs w:val="24"/>
        </w:rPr>
        <w:t>Notarial</w:t>
      </w:r>
      <w:r w:rsidRPr="00097FC7">
        <w:rPr>
          <w:rFonts w:ascii="Book Antiqua" w:hAnsi="Book Antiqua"/>
          <w:szCs w:val="24"/>
        </w:rPr>
        <w:t xml:space="preserve"> de Puerto Rico”,</w:t>
      </w:r>
      <w:r w:rsidR="009B5C9F" w:rsidRPr="00097FC7">
        <w:rPr>
          <w:rFonts w:ascii="Book Antiqua" w:hAnsi="Book Antiqua"/>
        </w:rPr>
        <w:t xml:space="preserve"> </w:t>
      </w:r>
      <w:r w:rsidR="009B5C9F" w:rsidRPr="00097FC7">
        <w:rPr>
          <w:rFonts w:ascii="Book Antiqua" w:hAnsi="Book Antiqua"/>
          <w:szCs w:val="24"/>
        </w:rPr>
        <w:t>a los fines de eliminar el requisito de presentar índices mensuales negativos cuando no haya actividad notarial y disponer que el Informe Anual Notarial constituya el mecanismo de ratificación de dicha inactividad</w:t>
      </w:r>
      <w:r w:rsidRPr="00097FC7">
        <w:rPr>
          <w:rFonts w:ascii="Book Antiqua" w:hAnsi="Book Antiqua"/>
          <w:szCs w:val="24"/>
        </w:rPr>
        <w:t>; y para otros fines relacionados.</w:t>
      </w:r>
    </w:p>
    <w:p w14:paraId="0B0D5C5B" w14:textId="77777777" w:rsidR="00FF3AE3" w:rsidRPr="00097FC7" w:rsidRDefault="00FF3AE3" w:rsidP="00FF3AE3">
      <w:pPr>
        <w:ind w:left="360" w:hanging="360"/>
        <w:jc w:val="both"/>
        <w:rPr>
          <w:rFonts w:ascii="Book Antiqua" w:hAnsi="Book Antiqua"/>
          <w:szCs w:val="24"/>
          <w:lang w:val="es-ES_tradnl"/>
        </w:rPr>
      </w:pPr>
    </w:p>
    <w:p w14:paraId="1A9CD44C" w14:textId="77777777" w:rsidR="00FF3AE3" w:rsidRPr="00097FC7" w:rsidRDefault="00FF3AE3" w:rsidP="00334630">
      <w:pPr>
        <w:spacing w:before="120"/>
        <w:jc w:val="center"/>
        <w:rPr>
          <w:rFonts w:ascii="Book Antiqua" w:hAnsi="Book Antiqua"/>
          <w:szCs w:val="24"/>
          <w:lang w:val="es-ES_tradnl"/>
        </w:rPr>
      </w:pPr>
      <w:r w:rsidRPr="00097FC7">
        <w:rPr>
          <w:rFonts w:ascii="Book Antiqua" w:hAnsi="Book Antiqua"/>
          <w:b/>
          <w:szCs w:val="24"/>
          <w:lang w:val="es-ES_tradnl"/>
        </w:rPr>
        <w:t>EXPOSICIÓN DE MOTIVOS</w:t>
      </w:r>
    </w:p>
    <w:p w14:paraId="0D8914CB" w14:textId="77777777" w:rsidR="00FF3AE3" w:rsidRPr="00097FC7" w:rsidRDefault="00FF3AE3" w:rsidP="00FF3AE3">
      <w:pPr>
        <w:ind w:firstLine="360"/>
        <w:jc w:val="both"/>
        <w:rPr>
          <w:rFonts w:ascii="Book Antiqua" w:hAnsi="Book Antiqua"/>
          <w:sz w:val="16"/>
          <w:szCs w:val="16"/>
          <w:lang w:val="es-ES_tradnl"/>
        </w:rPr>
      </w:pPr>
    </w:p>
    <w:p w14:paraId="5EEF7787" w14:textId="77777777" w:rsidR="001E6EE5" w:rsidRPr="00097FC7" w:rsidRDefault="001E6EE5" w:rsidP="001E6EE5">
      <w:pPr>
        <w:spacing w:after="160" w:line="360" w:lineRule="auto"/>
        <w:ind w:firstLine="450"/>
        <w:jc w:val="both"/>
        <w:rPr>
          <w:rFonts w:ascii="Book Antiqua" w:hAnsi="Book Antiqua"/>
          <w:szCs w:val="24"/>
        </w:rPr>
      </w:pPr>
      <w:r w:rsidRPr="00097FC7">
        <w:rPr>
          <w:rFonts w:ascii="Book Antiqua" w:hAnsi="Book Antiqua"/>
          <w:szCs w:val="24"/>
        </w:rPr>
        <w:t xml:space="preserve">La Ley Núm. 75 del 2 de julio de 1987, según enmendada, </w:t>
      </w:r>
      <w:r w:rsidRPr="005F29E1">
        <w:rPr>
          <w:rFonts w:ascii="Book Antiqua" w:hAnsi="Book Antiqua"/>
          <w:strike/>
          <w:szCs w:val="24"/>
        </w:rPr>
        <w:t>conocida como la Ley Notarial de Puerto Rico,</w:t>
      </w:r>
      <w:r w:rsidRPr="00097FC7">
        <w:rPr>
          <w:rFonts w:ascii="Book Antiqua" w:hAnsi="Book Antiqua"/>
          <w:szCs w:val="24"/>
        </w:rPr>
        <w:t xml:space="preserve"> establece en su Artículo 12 la obligación de todo notario o notaria de rendir mensualmente un índice que detalle su actividad notarial. Sin embargo, esta disposición también aplica a aquellos notarios que no ejercen de manera continua la práctica notarial o que, en determinados meses, no han autorizado documento alguno. En tales circunstancias, se impone una carga administrativa al notario sin que ello represente </w:t>
      </w:r>
      <w:r w:rsidR="00F7157A" w:rsidRPr="00097FC7">
        <w:rPr>
          <w:rFonts w:ascii="Book Antiqua" w:hAnsi="Book Antiqua"/>
          <w:szCs w:val="24"/>
        </w:rPr>
        <w:t xml:space="preserve">necesariamente </w:t>
      </w:r>
      <w:r w:rsidRPr="00097FC7">
        <w:rPr>
          <w:rFonts w:ascii="Book Antiqua" w:hAnsi="Book Antiqua"/>
          <w:szCs w:val="24"/>
        </w:rPr>
        <w:t>un val</w:t>
      </w:r>
      <w:r w:rsidR="00F7157A" w:rsidRPr="00097FC7">
        <w:rPr>
          <w:rFonts w:ascii="Book Antiqua" w:hAnsi="Book Antiqua"/>
          <w:szCs w:val="24"/>
        </w:rPr>
        <w:t>or</w:t>
      </w:r>
      <w:r w:rsidRPr="00097FC7">
        <w:rPr>
          <w:rFonts w:ascii="Book Antiqua" w:hAnsi="Book Antiqua"/>
          <w:szCs w:val="24"/>
        </w:rPr>
        <w:t xml:space="preserve"> </w:t>
      </w:r>
      <w:r w:rsidR="00F7157A" w:rsidRPr="00097FC7">
        <w:rPr>
          <w:rFonts w:ascii="Book Antiqua" w:hAnsi="Book Antiqua"/>
          <w:szCs w:val="24"/>
        </w:rPr>
        <w:t>funcional</w:t>
      </w:r>
      <w:r w:rsidRPr="00097FC7">
        <w:rPr>
          <w:rFonts w:ascii="Book Antiqua" w:hAnsi="Book Antiqua"/>
          <w:szCs w:val="24"/>
        </w:rPr>
        <w:t xml:space="preserve"> para la Oficina de Inspección de Notaría</w:t>
      </w:r>
      <w:r w:rsidR="00F7157A" w:rsidRPr="00097FC7">
        <w:rPr>
          <w:rFonts w:ascii="Book Antiqua" w:hAnsi="Book Antiqua"/>
          <w:szCs w:val="24"/>
        </w:rPr>
        <w:t>s</w:t>
      </w:r>
      <w:r w:rsidRPr="00097FC7">
        <w:rPr>
          <w:rFonts w:ascii="Book Antiqua" w:hAnsi="Book Antiqua"/>
          <w:szCs w:val="24"/>
        </w:rPr>
        <w:t xml:space="preserve"> (ODIN).</w:t>
      </w:r>
    </w:p>
    <w:p w14:paraId="23C95055" w14:textId="46563206" w:rsidR="001E6EE5" w:rsidRPr="00097FC7" w:rsidRDefault="001E6EE5" w:rsidP="001E6EE5">
      <w:pPr>
        <w:spacing w:after="160" w:line="360" w:lineRule="auto"/>
        <w:ind w:firstLine="450"/>
        <w:jc w:val="both"/>
        <w:rPr>
          <w:rFonts w:ascii="Book Antiqua" w:hAnsi="Book Antiqua"/>
          <w:szCs w:val="24"/>
        </w:rPr>
      </w:pPr>
      <w:r w:rsidRPr="00097FC7">
        <w:rPr>
          <w:rFonts w:ascii="Book Antiqua" w:hAnsi="Book Antiqua"/>
          <w:szCs w:val="24"/>
        </w:rPr>
        <w:t>De igual modo, el Artículo 13</w:t>
      </w:r>
      <w:r w:rsidR="00925BA4" w:rsidRPr="00097FC7">
        <w:rPr>
          <w:rFonts w:ascii="Book Antiqua" w:hAnsi="Book Antiqua"/>
          <w:szCs w:val="24"/>
        </w:rPr>
        <w:t xml:space="preserve">-A </w:t>
      </w:r>
      <w:r w:rsidRPr="00097FC7">
        <w:rPr>
          <w:rFonts w:ascii="Book Antiqua" w:hAnsi="Book Antiqua"/>
          <w:szCs w:val="24"/>
        </w:rPr>
        <w:t xml:space="preserve">dispone que todo notario deberá presentar al </w:t>
      </w:r>
      <w:proofErr w:type="gramStart"/>
      <w:r w:rsidRPr="00097FC7">
        <w:rPr>
          <w:rFonts w:ascii="Book Antiqua" w:hAnsi="Book Antiqua"/>
          <w:szCs w:val="24"/>
        </w:rPr>
        <w:t>Director</w:t>
      </w:r>
      <w:proofErr w:type="gramEnd"/>
      <w:r w:rsidRPr="00097FC7">
        <w:rPr>
          <w:rFonts w:ascii="Book Antiqua" w:hAnsi="Book Antiqua"/>
          <w:szCs w:val="24"/>
        </w:rPr>
        <w:t xml:space="preserve"> de </w:t>
      </w:r>
      <w:r w:rsidR="000F327B">
        <w:rPr>
          <w:rFonts w:ascii="Book Antiqua" w:hAnsi="Book Antiqua"/>
          <w:i/>
          <w:iCs/>
          <w:szCs w:val="24"/>
          <w:u w:val="single"/>
        </w:rPr>
        <w:t>la</w:t>
      </w:r>
      <w:r w:rsidR="000F327B" w:rsidRPr="000F327B">
        <w:rPr>
          <w:rFonts w:ascii="Book Antiqua" w:hAnsi="Book Antiqua"/>
          <w:szCs w:val="24"/>
        </w:rPr>
        <w:t xml:space="preserve"> </w:t>
      </w:r>
      <w:r w:rsidRPr="00097FC7">
        <w:rPr>
          <w:rFonts w:ascii="Book Antiqua" w:hAnsi="Book Antiqua"/>
          <w:szCs w:val="24"/>
        </w:rPr>
        <w:t xml:space="preserve">ODIN, no más tarde del último día de febrero del año siguiente, un informe estadístico anual de los documentos notariales autorizados durante el año precedente. </w:t>
      </w:r>
      <w:r w:rsidRPr="00097FC7">
        <w:rPr>
          <w:rFonts w:ascii="Book Antiqua" w:hAnsi="Book Antiqua"/>
          <w:szCs w:val="24"/>
        </w:rPr>
        <w:lastRenderedPageBreak/>
        <w:t>Dicho informe constituye una herramienta adecuada para ratificar la información contenida en los sistemas electrónicos de la Oficina, validando tanto la actividad como los períodos en los que no se otorgaron testimonios.</w:t>
      </w:r>
    </w:p>
    <w:p w14:paraId="7D1BA1FE" w14:textId="29646CC6" w:rsidR="001E6EE5" w:rsidRPr="00097FC7" w:rsidRDefault="001E6EE5" w:rsidP="001E6EE5">
      <w:pPr>
        <w:spacing w:after="160" w:line="360" w:lineRule="auto"/>
        <w:ind w:firstLine="450"/>
        <w:jc w:val="both"/>
        <w:rPr>
          <w:rFonts w:ascii="Book Antiqua" w:hAnsi="Book Antiqua"/>
          <w:szCs w:val="24"/>
        </w:rPr>
      </w:pPr>
      <w:r w:rsidRPr="00097FC7">
        <w:rPr>
          <w:rFonts w:ascii="Book Antiqua" w:hAnsi="Book Antiqua"/>
          <w:szCs w:val="24"/>
        </w:rPr>
        <w:t xml:space="preserve">En la práctica actual, la exigencia de presentar índices </w:t>
      </w:r>
      <w:r w:rsidR="00F7157A" w:rsidRPr="00097FC7">
        <w:rPr>
          <w:rFonts w:ascii="Book Antiqua" w:hAnsi="Book Antiqua"/>
          <w:szCs w:val="24"/>
        </w:rPr>
        <w:t>negativos</w:t>
      </w:r>
      <w:r w:rsidRPr="00097FC7">
        <w:rPr>
          <w:rFonts w:ascii="Book Antiqua" w:hAnsi="Book Antiqua"/>
          <w:szCs w:val="24"/>
        </w:rPr>
        <w:t xml:space="preserve"> o sin actividad </w:t>
      </w:r>
      <w:r w:rsidR="00F7157A" w:rsidRPr="00097FC7">
        <w:rPr>
          <w:rFonts w:ascii="Book Antiqua" w:hAnsi="Book Antiqua"/>
          <w:szCs w:val="24"/>
        </w:rPr>
        <w:t xml:space="preserve">notarial </w:t>
      </w:r>
      <w:r w:rsidRPr="00097FC7">
        <w:rPr>
          <w:rFonts w:ascii="Book Antiqua" w:hAnsi="Book Antiqua"/>
          <w:szCs w:val="24"/>
        </w:rPr>
        <w:t xml:space="preserve">genera un trámite redundante que no aporta significativamente a los fines de fiscalización y que resulta oneroso para los profesionales del derecho. Cónsono con los avances tecnológicos que permiten la </w:t>
      </w:r>
      <w:r w:rsidRPr="000F327B">
        <w:rPr>
          <w:rFonts w:ascii="Book Antiqua" w:hAnsi="Book Antiqua"/>
          <w:strike/>
          <w:szCs w:val="24"/>
        </w:rPr>
        <w:t>radicación</w:t>
      </w:r>
      <w:r w:rsidRPr="00097FC7">
        <w:rPr>
          <w:rFonts w:ascii="Book Antiqua" w:hAnsi="Book Antiqua"/>
          <w:szCs w:val="24"/>
        </w:rPr>
        <w:t xml:space="preserve"> </w:t>
      </w:r>
      <w:r w:rsidR="000F327B">
        <w:rPr>
          <w:rFonts w:ascii="Book Antiqua" w:hAnsi="Book Antiqua"/>
          <w:i/>
          <w:iCs/>
          <w:szCs w:val="24"/>
          <w:u w:val="single"/>
        </w:rPr>
        <w:t>presentación</w:t>
      </w:r>
      <w:r w:rsidR="000F327B" w:rsidRPr="000F327B">
        <w:rPr>
          <w:rFonts w:ascii="Book Antiqua" w:hAnsi="Book Antiqua"/>
          <w:szCs w:val="24"/>
        </w:rPr>
        <w:t xml:space="preserve"> </w:t>
      </w:r>
      <w:r w:rsidRPr="00097FC7">
        <w:rPr>
          <w:rFonts w:ascii="Book Antiqua" w:hAnsi="Book Antiqua"/>
          <w:szCs w:val="24"/>
        </w:rPr>
        <w:t>virtual de los índices, la ausencia de presentación puede entenderse como un mes sin actividad notarial, debidamente ratificado en el Informe Anual. Esta medida facilita la gestión notarial, descarga de responsabilidades formales innecesarias a los notarios que no ejercen de manera continua y se ajusta mejor a la realidad práctica de la profesión.</w:t>
      </w:r>
    </w:p>
    <w:p w14:paraId="28229AAA" w14:textId="2E0A0AF3" w:rsidR="001E6EE5" w:rsidRPr="00097FC7" w:rsidRDefault="001E6EE5" w:rsidP="001E6EE5">
      <w:pPr>
        <w:spacing w:after="160" w:line="360" w:lineRule="auto"/>
        <w:ind w:firstLine="450"/>
        <w:jc w:val="both"/>
        <w:rPr>
          <w:rFonts w:ascii="Book Antiqua" w:hAnsi="Book Antiqua"/>
          <w:szCs w:val="24"/>
        </w:rPr>
      </w:pPr>
      <w:r w:rsidRPr="00097FC7">
        <w:rPr>
          <w:rFonts w:ascii="Book Antiqua" w:hAnsi="Book Antiqua"/>
          <w:szCs w:val="24"/>
        </w:rPr>
        <w:t xml:space="preserve">Mediante esta enmienda se dispone que la omisión de presentar un índice mensual equivaldrá a un mes sin actividad notarial, y será el Informe Anual Notarial el instrumento idóneo para ratificar dicha circunstancia. De este modo, se fortalece la eficiencia administrativa de </w:t>
      </w:r>
      <w:r w:rsidR="00407A56">
        <w:rPr>
          <w:rFonts w:ascii="Book Antiqua" w:hAnsi="Book Antiqua"/>
          <w:i/>
          <w:iCs/>
          <w:szCs w:val="24"/>
          <w:u w:val="single"/>
        </w:rPr>
        <w:t>la</w:t>
      </w:r>
      <w:r w:rsidR="00407A56" w:rsidRPr="00407A56">
        <w:rPr>
          <w:rFonts w:ascii="Book Antiqua" w:hAnsi="Book Antiqua"/>
          <w:szCs w:val="24"/>
        </w:rPr>
        <w:t xml:space="preserve"> </w:t>
      </w:r>
      <w:r w:rsidRPr="00097FC7">
        <w:rPr>
          <w:rFonts w:ascii="Book Antiqua" w:hAnsi="Book Antiqua"/>
          <w:szCs w:val="24"/>
        </w:rPr>
        <w:t>ODIN, se mantiene la transparencia en los registros electrónicos y se preserva la fe pública sin menoscabar el deber de rendición de cuentas.</w:t>
      </w:r>
    </w:p>
    <w:p w14:paraId="52943C4E" w14:textId="77777777" w:rsidR="001E6EE5" w:rsidRPr="00097FC7" w:rsidRDefault="001E6EE5" w:rsidP="00334630">
      <w:pPr>
        <w:spacing w:after="120" w:line="360" w:lineRule="auto"/>
        <w:ind w:firstLine="446"/>
        <w:jc w:val="both"/>
        <w:rPr>
          <w:rFonts w:ascii="Book Antiqua" w:hAnsi="Book Antiqua"/>
          <w:szCs w:val="24"/>
        </w:rPr>
      </w:pPr>
      <w:r w:rsidRPr="00097FC7">
        <w:rPr>
          <w:rFonts w:ascii="Book Antiqua" w:hAnsi="Book Antiqua"/>
          <w:szCs w:val="24"/>
        </w:rPr>
        <w:t xml:space="preserve">Por tanto, la Asamblea Legislativa de Puerto Rico, consciente de la necesidad de modernizar los procesos y de no recargar el sistema con trámites innecesarios, adopta esta medida como un balance adecuado entre la agilidad </w:t>
      </w:r>
      <w:r w:rsidR="00F7157A" w:rsidRPr="00097FC7">
        <w:rPr>
          <w:rFonts w:ascii="Book Antiqua" w:hAnsi="Book Antiqua"/>
          <w:szCs w:val="24"/>
        </w:rPr>
        <w:t>administrativa</w:t>
      </w:r>
      <w:r w:rsidRPr="00097FC7">
        <w:rPr>
          <w:rFonts w:ascii="Book Antiqua" w:hAnsi="Book Antiqua"/>
          <w:szCs w:val="24"/>
        </w:rPr>
        <w:t xml:space="preserve"> y la responsabilidad que conlleva el ejercicio de la función notarial.</w:t>
      </w:r>
    </w:p>
    <w:p w14:paraId="1BDA604B" w14:textId="77777777" w:rsidR="00FF3AE3" w:rsidRPr="00097FC7" w:rsidRDefault="00FF3AE3" w:rsidP="00334630">
      <w:pPr>
        <w:spacing w:line="480" w:lineRule="auto"/>
        <w:rPr>
          <w:rFonts w:ascii="Book Antiqua" w:hAnsi="Book Antiqua"/>
          <w:szCs w:val="24"/>
          <w:lang w:val="es-ES_tradnl"/>
        </w:rPr>
      </w:pPr>
      <w:r w:rsidRPr="00097FC7">
        <w:rPr>
          <w:rFonts w:ascii="Book Antiqua" w:hAnsi="Book Antiqua"/>
          <w:b/>
          <w:szCs w:val="24"/>
          <w:lang w:val="es-ES_tradnl"/>
        </w:rPr>
        <w:t>DECRÉTASE POR LA ASAMBLEA LEGISLATIVA DE PUERTO RICO:</w:t>
      </w:r>
    </w:p>
    <w:p w14:paraId="23ACDC90" w14:textId="77777777" w:rsidR="00FF3AE3" w:rsidRPr="00097FC7" w:rsidRDefault="00FF3AE3" w:rsidP="00FF3AE3">
      <w:pPr>
        <w:spacing w:line="480" w:lineRule="auto"/>
        <w:jc w:val="both"/>
        <w:rPr>
          <w:rFonts w:ascii="Book Antiqua" w:hAnsi="Book Antiqua"/>
          <w:szCs w:val="24"/>
          <w:lang w:val="es-ES_tradnl"/>
        </w:rPr>
        <w:sectPr w:rsidR="00FF3AE3" w:rsidRPr="00097FC7" w:rsidSect="00FF3AE3">
          <w:headerReference w:type="default" r:id="rId12"/>
          <w:headerReference w:type="first" r:id="rId13"/>
          <w:pgSz w:w="12240" w:h="15840" w:code="1"/>
          <w:pgMar w:top="1440" w:right="1440" w:bottom="1440" w:left="1440" w:header="720" w:footer="720" w:gutter="0"/>
          <w:cols w:space="720"/>
          <w:titlePg/>
        </w:sectPr>
      </w:pPr>
    </w:p>
    <w:p w14:paraId="39964672" w14:textId="77777777" w:rsidR="00FF3AE3" w:rsidRPr="00097FC7" w:rsidRDefault="00FF3AE3" w:rsidP="00097FC7">
      <w:pPr>
        <w:spacing w:line="456" w:lineRule="auto"/>
        <w:ind w:firstLine="720"/>
        <w:jc w:val="both"/>
        <w:rPr>
          <w:rFonts w:ascii="Book Antiqua" w:hAnsi="Book Antiqua"/>
          <w:szCs w:val="24"/>
          <w:lang w:val="es-ES_tradnl"/>
        </w:rPr>
      </w:pPr>
      <w:r w:rsidRPr="00097FC7">
        <w:rPr>
          <w:rFonts w:ascii="Book Antiqua" w:hAnsi="Book Antiqua"/>
          <w:szCs w:val="24"/>
          <w:lang w:val="es-ES_tradnl"/>
        </w:rPr>
        <w:t>Sección 1.- Se enmienda el Artículo 1</w:t>
      </w:r>
      <w:r w:rsidR="00B722FB" w:rsidRPr="00097FC7">
        <w:rPr>
          <w:rFonts w:ascii="Book Antiqua" w:hAnsi="Book Antiqua"/>
          <w:szCs w:val="24"/>
          <w:lang w:val="es-ES_tradnl"/>
        </w:rPr>
        <w:t>2</w:t>
      </w:r>
      <w:r w:rsidRPr="00097FC7">
        <w:rPr>
          <w:rFonts w:ascii="Book Antiqua" w:hAnsi="Book Antiqua"/>
          <w:szCs w:val="24"/>
          <w:lang w:val="es-ES_tradnl"/>
        </w:rPr>
        <w:t xml:space="preserve"> de la Ley Núm. </w:t>
      </w:r>
      <w:r w:rsidR="00F7157A" w:rsidRPr="00097FC7">
        <w:rPr>
          <w:rFonts w:ascii="Book Antiqua" w:hAnsi="Book Antiqua"/>
          <w:szCs w:val="24"/>
          <w:lang w:val="es-ES_tradnl"/>
        </w:rPr>
        <w:t xml:space="preserve">75 </w:t>
      </w:r>
      <w:r w:rsidRPr="00097FC7">
        <w:rPr>
          <w:rFonts w:ascii="Book Antiqua" w:hAnsi="Book Antiqua"/>
          <w:szCs w:val="24"/>
          <w:lang w:val="es-ES_tradnl"/>
        </w:rPr>
        <w:t xml:space="preserve">de </w:t>
      </w:r>
      <w:r w:rsidR="00B722FB" w:rsidRPr="00097FC7">
        <w:rPr>
          <w:rFonts w:ascii="Book Antiqua" w:hAnsi="Book Antiqua"/>
          <w:szCs w:val="24"/>
          <w:lang w:val="es-ES_tradnl"/>
        </w:rPr>
        <w:t>2</w:t>
      </w:r>
      <w:r w:rsidRPr="00097FC7">
        <w:rPr>
          <w:rFonts w:ascii="Book Antiqua" w:hAnsi="Book Antiqua"/>
          <w:szCs w:val="24"/>
          <w:lang w:val="es-ES_tradnl"/>
        </w:rPr>
        <w:t xml:space="preserve"> de </w:t>
      </w:r>
      <w:r w:rsidR="00B722FB" w:rsidRPr="00097FC7">
        <w:rPr>
          <w:rFonts w:ascii="Book Antiqua" w:hAnsi="Book Antiqua"/>
          <w:szCs w:val="24"/>
          <w:lang w:val="es-ES_tradnl"/>
        </w:rPr>
        <w:t>julio</w:t>
      </w:r>
      <w:r w:rsidRPr="00097FC7">
        <w:rPr>
          <w:rFonts w:ascii="Book Antiqua" w:hAnsi="Book Antiqua"/>
          <w:szCs w:val="24"/>
          <w:lang w:val="es-ES_tradnl"/>
        </w:rPr>
        <w:t xml:space="preserve"> de 19</w:t>
      </w:r>
      <w:r w:rsidR="00B722FB" w:rsidRPr="00097FC7">
        <w:rPr>
          <w:rFonts w:ascii="Book Antiqua" w:hAnsi="Book Antiqua"/>
          <w:szCs w:val="24"/>
          <w:lang w:val="es-ES_tradnl"/>
        </w:rPr>
        <w:t>87</w:t>
      </w:r>
      <w:r w:rsidRPr="00097FC7">
        <w:rPr>
          <w:rFonts w:ascii="Book Antiqua" w:hAnsi="Book Antiqua"/>
          <w:szCs w:val="24"/>
          <w:lang w:val="es-ES_tradnl"/>
        </w:rPr>
        <w:t>, según enmendada, para que lea como sigue:</w:t>
      </w:r>
    </w:p>
    <w:p w14:paraId="55195DDA" w14:textId="77777777" w:rsidR="00B722FB" w:rsidRPr="00097FC7" w:rsidRDefault="00145ADA" w:rsidP="00097FC7">
      <w:pPr>
        <w:spacing w:line="456" w:lineRule="auto"/>
        <w:ind w:firstLine="720"/>
        <w:rPr>
          <w:rFonts w:ascii="Book Antiqua" w:hAnsi="Book Antiqua"/>
          <w:szCs w:val="24"/>
        </w:rPr>
      </w:pPr>
      <w:r w:rsidRPr="00097FC7">
        <w:rPr>
          <w:rFonts w:ascii="Book Antiqua" w:hAnsi="Book Antiqua"/>
          <w:szCs w:val="24"/>
          <w:lang w:val="es-ES_tradnl"/>
        </w:rPr>
        <w:t>“</w:t>
      </w:r>
      <w:r w:rsidR="00B722FB" w:rsidRPr="00097FC7">
        <w:rPr>
          <w:rFonts w:ascii="Book Antiqua" w:hAnsi="Book Antiqua"/>
          <w:szCs w:val="24"/>
          <w:lang w:val="es-ES_tradnl"/>
        </w:rPr>
        <w:t xml:space="preserve">Artículo </w:t>
      </w:r>
      <w:r w:rsidR="00DC5901" w:rsidRPr="00097FC7">
        <w:rPr>
          <w:rFonts w:ascii="Book Antiqua" w:hAnsi="Book Antiqua"/>
          <w:szCs w:val="24"/>
          <w:lang w:val="es-ES_tradnl"/>
        </w:rPr>
        <w:t xml:space="preserve">12 </w:t>
      </w:r>
      <w:r w:rsidR="00DC5901" w:rsidRPr="00097FC7">
        <w:rPr>
          <w:rFonts w:ascii="Book Antiqua" w:hAnsi="Book Antiqua"/>
          <w:szCs w:val="24"/>
        </w:rPr>
        <w:t>—</w:t>
      </w:r>
      <w:r w:rsidR="00B722FB" w:rsidRPr="00097FC7">
        <w:rPr>
          <w:rFonts w:ascii="Book Antiqua" w:hAnsi="Book Antiqua"/>
          <w:szCs w:val="24"/>
        </w:rPr>
        <w:t xml:space="preserve"> Deberes del Notario—Índices Mensuales </w:t>
      </w:r>
    </w:p>
    <w:p w14:paraId="49325740" w14:textId="77777777" w:rsidR="00DC5901" w:rsidRPr="00097FC7" w:rsidRDefault="00B722FB" w:rsidP="00097FC7">
      <w:pPr>
        <w:spacing w:line="456" w:lineRule="auto"/>
        <w:ind w:firstLine="720"/>
        <w:jc w:val="both"/>
        <w:rPr>
          <w:rFonts w:ascii="Book Antiqua" w:hAnsi="Book Antiqua"/>
          <w:szCs w:val="24"/>
        </w:rPr>
      </w:pPr>
      <w:r w:rsidRPr="00097FC7">
        <w:rPr>
          <w:rFonts w:ascii="Book Antiqua" w:hAnsi="Book Antiqua"/>
          <w:szCs w:val="24"/>
        </w:rPr>
        <w:t xml:space="preserve">Los Notarios remitirán a la Oficina de Inspección de Notarías de Puerto Rico un índice sobre sus actividades notariales, no más tarde del décimo día calendario del </w:t>
      </w:r>
      <w:r w:rsidRPr="00097FC7">
        <w:rPr>
          <w:rFonts w:ascii="Book Antiqua" w:hAnsi="Book Antiqua"/>
          <w:szCs w:val="24"/>
        </w:rPr>
        <w:lastRenderedPageBreak/>
        <w:t xml:space="preserve">mes siguiente al mes informado, en el que harán constar respecto a las escrituras matrices y los testimonios por ellos autorizados en el mes precedente, los números de orden de éstos, los nombres de los comparecientes, la fecha, el objeto del instrumento o del testimonio, la cuantía de cada instrumento y el nombre de los testigos, de haber comparecido alguno. </w:t>
      </w:r>
    </w:p>
    <w:p w14:paraId="2B4A1109" w14:textId="77777777" w:rsidR="00DC5901" w:rsidRPr="00097FC7" w:rsidRDefault="00B722FB" w:rsidP="00097FC7">
      <w:pPr>
        <w:spacing w:line="456" w:lineRule="auto"/>
        <w:ind w:firstLine="540"/>
        <w:jc w:val="both"/>
        <w:rPr>
          <w:rFonts w:ascii="Book Antiqua" w:hAnsi="Book Antiqua"/>
          <w:szCs w:val="24"/>
        </w:rPr>
      </w:pPr>
      <w:r w:rsidRPr="00097FC7">
        <w:rPr>
          <w:rFonts w:ascii="Book Antiqua" w:hAnsi="Book Antiqua"/>
          <w:szCs w:val="24"/>
        </w:rPr>
        <w:t xml:space="preserve">En dicho informe el notario deberá certificar haber remitido al Departamento de Hacienda y al Centro de Recaudación de Ingresos Municipales las planillas que se requiere remitir a tenor con el Artículo 11 de esta Ley. </w:t>
      </w:r>
    </w:p>
    <w:p w14:paraId="537C577E" w14:textId="77777777" w:rsidR="001C0291" w:rsidRPr="00097FC7" w:rsidRDefault="001C0291" w:rsidP="00097FC7">
      <w:pPr>
        <w:spacing w:line="456" w:lineRule="auto"/>
        <w:ind w:firstLine="540"/>
        <w:jc w:val="both"/>
        <w:rPr>
          <w:rFonts w:ascii="Book Antiqua" w:hAnsi="Book Antiqua"/>
          <w:szCs w:val="24"/>
        </w:rPr>
      </w:pPr>
      <w:r w:rsidRPr="00097FC7">
        <w:rPr>
          <w:rFonts w:ascii="Book Antiqua" w:hAnsi="Book Antiqua"/>
        </w:rPr>
        <w:t xml:space="preserve">De no haber tenido actividad notarial durante algún mes, </w:t>
      </w:r>
      <w:r w:rsidR="00524ABD" w:rsidRPr="00097FC7">
        <w:rPr>
          <w:rFonts w:ascii="Book Antiqua" w:hAnsi="Book Antiqua"/>
        </w:rPr>
        <w:t>no será requisito que el Notario presente en la Oficina de Inspección de Notarías un informe negativo para ese mes.</w:t>
      </w:r>
      <w:r w:rsidRPr="00097FC7">
        <w:rPr>
          <w:rFonts w:ascii="Book Antiqua" w:hAnsi="Book Antiqua"/>
          <w:b/>
          <w:bCs/>
        </w:rPr>
        <w:t xml:space="preserve"> </w:t>
      </w:r>
      <w:r w:rsidRPr="00097FC7">
        <w:rPr>
          <w:rFonts w:ascii="Book Antiqua" w:hAnsi="Book Antiqua"/>
        </w:rPr>
        <w:t>Lo anterior no tendrá aplicación si el Notario ha presentado su renuncia al Tribunal Supremo de Puerto Rico, por conducto de la Oficina de Inspección de Notarías, y su obra notarial ha sido inspeccionada, aprobada y depositada en el archivo notarial correspondiente y el notario ha hecho entrega de su sello notarial.</w:t>
      </w:r>
    </w:p>
    <w:p w14:paraId="643552B7" w14:textId="77777777" w:rsidR="00B722FB" w:rsidRPr="00097FC7" w:rsidRDefault="00B722FB" w:rsidP="00097FC7">
      <w:pPr>
        <w:spacing w:line="456" w:lineRule="auto"/>
        <w:ind w:firstLine="540"/>
        <w:jc w:val="both"/>
        <w:rPr>
          <w:rFonts w:ascii="Book Antiqua" w:hAnsi="Book Antiqua"/>
          <w:szCs w:val="24"/>
        </w:rPr>
      </w:pPr>
      <w:r w:rsidRPr="00097FC7">
        <w:rPr>
          <w:rFonts w:ascii="Book Antiqua" w:hAnsi="Book Antiqua"/>
          <w:szCs w:val="24"/>
        </w:rPr>
        <w:t>El índice sobre actividad notarial debe contener el número de Notario, la dirección postal y física y el teléfono de la oficina notarial y su dirección de correo electrónico. Cuando el Notario sea empleado público, también contendrá el nombre y dirección de la entidad pública donde labore. La presentación de los referidos informes a la Oficina de Inspección de Notarías se llevará a cabo de la manera dispuesta por el Tribunal Supremo mediante reglamento.</w:t>
      </w:r>
      <w:r w:rsidR="00145ADA" w:rsidRPr="00097FC7">
        <w:rPr>
          <w:rFonts w:ascii="Book Antiqua" w:hAnsi="Book Antiqua"/>
          <w:szCs w:val="24"/>
        </w:rPr>
        <w:t>”</w:t>
      </w:r>
    </w:p>
    <w:p w14:paraId="6CB31D6E" w14:textId="77777777" w:rsidR="00925BA4" w:rsidRPr="00097FC7" w:rsidRDefault="00106AA4" w:rsidP="00097FC7">
      <w:pPr>
        <w:spacing w:line="456" w:lineRule="auto"/>
        <w:ind w:firstLine="540"/>
        <w:jc w:val="both"/>
        <w:rPr>
          <w:rFonts w:ascii="Book Antiqua" w:hAnsi="Book Antiqua"/>
          <w:szCs w:val="24"/>
        </w:rPr>
      </w:pPr>
      <w:r w:rsidRPr="00097FC7">
        <w:rPr>
          <w:rFonts w:ascii="Book Antiqua" w:hAnsi="Book Antiqua"/>
          <w:szCs w:val="24"/>
          <w:lang w:val="es-ES_tradnl"/>
        </w:rPr>
        <w:t xml:space="preserve">Sección 2. - </w:t>
      </w:r>
      <w:r w:rsidR="00925BA4" w:rsidRPr="00097FC7">
        <w:rPr>
          <w:rFonts w:ascii="Book Antiqua" w:hAnsi="Book Antiqua"/>
          <w:szCs w:val="24"/>
          <w:lang w:val="es-ES_tradnl"/>
        </w:rPr>
        <w:t>Se enmienda el Artículo 13-A de la Ley Núm. 75 de 2 de julio de 1987, según enmendada, para que lea como sigue:</w:t>
      </w:r>
    </w:p>
    <w:p w14:paraId="2E7CF4D5" w14:textId="77777777" w:rsidR="009E192C" w:rsidRPr="00097FC7" w:rsidRDefault="009E192C" w:rsidP="00097FC7">
      <w:pPr>
        <w:spacing w:line="456" w:lineRule="auto"/>
        <w:ind w:firstLine="540"/>
        <w:jc w:val="both"/>
        <w:rPr>
          <w:rFonts w:ascii="Book Antiqua" w:hAnsi="Book Antiqua"/>
          <w:szCs w:val="24"/>
        </w:rPr>
      </w:pPr>
      <w:r w:rsidRPr="00097FC7">
        <w:rPr>
          <w:rFonts w:ascii="Book Antiqua" w:hAnsi="Book Antiqua"/>
          <w:szCs w:val="24"/>
        </w:rPr>
        <w:t xml:space="preserve">“Artículo 13-A. — Informe Estadístico Anual de Actividad Notarial </w:t>
      </w:r>
    </w:p>
    <w:p w14:paraId="0AC94A34" w14:textId="77777777" w:rsidR="0060540B" w:rsidRPr="00097FC7" w:rsidRDefault="009E192C" w:rsidP="00097FC7">
      <w:pPr>
        <w:spacing w:line="456" w:lineRule="auto"/>
        <w:ind w:firstLine="540"/>
        <w:jc w:val="both"/>
        <w:rPr>
          <w:rFonts w:ascii="Book Antiqua" w:hAnsi="Book Antiqua"/>
          <w:szCs w:val="24"/>
        </w:rPr>
      </w:pPr>
      <w:r w:rsidRPr="00097FC7">
        <w:rPr>
          <w:rFonts w:ascii="Book Antiqua" w:hAnsi="Book Antiqua"/>
          <w:szCs w:val="24"/>
        </w:rPr>
        <w:lastRenderedPageBreak/>
        <w:t xml:space="preserve">Todo notario remitirá al </w:t>
      </w:r>
      <w:proofErr w:type="gramStart"/>
      <w:r w:rsidRPr="00097FC7">
        <w:rPr>
          <w:rFonts w:ascii="Book Antiqua" w:hAnsi="Book Antiqua"/>
          <w:szCs w:val="24"/>
        </w:rPr>
        <w:t>Director</w:t>
      </w:r>
      <w:proofErr w:type="gramEnd"/>
      <w:r w:rsidRPr="00097FC7">
        <w:rPr>
          <w:rFonts w:ascii="Book Antiqua" w:hAnsi="Book Antiqua"/>
          <w:szCs w:val="24"/>
        </w:rPr>
        <w:t xml:space="preserve"> de la Oficina de Inspección de Notarías, no más tarde del último día de febrero del año siguiente, el informe estadístico anual que le sea requerido de los documentos notariales autorizados durante el año precedente. </w:t>
      </w:r>
    </w:p>
    <w:p w14:paraId="6730508E" w14:textId="4CE358AB" w:rsidR="0060540B" w:rsidRPr="00097FC7" w:rsidRDefault="009E192C" w:rsidP="00097FC7">
      <w:pPr>
        <w:spacing w:line="456" w:lineRule="auto"/>
        <w:ind w:firstLine="540"/>
        <w:jc w:val="both"/>
        <w:rPr>
          <w:rFonts w:ascii="Book Antiqua" w:hAnsi="Book Antiqua"/>
          <w:szCs w:val="24"/>
        </w:rPr>
      </w:pPr>
      <w:r w:rsidRPr="00097FC7">
        <w:rPr>
          <w:rFonts w:ascii="Book Antiqua" w:hAnsi="Book Antiqua"/>
          <w:szCs w:val="24"/>
        </w:rPr>
        <w:t>En caso de que esa fecha fuera sábado, domingo o día feriado o que</w:t>
      </w:r>
      <w:r w:rsidR="00975F91">
        <w:rPr>
          <w:rFonts w:ascii="Book Antiqua" w:hAnsi="Book Antiqua"/>
          <w:i/>
          <w:iCs/>
          <w:szCs w:val="24"/>
          <w:u w:val="single"/>
        </w:rPr>
        <w:t>,</w:t>
      </w:r>
      <w:r w:rsidRPr="00097FC7">
        <w:rPr>
          <w:rFonts w:ascii="Book Antiqua" w:hAnsi="Book Antiqua"/>
          <w:szCs w:val="24"/>
        </w:rPr>
        <w:t xml:space="preserve"> por disposición de autoridad competente, estuviera cerrada la Oficina de Inspección de Notarías, el plazo será considerado extendido hasta el próximo día laborable. </w:t>
      </w:r>
    </w:p>
    <w:p w14:paraId="438F431C" w14:textId="77777777" w:rsidR="00A217CE" w:rsidRPr="009A5FEC" w:rsidRDefault="009E192C" w:rsidP="00097FC7">
      <w:pPr>
        <w:spacing w:line="456" w:lineRule="auto"/>
        <w:ind w:firstLine="540"/>
        <w:jc w:val="both"/>
        <w:rPr>
          <w:rFonts w:ascii="Book Antiqua" w:hAnsi="Book Antiqua"/>
          <w:strike/>
          <w:szCs w:val="24"/>
        </w:rPr>
      </w:pPr>
      <w:r w:rsidRPr="009A5FEC">
        <w:rPr>
          <w:rFonts w:ascii="Book Antiqua" w:hAnsi="Book Antiqua"/>
          <w:strike/>
          <w:szCs w:val="24"/>
        </w:rPr>
        <w:t xml:space="preserve">El informe será rendido en el formulario que proveerá el </w:t>
      </w:r>
      <w:proofErr w:type="gramStart"/>
      <w:r w:rsidRPr="009A5FEC">
        <w:rPr>
          <w:rFonts w:ascii="Book Antiqua" w:hAnsi="Book Antiqua"/>
          <w:strike/>
          <w:szCs w:val="24"/>
        </w:rPr>
        <w:t>Director</w:t>
      </w:r>
      <w:proofErr w:type="gramEnd"/>
      <w:r w:rsidRPr="009A5FEC">
        <w:rPr>
          <w:rFonts w:ascii="Book Antiqua" w:hAnsi="Book Antiqua"/>
          <w:strike/>
          <w:szCs w:val="24"/>
        </w:rPr>
        <w:t xml:space="preserve"> de la Oficina de Inspección de Notarías. </w:t>
      </w:r>
    </w:p>
    <w:p w14:paraId="6A0E55BF" w14:textId="12C37D16" w:rsidR="0060540B" w:rsidRPr="00097FC7" w:rsidRDefault="009E192C" w:rsidP="00097FC7">
      <w:pPr>
        <w:spacing w:line="456" w:lineRule="auto"/>
        <w:ind w:firstLine="540"/>
        <w:jc w:val="both"/>
        <w:rPr>
          <w:rFonts w:ascii="Book Antiqua" w:hAnsi="Book Antiqua"/>
          <w:szCs w:val="24"/>
        </w:rPr>
      </w:pPr>
      <w:r w:rsidRPr="00097FC7">
        <w:rPr>
          <w:rFonts w:ascii="Book Antiqua" w:hAnsi="Book Antiqua"/>
          <w:szCs w:val="24"/>
        </w:rPr>
        <w:t xml:space="preserve">En el caso de presentación tardía del Informe Estadístico Anual de Actividad Notarial, el </w:t>
      </w:r>
      <w:proofErr w:type="gramStart"/>
      <w:r w:rsidRPr="00097FC7">
        <w:rPr>
          <w:rFonts w:ascii="Book Antiqua" w:hAnsi="Book Antiqua"/>
          <w:szCs w:val="24"/>
        </w:rPr>
        <w:t>Director</w:t>
      </w:r>
      <w:proofErr w:type="gramEnd"/>
      <w:r w:rsidRPr="00097FC7">
        <w:rPr>
          <w:rFonts w:ascii="Book Antiqua" w:hAnsi="Book Antiqua"/>
          <w:szCs w:val="24"/>
        </w:rPr>
        <w:t xml:space="preserve"> de la Oficina de Inspección de Notarías podrá requerir del Notario que explique la tardanza y que </w:t>
      </w:r>
      <w:r w:rsidRPr="00075948">
        <w:rPr>
          <w:rFonts w:ascii="Book Antiqua" w:hAnsi="Book Antiqua"/>
          <w:strike/>
          <w:szCs w:val="24"/>
        </w:rPr>
        <w:t>someta</w:t>
      </w:r>
      <w:r w:rsidRPr="00097FC7">
        <w:rPr>
          <w:rFonts w:ascii="Book Antiqua" w:hAnsi="Book Antiqua"/>
          <w:szCs w:val="24"/>
        </w:rPr>
        <w:t xml:space="preserve"> </w:t>
      </w:r>
      <w:r w:rsidR="00075948">
        <w:rPr>
          <w:rFonts w:ascii="Book Antiqua" w:hAnsi="Book Antiqua"/>
          <w:i/>
          <w:iCs/>
          <w:szCs w:val="24"/>
          <w:u w:val="single"/>
        </w:rPr>
        <w:t>entregue</w:t>
      </w:r>
      <w:r w:rsidR="00075948" w:rsidRPr="00075948">
        <w:rPr>
          <w:rFonts w:ascii="Book Antiqua" w:hAnsi="Book Antiqua"/>
          <w:i/>
          <w:iCs/>
          <w:szCs w:val="24"/>
        </w:rPr>
        <w:t xml:space="preserve"> </w:t>
      </w:r>
      <w:r w:rsidRPr="00097FC7">
        <w:rPr>
          <w:rFonts w:ascii="Book Antiqua" w:hAnsi="Book Antiqua"/>
          <w:szCs w:val="24"/>
        </w:rPr>
        <w:t xml:space="preserve">cualquier otra información que él estime conveniente. </w:t>
      </w:r>
    </w:p>
    <w:p w14:paraId="42FC72A7" w14:textId="77777777" w:rsidR="00E04C6E" w:rsidRPr="00097FC7" w:rsidRDefault="009E192C" w:rsidP="00097FC7">
      <w:pPr>
        <w:spacing w:line="456" w:lineRule="auto"/>
        <w:ind w:firstLine="540"/>
        <w:jc w:val="both"/>
        <w:rPr>
          <w:rFonts w:ascii="Book Antiqua" w:hAnsi="Book Antiqua"/>
          <w:szCs w:val="24"/>
        </w:rPr>
      </w:pPr>
      <w:r w:rsidRPr="00097FC7">
        <w:rPr>
          <w:rFonts w:ascii="Book Antiqua" w:hAnsi="Book Antiqua"/>
          <w:szCs w:val="24"/>
        </w:rPr>
        <w:t xml:space="preserve">El </w:t>
      </w:r>
      <w:proofErr w:type="gramStart"/>
      <w:r w:rsidRPr="00097FC7">
        <w:rPr>
          <w:rFonts w:ascii="Book Antiqua" w:hAnsi="Book Antiqua"/>
          <w:szCs w:val="24"/>
        </w:rPr>
        <w:t>Director</w:t>
      </w:r>
      <w:proofErr w:type="gramEnd"/>
      <w:r w:rsidRPr="00097FC7">
        <w:rPr>
          <w:rFonts w:ascii="Book Antiqua" w:hAnsi="Book Antiqua"/>
          <w:szCs w:val="24"/>
        </w:rPr>
        <w:t xml:space="preserve"> de la Oficina de Inspección de Notarías podrá aceptar la explicación ofrecida y apercibir al Notario respecto al estricto cumplimiento de sus obligaciones como tal en el futuro. En los casos que estime apropiado, podrá presentar un informe al Tribunal Supremo de Puerto Rico sobre este particular. </w:t>
      </w:r>
    </w:p>
    <w:p w14:paraId="69C74A94" w14:textId="77777777" w:rsidR="00E04C6E" w:rsidRPr="00097FC7" w:rsidRDefault="009E192C" w:rsidP="00097FC7">
      <w:pPr>
        <w:spacing w:line="456" w:lineRule="auto"/>
        <w:ind w:firstLine="540"/>
        <w:jc w:val="both"/>
        <w:rPr>
          <w:rFonts w:ascii="Book Antiqua" w:hAnsi="Book Antiqua"/>
          <w:szCs w:val="24"/>
        </w:rPr>
      </w:pPr>
      <w:r w:rsidRPr="00097FC7">
        <w:rPr>
          <w:rFonts w:ascii="Book Antiqua" w:hAnsi="Book Antiqua"/>
          <w:szCs w:val="24"/>
        </w:rPr>
        <w:t>El informe será rendido en el formulario que proveerá la Oficina de Inspección de Notarías. Cuando el Notario sea empleado de una instrumentalidad pública y ésta le permita la práctica privada de la notaría fuera de horas laborables, separará en el informe aquí requerido el trabajo notarial hecho como Notario del organismo público del hecho en la práctica privada.</w:t>
      </w:r>
    </w:p>
    <w:p w14:paraId="1D850EC6" w14:textId="77777777" w:rsidR="00E04C6E" w:rsidRPr="00097FC7" w:rsidRDefault="009E192C" w:rsidP="00097FC7">
      <w:pPr>
        <w:spacing w:line="432" w:lineRule="auto"/>
        <w:ind w:firstLine="540"/>
        <w:jc w:val="both"/>
        <w:rPr>
          <w:rFonts w:ascii="Book Antiqua" w:hAnsi="Book Antiqua"/>
          <w:szCs w:val="24"/>
        </w:rPr>
      </w:pPr>
      <w:r w:rsidRPr="00097FC7">
        <w:rPr>
          <w:rFonts w:ascii="Book Antiqua" w:hAnsi="Book Antiqua"/>
          <w:szCs w:val="24"/>
        </w:rPr>
        <w:t xml:space="preserve"> El Tribunal Supremo de Puerto Rico podrá eliminar la obligación de los Notarios de rendir el Informe Estadístico Anual sobre la Actividad Notarial establecido en este </w:t>
      </w:r>
      <w:r w:rsidRPr="00097FC7">
        <w:rPr>
          <w:rFonts w:ascii="Book Antiqua" w:hAnsi="Book Antiqua"/>
          <w:szCs w:val="24"/>
        </w:rPr>
        <w:lastRenderedPageBreak/>
        <w:t>Artículo, una vez se hayan adoptado sistemas electrónicos que generen esta información a base de los índices mensuales enviados por los Notarios.</w:t>
      </w:r>
      <w:r w:rsidR="00AC1458" w:rsidRPr="00097FC7">
        <w:rPr>
          <w:rFonts w:ascii="Book Antiqua" w:hAnsi="Book Antiqua"/>
          <w:szCs w:val="24"/>
        </w:rPr>
        <w:t xml:space="preserve"> </w:t>
      </w:r>
    </w:p>
    <w:p w14:paraId="149470D6" w14:textId="77777777" w:rsidR="002109C6" w:rsidRPr="00097FC7" w:rsidRDefault="00AC1458" w:rsidP="00097FC7">
      <w:pPr>
        <w:spacing w:line="432" w:lineRule="auto"/>
        <w:ind w:firstLine="540"/>
        <w:jc w:val="both"/>
        <w:rPr>
          <w:rFonts w:ascii="Book Antiqua" w:hAnsi="Book Antiqua"/>
          <w:szCs w:val="24"/>
        </w:rPr>
      </w:pPr>
      <w:r w:rsidRPr="00097FC7">
        <w:rPr>
          <w:rFonts w:ascii="Book Antiqua" w:hAnsi="Book Antiqua"/>
          <w:szCs w:val="24"/>
        </w:rPr>
        <w:t xml:space="preserve">En los casos de los notarios que no presentaron índices mensuales en el año </w:t>
      </w:r>
      <w:r w:rsidR="00925BA4" w:rsidRPr="00097FC7">
        <w:rPr>
          <w:rFonts w:ascii="Book Antiqua" w:hAnsi="Book Antiqua"/>
          <w:szCs w:val="24"/>
        </w:rPr>
        <w:t>precedente</w:t>
      </w:r>
      <w:r w:rsidRPr="00097FC7">
        <w:rPr>
          <w:rFonts w:ascii="Book Antiqua" w:hAnsi="Book Antiqua"/>
          <w:szCs w:val="24"/>
        </w:rPr>
        <w:t xml:space="preserve">, estos se verán obligados a presentar el Informe Estadístico Anual sobre la Actividad Notarial con el fin de ratificar que la ausencia de índices mensuales corresponde a que no </w:t>
      </w:r>
      <w:r w:rsidR="00925BA4" w:rsidRPr="00097FC7">
        <w:rPr>
          <w:rFonts w:ascii="Book Antiqua" w:hAnsi="Book Antiqua"/>
          <w:szCs w:val="24"/>
        </w:rPr>
        <w:t>hubo actividad notarial</w:t>
      </w:r>
      <w:r w:rsidRPr="00097FC7">
        <w:rPr>
          <w:rFonts w:ascii="Book Antiqua" w:hAnsi="Book Antiqua"/>
          <w:szCs w:val="24"/>
        </w:rPr>
        <w:t>.</w:t>
      </w:r>
      <w:r w:rsidR="00145ADA" w:rsidRPr="00097FC7">
        <w:rPr>
          <w:rFonts w:ascii="Book Antiqua" w:hAnsi="Book Antiqua"/>
          <w:szCs w:val="24"/>
        </w:rPr>
        <w:t>”</w:t>
      </w:r>
    </w:p>
    <w:p w14:paraId="1DB99058" w14:textId="77777777" w:rsidR="004D3253" w:rsidRPr="00097FC7" w:rsidRDefault="004D3253" w:rsidP="00097FC7">
      <w:pPr>
        <w:spacing w:line="432" w:lineRule="auto"/>
        <w:ind w:firstLine="720"/>
        <w:jc w:val="both"/>
        <w:rPr>
          <w:rFonts w:ascii="Book Antiqua" w:hAnsi="Book Antiqua"/>
          <w:szCs w:val="24"/>
          <w:lang w:val="es-ES_tradnl"/>
        </w:rPr>
      </w:pPr>
      <w:r w:rsidRPr="00097FC7">
        <w:rPr>
          <w:rFonts w:ascii="Book Antiqua" w:hAnsi="Book Antiqua"/>
          <w:szCs w:val="24"/>
          <w:lang w:val="es-ES_tradnl"/>
        </w:rPr>
        <w:t xml:space="preserve">Sección 3. – </w:t>
      </w:r>
      <w:r w:rsidR="005B630E" w:rsidRPr="00097FC7">
        <w:rPr>
          <w:rFonts w:ascii="Book Antiqua" w:hAnsi="Book Antiqua"/>
          <w:szCs w:val="24"/>
          <w:lang w:val="es-ES_tradnl"/>
        </w:rPr>
        <w:t xml:space="preserve">El Tribunal Supremo de Puerto Rico, </w:t>
      </w:r>
      <w:r w:rsidR="00F37587" w:rsidRPr="00097FC7">
        <w:rPr>
          <w:rFonts w:ascii="Book Antiqua" w:hAnsi="Book Antiqua"/>
          <w:szCs w:val="24"/>
          <w:lang w:val="es-ES_tradnl"/>
        </w:rPr>
        <w:t>a través de la Oficina de Inspección de Notar</w:t>
      </w:r>
      <w:r w:rsidR="00DD4EEA" w:rsidRPr="00097FC7">
        <w:rPr>
          <w:rFonts w:ascii="Book Antiqua" w:hAnsi="Book Antiqua"/>
          <w:szCs w:val="24"/>
          <w:lang w:val="es-ES_tradnl"/>
        </w:rPr>
        <w:t>ías</w:t>
      </w:r>
      <w:r w:rsidR="00224E57" w:rsidRPr="00097FC7">
        <w:rPr>
          <w:rFonts w:ascii="Book Antiqua" w:hAnsi="Book Antiqua"/>
          <w:szCs w:val="24"/>
          <w:lang w:val="es-ES_tradnl"/>
        </w:rPr>
        <w:t>,</w:t>
      </w:r>
      <w:r w:rsidR="00DC0F1B" w:rsidRPr="00097FC7">
        <w:rPr>
          <w:rFonts w:ascii="Book Antiqua" w:hAnsi="Book Antiqua"/>
          <w:szCs w:val="24"/>
          <w:lang w:val="es-ES_tradnl"/>
        </w:rPr>
        <w:t xml:space="preserve"> atemperará los reglamentos, instrucciones generales y cualquier otro documento a las disposiciones </w:t>
      </w:r>
      <w:r w:rsidR="00674111" w:rsidRPr="00097FC7">
        <w:rPr>
          <w:rFonts w:ascii="Book Antiqua" w:hAnsi="Book Antiqua"/>
          <w:szCs w:val="24"/>
          <w:lang w:val="es-ES_tradnl"/>
        </w:rPr>
        <w:t xml:space="preserve">de esta Ley dentro de </w:t>
      </w:r>
      <w:r w:rsidR="007F4709" w:rsidRPr="00097FC7">
        <w:rPr>
          <w:rFonts w:ascii="Book Antiqua" w:hAnsi="Book Antiqua"/>
          <w:szCs w:val="24"/>
          <w:lang w:val="es-ES_tradnl"/>
        </w:rPr>
        <w:t xml:space="preserve">ciento ochenta (180) días </w:t>
      </w:r>
      <w:r w:rsidR="00B17D30" w:rsidRPr="00097FC7">
        <w:rPr>
          <w:rFonts w:ascii="Book Antiqua" w:hAnsi="Book Antiqua"/>
          <w:szCs w:val="24"/>
          <w:lang w:val="es-ES_tradnl"/>
        </w:rPr>
        <w:t>contados a partir de su aprobación y orientará a los notarios</w:t>
      </w:r>
      <w:r w:rsidR="00D305BC" w:rsidRPr="00097FC7">
        <w:rPr>
          <w:rFonts w:ascii="Book Antiqua" w:hAnsi="Book Antiqua"/>
          <w:szCs w:val="24"/>
          <w:lang w:val="es-ES_tradnl"/>
        </w:rPr>
        <w:t xml:space="preserve"> en torno a lo aquí dispuesto.</w:t>
      </w:r>
    </w:p>
    <w:p w14:paraId="72E34832" w14:textId="77777777" w:rsidR="00935CCC" w:rsidRPr="00097FC7" w:rsidRDefault="00935CCC" w:rsidP="00097FC7">
      <w:pPr>
        <w:spacing w:line="432" w:lineRule="auto"/>
        <w:ind w:firstLine="720"/>
        <w:jc w:val="both"/>
        <w:rPr>
          <w:rFonts w:ascii="Book Antiqua" w:hAnsi="Book Antiqua"/>
          <w:szCs w:val="24"/>
          <w:lang w:val="es-ES_tradnl"/>
        </w:rPr>
      </w:pPr>
      <w:r w:rsidRPr="00097FC7">
        <w:rPr>
          <w:rFonts w:ascii="Book Antiqua" w:hAnsi="Book Antiqua"/>
          <w:szCs w:val="24"/>
          <w:lang w:val="es-ES_tradnl"/>
        </w:rPr>
        <w:t xml:space="preserve">Sección 4. – </w:t>
      </w:r>
      <w:r w:rsidR="0058098D" w:rsidRPr="00097FC7">
        <w:rPr>
          <w:rFonts w:ascii="Book Antiqua" w:hAnsi="Book Antiqua"/>
          <w:szCs w:val="24"/>
          <w:lang w:val="es-ES_tradnl"/>
        </w:rPr>
        <w:t>Supremacía</w:t>
      </w:r>
    </w:p>
    <w:p w14:paraId="1455AA44" w14:textId="77777777" w:rsidR="00C6284D" w:rsidRPr="00097FC7" w:rsidRDefault="00B66FE9" w:rsidP="00097FC7">
      <w:pPr>
        <w:spacing w:line="432" w:lineRule="auto"/>
        <w:ind w:firstLine="720"/>
        <w:jc w:val="both"/>
        <w:rPr>
          <w:rFonts w:ascii="Book Antiqua" w:hAnsi="Book Antiqua"/>
          <w:szCs w:val="24"/>
          <w:lang w:val="es-ES_tradnl"/>
        </w:rPr>
      </w:pPr>
      <w:r w:rsidRPr="00097FC7">
        <w:rPr>
          <w:rFonts w:ascii="Book Antiqua" w:hAnsi="Book Antiqua"/>
          <w:szCs w:val="24"/>
          <w:lang w:val="es-ES_tradnl"/>
        </w:rPr>
        <w:t xml:space="preserve">Las disposiciones contenidas en esta Ley prevalecerán sobre cualesquiera otras leyes o reglamentos </w:t>
      </w:r>
      <w:r w:rsidR="00346A9B" w:rsidRPr="00097FC7">
        <w:rPr>
          <w:rFonts w:ascii="Book Antiqua" w:hAnsi="Book Antiqua"/>
          <w:szCs w:val="24"/>
          <w:lang w:val="es-ES_tradnl"/>
        </w:rPr>
        <w:t xml:space="preserve">del Gobierno de Puerto Rico que </w:t>
      </w:r>
      <w:r w:rsidR="00B5643A" w:rsidRPr="00097FC7">
        <w:rPr>
          <w:rFonts w:ascii="Book Antiqua" w:hAnsi="Book Antiqua"/>
          <w:szCs w:val="24"/>
          <w:lang w:val="es-ES_tradnl"/>
        </w:rPr>
        <w:t>fueren incompatibles con las aquí dispuestas.</w:t>
      </w:r>
    </w:p>
    <w:p w14:paraId="3571AF2C" w14:textId="77777777" w:rsidR="0058098D" w:rsidRPr="00097FC7" w:rsidRDefault="0058098D" w:rsidP="00097FC7">
      <w:pPr>
        <w:spacing w:line="432" w:lineRule="auto"/>
        <w:ind w:firstLine="720"/>
        <w:jc w:val="both"/>
        <w:rPr>
          <w:rFonts w:ascii="Book Antiqua" w:hAnsi="Book Antiqua"/>
          <w:szCs w:val="24"/>
          <w:lang w:val="es-ES_tradnl"/>
        </w:rPr>
      </w:pPr>
      <w:r w:rsidRPr="00097FC7">
        <w:rPr>
          <w:rFonts w:ascii="Book Antiqua" w:hAnsi="Book Antiqua"/>
          <w:szCs w:val="24"/>
          <w:lang w:val="es-ES_tradnl"/>
        </w:rPr>
        <w:t xml:space="preserve">Sección </w:t>
      </w:r>
      <w:r w:rsidR="00B95382" w:rsidRPr="00097FC7">
        <w:rPr>
          <w:rFonts w:ascii="Book Antiqua" w:hAnsi="Book Antiqua"/>
          <w:szCs w:val="24"/>
          <w:lang w:val="es-ES_tradnl"/>
        </w:rPr>
        <w:t>5</w:t>
      </w:r>
      <w:r w:rsidRPr="00097FC7">
        <w:rPr>
          <w:rFonts w:ascii="Book Antiqua" w:hAnsi="Book Antiqua"/>
          <w:szCs w:val="24"/>
          <w:lang w:val="es-ES_tradnl"/>
        </w:rPr>
        <w:t>. – Vigencia</w:t>
      </w:r>
    </w:p>
    <w:p w14:paraId="6559F4DD" w14:textId="778C5A9D" w:rsidR="0058098D" w:rsidRDefault="0058098D" w:rsidP="00097FC7">
      <w:pPr>
        <w:spacing w:line="432" w:lineRule="auto"/>
        <w:ind w:firstLine="720"/>
        <w:jc w:val="both"/>
        <w:rPr>
          <w:rFonts w:ascii="Book Antiqua" w:hAnsi="Book Antiqua"/>
          <w:szCs w:val="24"/>
          <w:lang w:val="es-ES_tradnl"/>
        </w:rPr>
      </w:pPr>
      <w:r w:rsidRPr="00097FC7">
        <w:rPr>
          <w:rFonts w:ascii="Book Antiqua" w:hAnsi="Book Antiqua"/>
          <w:szCs w:val="24"/>
          <w:lang w:val="es-ES_tradnl"/>
        </w:rPr>
        <w:t xml:space="preserve">Esta Ley </w:t>
      </w:r>
      <w:r w:rsidR="00097FC7">
        <w:rPr>
          <w:rFonts w:ascii="Book Antiqua" w:hAnsi="Book Antiqua"/>
          <w:szCs w:val="24"/>
          <w:lang w:val="es-ES_tradnl"/>
        </w:rPr>
        <w:t>c</w:t>
      </w:r>
      <w:r w:rsidRPr="00097FC7">
        <w:rPr>
          <w:rFonts w:ascii="Book Antiqua" w:hAnsi="Book Antiqua"/>
          <w:szCs w:val="24"/>
          <w:lang w:val="es-ES_tradnl"/>
        </w:rPr>
        <w:t xml:space="preserve">omenzará a regir </w:t>
      </w:r>
      <w:r w:rsidRPr="00E05F64">
        <w:rPr>
          <w:rFonts w:ascii="Book Antiqua" w:hAnsi="Book Antiqua"/>
          <w:strike/>
          <w:szCs w:val="24"/>
          <w:lang w:val="es-ES_tradnl"/>
        </w:rPr>
        <w:t>inmediatamente</w:t>
      </w:r>
      <w:r w:rsidRPr="00097FC7">
        <w:rPr>
          <w:rFonts w:ascii="Book Antiqua" w:hAnsi="Book Antiqua"/>
          <w:szCs w:val="24"/>
          <w:lang w:val="es-ES_tradnl"/>
        </w:rPr>
        <w:t xml:space="preserve"> </w:t>
      </w:r>
      <w:r w:rsidR="0018473A" w:rsidRPr="0018473A">
        <w:rPr>
          <w:rFonts w:ascii="Book Antiqua" w:hAnsi="Book Antiqua"/>
          <w:i/>
          <w:iCs/>
          <w:szCs w:val="24"/>
          <w:u w:val="single"/>
          <w:lang w:val="es-ES_tradnl"/>
        </w:rPr>
        <w:t>dentro de ciento ochenta (180) días</w:t>
      </w:r>
      <w:r w:rsidR="0018473A" w:rsidRPr="00097FC7">
        <w:rPr>
          <w:rFonts w:ascii="Book Antiqua" w:hAnsi="Book Antiqua"/>
          <w:szCs w:val="24"/>
          <w:lang w:val="es-ES_tradnl"/>
        </w:rPr>
        <w:t xml:space="preserve"> </w:t>
      </w:r>
      <w:r w:rsidRPr="00097FC7">
        <w:rPr>
          <w:rFonts w:ascii="Book Antiqua" w:hAnsi="Book Antiqua"/>
          <w:szCs w:val="24"/>
          <w:lang w:val="es-ES_tradnl"/>
        </w:rPr>
        <w:t xml:space="preserve">después de su aprobación. </w:t>
      </w:r>
    </w:p>
    <w:p w14:paraId="47139FDF" w14:textId="77777777" w:rsidR="00097FC7" w:rsidRPr="00097FC7" w:rsidRDefault="00097FC7" w:rsidP="00097FC7">
      <w:pPr>
        <w:suppressLineNumbers/>
        <w:ind w:firstLine="720"/>
        <w:jc w:val="both"/>
        <w:rPr>
          <w:rFonts w:ascii="Book Antiqua" w:hAnsi="Book Antiqua"/>
          <w:sz w:val="8"/>
          <w:szCs w:val="8"/>
          <w:lang w:val="es-ES_tradnl"/>
        </w:rPr>
      </w:pPr>
    </w:p>
    <w:sectPr w:rsidR="00097FC7" w:rsidRPr="00097FC7" w:rsidSect="00FF3AE3">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3C4DE" w14:textId="77777777" w:rsidR="00901884" w:rsidRDefault="00901884">
      <w:r>
        <w:separator/>
      </w:r>
    </w:p>
  </w:endnote>
  <w:endnote w:type="continuationSeparator" w:id="0">
    <w:p w14:paraId="25F186BB" w14:textId="77777777" w:rsidR="00901884" w:rsidRDefault="00901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AA361" w14:textId="77777777" w:rsidR="00901884" w:rsidRDefault="00901884">
      <w:r>
        <w:separator/>
      </w:r>
    </w:p>
  </w:footnote>
  <w:footnote w:type="continuationSeparator" w:id="0">
    <w:p w14:paraId="734468C1" w14:textId="77777777" w:rsidR="00901884" w:rsidRDefault="00901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46678" w14:textId="77777777" w:rsidR="00FF3AE3" w:rsidRDefault="00FF3AE3">
    <w:pPr>
      <w:pStyle w:val="Header"/>
      <w:jc w:val="center"/>
    </w:pPr>
    <w:r w:rsidRPr="009873B7">
      <w:rPr>
        <w:rStyle w:val="PageNumber"/>
      </w:rPr>
      <w:fldChar w:fldCharType="begin"/>
    </w:r>
    <w:r w:rsidRPr="009873B7">
      <w:rPr>
        <w:rStyle w:val="PageNumber"/>
      </w:rPr>
      <w:instrText xml:space="preserve"> PAGE </w:instrText>
    </w:r>
    <w:r w:rsidRPr="009873B7">
      <w:rPr>
        <w:rStyle w:val="PageNumber"/>
      </w:rPr>
      <w:fldChar w:fldCharType="separate"/>
    </w:r>
    <w:r w:rsidRPr="009873B7">
      <w:rPr>
        <w:rStyle w:val="PageNumber"/>
        <w:noProof/>
      </w:rPr>
      <w:t>25</w:t>
    </w:r>
    <w:r w:rsidRPr="009873B7">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DBE83" w14:textId="77777777" w:rsidR="00B95382" w:rsidRPr="0048736A" w:rsidRDefault="00B95382" w:rsidP="00B95382">
    <w:pPr>
      <w:keepNext/>
      <w:widowControl w:val="0"/>
      <w:suppressLineNumbers/>
      <w:tabs>
        <w:tab w:val="center" w:pos="4320"/>
        <w:tab w:val="right" w:pos="8640"/>
      </w:tabs>
      <w:autoSpaceDE w:val="0"/>
      <w:autoSpaceDN w:val="0"/>
      <w:adjustRightInd w:val="0"/>
      <w:jc w:val="center"/>
      <w:rPr>
        <w:rFonts w:ascii="Book Antiqua" w:hAnsi="Book Antiqua"/>
        <w:b/>
        <w:szCs w:val="24"/>
      </w:rPr>
    </w:pPr>
    <w:bookmarkStart w:id="0" w:name="_Hlk36034857"/>
    <w:r w:rsidRPr="0048736A">
      <w:rPr>
        <w:rFonts w:ascii="Book Antiqua" w:eastAsia="MS Mincho" w:hAnsi="Book Antiqua"/>
        <w:b/>
      </w:rPr>
      <w:t>TEXTO APROBADO EN VOTACIÓN FINAL POR EL SENADO</w:t>
    </w:r>
  </w:p>
  <w:p w14:paraId="59C25C90" w14:textId="77777777" w:rsidR="00B95382" w:rsidRDefault="00B95382" w:rsidP="00B95382">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rPr>
    </w:pPr>
    <w:r>
      <w:rPr>
        <w:rFonts w:ascii="Book Antiqua" w:eastAsia="MS Mincho" w:hAnsi="Book Antiqua"/>
        <w:b/>
      </w:rPr>
      <w:t>(13 DE NOVIEMBRE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B385B"/>
    <w:multiLevelType w:val="hybridMultilevel"/>
    <w:tmpl w:val="EC0E90F2"/>
    <w:lvl w:ilvl="0" w:tplc="12CC7F12">
      <w:start w:val="1"/>
      <w:numFmt w:val="lowerLetter"/>
      <w:lvlText w:val="(%1)"/>
      <w:lvlJc w:val="left"/>
      <w:pPr>
        <w:ind w:left="1350" w:hanging="360"/>
      </w:pPr>
      <w:rPr>
        <w:rFonts w:hint="default"/>
        <w:color w:val="auto"/>
        <w:u w:val="none"/>
      </w:rPr>
    </w:lvl>
    <w:lvl w:ilvl="1" w:tplc="F6BADBC8">
      <w:start w:val="1"/>
      <w:numFmt w:val="lowerRoman"/>
      <w:lvlText w:val="(%2)"/>
      <w:lvlJc w:val="left"/>
      <w:pPr>
        <w:ind w:left="970" w:hanging="360"/>
      </w:pPr>
      <w:rPr>
        <w:rFonts w:hint="default"/>
        <w:color w:val="auto"/>
      </w:rPr>
    </w:lvl>
    <w:lvl w:ilvl="2" w:tplc="500A001B">
      <w:start w:val="1"/>
      <w:numFmt w:val="lowerRoman"/>
      <w:lvlText w:val="%3."/>
      <w:lvlJc w:val="right"/>
      <w:pPr>
        <w:ind w:left="1690" w:hanging="180"/>
      </w:pPr>
    </w:lvl>
    <w:lvl w:ilvl="3" w:tplc="500A000F" w:tentative="1">
      <w:start w:val="1"/>
      <w:numFmt w:val="decimal"/>
      <w:lvlText w:val="%4."/>
      <w:lvlJc w:val="left"/>
      <w:pPr>
        <w:ind w:left="2410" w:hanging="360"/>
      </w:pPr>
    </w:lvl>
    <w:lvl w:ilvl="4" w:tplc="500A0019" w:tentative="1">
      <w:start w:val="1"/>
      <w:numFmt w:val="lowerLetter"/>
      <w:lvlText w:val="%5."/>
      <w:lvlJc w:val="left"/>
      <w:pPr>
        <w:ind w:left="3130" w:hanging="360"/>
      </w:pPr>
    </w:lvl>
    <w:lvl w:ilvl="5" w:tplc="500A001B" w:tentative="1">
      <w:start w:val="1"/>
      <w:numFmt w:val="lowerRoman"/>
      <w:lvlText w:val="%6."/>
      <w:lvlJc w:val="right"/>
      <w:pPr>
        <w:ind w:left="3850" w:hanging="180"/>
      </w:pPr>
    </w:lvl>
    <w:lvl w:ilvl="6" w:tplc="500A000F" w:tentative="1">
      <w:start w:val="1"/>
      <w:numFmt w:val="decimal"/>
      <w:lvlText w:val="%7."/>
      <w:lvlJc w:val="left"/>
      <w:pPr>
        <w:ind w:left="4570" w:hanging="360"/>
      </w:pPr>
    </w:lvl>
    <w:lvl w:ilvl="7" w:tplc="500A0019" w:tentative="1">
      <w:start w:val="1"/>
      <w:numFmt w:val="lowerLetter"/>
      <w:lvlText w:val="%8."/>
      <w:lvlJc w:val="left"/>
      <w:pPr>
        <w:ind w:left="5290" w:hanging="360"/>
      </w:pPr>
    </w:lvl>
    <w:lvl w:ilvl="8" w:tplc="500A001B" w:tentative="1">
      <w:start w:val="1"/>
      <w:numFmt w:val="lowerRoman"/>
      <w:lvlText w:val="%9."/>
      <w:lvlJc w:val="right"/>
      <w:pPr>
        <w:ind w:left="6010" w:hanging="180"/>
      </w:pPr>
    </w:lvl>
  </w:abstractNum>
  <w:abstractNum w:abstractNumId="1" w15:restartNumberingAfterBreak="0">
    <w:nsid w:val="133058E4"/>
    <w:multiLevelType w:val="hybridMultilevel"/>
    <w:tmpl w:val="11A67546"/>
    <w:lvl w:ilvl="0" w:tplc="6B7AA5E4">
      <w:start w:val="1"/>
      <w:numFmt w:val="lowerLetter"/>
      <w:lvlText w:val="(%1)"/>
      <w:lvlJc w:val="left"/>
      <w:pPr>
        <w:ind w:left="360" w:hanging="360"/>
      </w:pPr>
      <w:rPr>
        <w:rFonts w:hint="default"/>
        <w:color w:val="auto"/>
      </w:rPr>
    </w:lvl>
    <w:lvl w:ilvl="1" w:tplc="500A0019" w:tentative="1">
      <w:start w:val="1"/>
      <w:numFmt w:val="lowerLetter"/>
      <w:lvlText w:val="%2."/>
      <w:lvlJc w:val="left"/>
      <w:pPr>
        <w:ind w:left="1080" w:hanging="360"/>
      </w:pPr>
    </w:lvl>
    <w:lvl w:ilvl="2" w:tplc="500A001B" w:tentative="1">
      <w:start w:val="1"/>
      <w:numFmt w:val="lowerRoman"/>
      <w:lvlText w:val="%3."/>
      <w:lvlJc w:val="right"/>
      <w:pPr>
        <w:ind w:left="1800" w:hanging="180"/>
      </w:pPr>
    </w:lvl>
    <w:lvl w:ilvl="3" w:tplc="500A000F" w:tentative="1">
      <w:start w:val="1"/>
      <w:numFmt w:val="decimal"/>
      <w:lvlText w:val="%4."/>
      <w:lvlJc w:val="left"/>
      <w:pPr>
        <w:ind w:left="2520" w:hanging="360"/>
      </w:pPr>
    </w:lvl>
    <w:lvl w:ilvl="4" w:tplc="500A0019" w:tentative="1">
      <w:start w:val="1"/>
      <w:numFmt w:val="lowerLetter"/>
      <w:lvlText w:val="%5."/>
      <w:lvlJc w:val="left"/>
      <w:pPr>
        <w:ind w:left="3240" w:hanging="360"/>
      </w:pPr>
    </w:lvl>
    <w:lvl w:ilvl="5" w:tplc="500A001B" w:tentative="1">
      <w:start w:val="1"/>
      <w:numFmt w:val="lowerRoman"/>
      <w:lvlText w:val="%6."/>
      <w:lvlJc w:val="right"/>
      <w:pPr>
        <w:ind w:left="3960" w:hanging="180"/>
      </w:pPr>
    </w:lvl>
    <w:lvl w:ilvl="6" w:tplc="500A000F" w:tentative="1">
      <w:start w:val="1"/>
      <w:numFmt w:val="decimal"/>
      <w:lvlText w:val="%7."/>
      <w:lvlJc w:val="left"/>
      <w:pPr>
        <w:ind w:left="4680" w:hanging="360"/>
      </w:pPr>
    </w:lvl>
    <w:lvl w:ilvl="7" w:tplc="500A0019" w:tentative="1">
      <w:start w:val="1"/>
      <w:numFmt w:val="lowerLetter"/>
      <w:lvlText w:val="%8."/>
      <w:lvlJc w:val="left"/>
      <w:pPr>
        <w:ind w:left="5400" w:hanging="360"/>
      </w:pPr>
    </w:lvl>
    <w:lvl w:ilvl="8" w:tplc="500A001B" w:tentative="1">
      <w:start w:val="1"/>
      <w:numFmt w:val="lowerRoman"/>
      <w:lvlText w:val="%9."/>
      <w:lvlJc w:val="right"/>
      <w:pPr>
        <w:ind w:left="6120" w:hanging="180"/>
      </w:pPr>
    </w:lvl>
  </w:abstractNum>
  <w:abstractNum w:abstractNumId="2" w15:restartNumberingAfterBreak="0">
    <w:nsid w:val="72ED3E1E"/>
    <w:multiLevelType w:val="hybridMultilevel"/>
    <w:tmpl w:val="94D8AB74"/>
    <w:lvl w:ilvl="0" w:tplc="1D801B30">
      <w:start w:val="1"/>
      <w:numFmt w:val="decimal"/>
      <w:lvlText w:val="(%1)"/>
      <w:lvlJc w:val="left"/>
      <w:pPr>
        <w:ind w:left="1530" w:hanging="360"/>
      </w:pPr>
      <w:rPr>
        <w:rFonts w:hint="default"/>
      </w:rPr>
    </w:lvl>
    <w:lvl w:ilvl="1" w:tplc="500A0019" w:tentative="1">
      <w:start w:val="1"/>
      <w:numFmt w:val="lowerLetter"/>
      <w:lvlText w:val="%2."/>
      <w:lvlJc w:val="left"/>
      <w:pPr>
        <w:ind w:left="2250" w:hanging="360"/>
      </w:pPr>
    </w:lvl>
    <w:lvl w:ilvl="2" w:tplc="500A001B" w:tentative="1">
      <w:start w:val="1"/>
      <w:numFmt w:val="lowerRoman"/>
      <w:lvlText w:val="%3."/>
      <w:lvlJc w:val="right"/>
      <w:pPr>
        <w:ind w:left="2970" w:hanging="180"/>
      </w:pPr>
    </w:lvl>
    <w:lvl w:ilvl="3" w:tplc="500A000F" w:tentative="1">
      <w:start w:val="1"/>
      <w:numFmt w:val="decimal"/>
      <w:lvlText w:val="%4."/>
      <w:lvlJc w:val="left"/>
      <w:pPr>
        <w:ind w:left="3690" w:hanging="360"/>
      </w:pPr>
    </w:lvl>
    <w:lvl w:ilvl="4" w:tplc="500A0019" w:tentative="1">
      <w:start w:val="1"/>
      <w:numFmt w:val="lowerLetter"/>
      <w:lvlText w:val="%5."/>
      <w:lvlJc w:val="left"/>
      <w:pPr>
        <w:ind w:left="4410" w:hanging="360"/>
      </w:pPr>
    </w:lvl>
    <w:lvl w:ilvl="5" w:tplc="500A001B" w:tentative="1">
      <w:start w:val="1"/>
      <w:numFmt w:val="lowerRoman"/>
      <w:lvlText w:val="%6."/>
      <w:lvlJc w:val="right"/>
      <w:pPr>
        <w:ind w:left="5130" w:hanging="180"/>
      </w:pPr>
    </w:lvl>
    <w:lvl w:ilvl="6" w:tplc="500A000F" w:tentative="1">
      <w:start w:val="1"/>
      <w:numFmt w:val="decimal"/>
      <w:lvlText w:val="%7."/>
      <w:lvlJc w:val="left"/>
      <w:pPr>
        <w:ind w:left="5850" w:hanging="360"/>
      </w:pPr>
    </w:lvl>
    <w:lvl w:ilvl="7" w:tplc="500A0019" w:tentative="1">
      <w:start w:val="1"/>
      <w:numFmt w:val="lowerLetter"/>
      <w:lvlText w:val="%8."/>
      <w:lvlJc w:val="left"/>
      <w:pPr>
        <w:ind w:left="6570" w:hanging="360"/>
      </w:pPr>
    </w:lvl>
    <w:lvl w:ilvl="8" w:tplc="500A001B" w:tentative="1">
      <w:start w:val="1"/>
      <w:numFmt w:val="lowerRoman"/>
      <w:lvlText w:val="%9."/>
      <w:lvlJc w:val="right"/>
      <w:pPr>
        <w:ind w:left="7290" w:hanging="180"/>
      </w:pPr>
    </w:lvl>
  </w:abstractNum>
  <w:num w:numId="1" w16cid:durableId="2087142148">
    <w:abstractNumId w:val="1"/>
  </w:num>
  <w:num w:numId="2" w16cid:durableId="1135679581">
    <w:abstractNumId w:val="0"/>
  </w:num>
  <w:num w:numId="3" w16cid:durableId="17364705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AE3"/>
    <w:rsid w:val="00014D9A"/>
    <w:rsid w:val="0006127B"/>
    <w:rsid w:val="00070FDC"/>
    <w:rsid w:val="0007373B"/>
    <w:rsid w:val="00075948"/>
    <w:rsid w:val="00086961"/>
    <w:rsid w:val="000872BA"/>
    <w:rsid w:val="00095DAC"/>
    <w:rsid w:val="00097FC7"/>
    <w:rsid w:val="000D459A"/>
    <w:rsid w:val="000F327B"/>
    <w:rsid w:val="00102C2E"/>
    <w:rsid w:val="00106AA4"/>
    <w:rsid w:val="00145ADA"/>
    <w:rsid w:val="0018473A"/>
    <w:rsid w:val="001A0C8F"/>
    <w:rsid w:val="001A2329"/>
    <w:rsid w:val="001C0291"/>
    <w:rsid w:val="001D17C1"/>
    <w:rsid w:val="001E6EE5"/>
    <w:rsid w:val="002109C6"/>
    <w:rsid w:val="00224E57"/>
    <w:rsid w:val="0022648E"/>
    <w:rsid w:val="00240DA0"/>
    <w:rsid w:val="002D14E2"/>
    <w:rsid w:val="002F46CE"/>
    <w:rsid w:val="00300E9C"/>
    <w:rsid w:val="00334630"/>
    <w:rsid w:val="00346A9B"/>
    <w:rsid w:val="0038786D"/>
    <w:rsid w:val="003E1846"/>
    <w:rsid w:val="00405B3A"/>
    <w:rsid w:val="00407A56"/>
    <w:rsid w:val="004108CC"/>
    <w:rsid w:val="00413B4A"/>
    <w:rsid w:val="00424E16"/>
    <w:rsid w:val="00443563"/>
    <w:rsid w:val="00476549"/>
    <w:rsid w:val="004C32B1"/>
    <w:rsid w:val="004D3253"/>
    <w:rsid w:val="00524A66"/>
    <w:rsid w:val="00524ABD"/>
    <w:rsid w:val="005736FA"/>
    <w:rsid w:val="0058098D"/>
    <w:rsid w:val="005A13B0"/>
    <w:rsid w:val="005B630E"/>
    <w:rsid w:val="005C02C1"/>
    <w:rsid w:val="005D48E4"/>
    <w:rsid w:val="005F29E1"/>
    <w:rsid w:val="0060540B"/>
    <w:rsid w:val="00674111"/>
    <w:rsid w:val="006F3D10"/>
    <w:rsid w:val="007044C2"/>
    <w:rsid w:val="00706E3D"/>
    <w:rsid w:val="007317F0"/>
    <w:rsid w:val="007F32FE"/>
    <w:rsid w:val="007F4709"/>
    <w:rsid w:val="00807965"/>
    <w:rsid w:val="008207A8"/>
    <w:rsid w:val="008916F7"/>
    <w:rsid w:val="008E099A"/>
    <w:rsid w:val="00901884"/>
    <w:rsid w:val="00925BA4"/>
    <w:rsid w:val="009334ED"/>
    <w:rsid w:val="009358B2"/>
    <w:rsid w:val="00935CCC"/>
    <w:rsid w:val="00945AE9"/>
    <w:rsid w:val="0097131A"/>
    <w:rsid w:val="00975F91"/>
    <w:rsid w:val="009873B7"/>
    <w:rsid w:val="009A5FEC"/>
    <w:rsid w:val="009B5C9F"/>
    <w:rsid w:val="009C27A9"/>
    <w:rsid w:val="009E192C"/>
    <w:rsid w:val="00A217CE"/>
    <w:rsid w:val="00A2416A"/>
    <w:rsid w:val="00A54F4E"/>
    <w:rsid w:val="00AC1458"/>
    <w:rsid w:val="00B13F8C"/>
    <w:rsid w:val="00B17D30"/>
    <w:rsid w:val="00B34CCB"/>
    <w:rsid w:val="00B472A6"/>
    <w:rsid w:val="00B5643A"/>
    <w:rsid w:val="00B66FE9"/>
    <w:rsid w:val="00B722FB"/>
    <w:rsid w:val="00B95382"/>
    <w:rsid w:val="00BC0B37"/>
    <w:rsid w:val="00C2673D"/>
    <w:rsid w:val="00C42A97"/>
    <w:rsid w:val="00C6284D"/>
    <w:rsid w:val="00C814AE"/>
    <w:rsid w:val="00CC692B"/>
    <w:rsid w:val="00CE0889"/>
    <w:rsid w:val="00D305BC"/>
    <w:rsid w:val="00D55BBE"/>
    <w:rsid w:val="00DB2603"/>
    <w:rsid w:val="00DC0F1B"/>
    <w:rsid w:val="00DC5901"/>
    <w:rsid w:val="00DD4EEA"/>
    <w:rsid w:val="00DE6500"/>
    <w:rsid w:val="00E04C6E"/>
    <w:rsid w:val="00E05F64"/>
    <w:rsid w:val="00E600EA"/>
    <w:rsid w:val="00EF4CB4"/>
    <w:rsid w:val="00F24D43"/>
    <w:rsid w:val="00F37587"/>
    <w:rsid w:val="00F70714"/>
    <w:rsid w:val="00F7157A"/>
    <w:rsid w:val="00F9685C"/>
    <w:rsid w:val="00FC2068"/>
    <w:rsid w:val="00FF3AE3"/>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551F5"/>
  <w15:chartTrackingRefBased/>
  <w15:docId w15:val="{A9E3E081-0B05-448F-89F5-6B62100A9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253"/>
    <w:rPr>
      <w:rFonts w:ascii="Times New Roman" w:eastAsia="Times New Roman" w:hAnsi="Times New Roman"/>
      <w:sz w:val="24"/>
      <w:lang w:eastAsia="en-US"/>
    </w:rPr>
  </w:style>
  <w:style w:type="paragraph" w:styleId="Heading1">
    <w:name w:val="heading 1"/>
    <w:basedOn w:val="Normal"/>
    <w:next w:val="Normal"/>
    <w:link w:val="Heading1Char"/>
    <w:uiPriority w:val="9"/>
    <w:qFormat/>
    <w:rsid w:val="00FF3AE3"/>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link w:val="Heading2Char"/>
    <w:uiPriority w:val="9"/>
    <w:semiHidden/>
    <w:unhideWhenUsed/>
    <w:qFormat/>
    <w:rsid w:val="00FF3AE3"/>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link w:val="Heading3Char"/>
    <w:uiPriority w:val="9"/>
    <w:semiHidden/>
    <w:unhideWhenUsed/>
    <w:qFormat/>
    <w:rsid w:val="00FF3AE3"/>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rsid w:val="00FF3AE3"/>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rsid w:val="00FF3AE3"/>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rsid w:val="00FF3AE3"/>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FF3AE3"/>
    <w:pPr>
      <w:keepNext/>
      <w:keepLines/>
      <w:spacing w:before="40"/>
      <w:outlineLvl w:val="6"/>
    </w:pPr>
    <w:rPr>
      <w:color w:val="595959"/>
    </w:rPr>
  </w:style>
  <w:style w:type="paragraph" w:styleId="Heading8">
    <w:name w:val="heading 8"/>
    <w:basedOn w:val="Normal"/>
    <w:next w:val="Normal"/>
    <w:link w:val="Heading8Char"/>
    <w:uiPriority w:val="9"/>
    <w:semiHidden/>
    <w:unhideWhenUsed/>
    <w:qFormat/>
    <w:rsid w:val="00FF3AE3"/>
    <w:pPr>
      <w:keepNext/>
      <w:keepLines/>
      <w:outlineLvl w:val="7"/>
    </w:pPr>
    <w:rPr>
      <w:i/>
      <w:iCs/>
      <w:color w:val="272727"/>
    </w:rPr>
  </w:style>
  <w:style w:type="paragraph" w:styleId="Heading9">
    <w:name w:val="heading 9"/>
    <w:basedOn w:val="Normal"/>
    <w:next w:val="Normal"/>
    <w:link w:val="Heading9Char"/>
    <w:uiPriority w:val="9"/>
    <w:semiHidden/>
    <w:unhideWhenUsed/>
    <w:qFormat/>
    <w:rsid w:val="00FF3AE3"/>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F3AE3"/>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FF3AE3"/>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FF3AE3"/>
    <w:rPr>
      <w:rFonts w:eastAsia="Times New Roman" w:cs="Times New Roman"/>
      <w:color w:val="0F4761"/>
      <w:sz w:val="28"/>
      <w:szCs w:val="28"/>
    </w:rPr>
  </w:style>
  <w:style w:type="character" w:customStyle="1" w:styleId="Heading4Char">
    <w:name w:val="Heading 4 Char"/>
    <w:link w:val="Heading4"/>
    <w:uiPriority w:val="9"/>
    <w:semiHidden/>
    <w:rsid w:val="00FF3AE3"/>
    <w:rPr>
      <w:rFonts w:eastAsia="Times New Roman" w:cs="Times New Roman"/>
      <w:i/>
      <w:iCs/>
      <w:color w:val="0F4761"/>
    </w:rPr>
  </w:style>
  <w:style w:type="character" w:customStyle="1" w:styleId="Heading5Char">
    <w:name w:val="Heading 5 Char"/>
    <w:link w:val="Heading5"/>
    <w:uiPriority w:val="9"/>
    <w:semiHidden/>
    <w:rsid w:val="00FF3AE3"/>
    <w:rPr>
      <w:rFonts w:eastAsia="Times New Roman" w:cs="Times New Roman"/>
      <w:color w:val="0F4761"/>
    </w:rPr>
  </w:style>
  <w:style w:type="character" w:customStyle="1" w:styleId="Heading6Char">
    <w:name w:val="Heading 6 Char"/>
    <w:link w:val="Heading6"/>
    <w:uiPriority w:val="9"/>
    <w:semiHidden/>
    <w:rsid w:val="00FF3AE3"/>
    <w:rPr>
      <w:rFonts w:eastAsia="Times New Roman" w:cs="Times New Roman"/>
      <w:i/>
      <w:iCs/>
      <w:color w:val="595959"/>
    </w:rPr>
  </w:style>
  <w:style w:type="character" w:customStyle="1" w:styleId="Heading7Char">
    <w:name w:val="Heading 7 Char"/>
    <w:link w:val="Heading7"/>
    <w:uiPriority w:val="9"/>
    <w:semiHidden/>
    <w:rsid w:val="00FF3AE3"/>
    <w:rPr>
      <w:rFonts w:eastAsia="Times New Roman" w:cs="Times New Roman"/>
      <w:color w:val="595959"/>
    </w:rPr>
  </w:style>
  <w:style w:type="character" w:customStyle="1" w:styleId="Heading8Char">
    <w:name w:val="Heading 8 Char"/>
    <w:link w:val="Heading8"/>
    <w:uiPriority w:val="9"/>
    <w:semiHidden/>
    <w:rsid w:val="00FF3AE3"/>
    <w:rPr>
      <w:rFonts w:eastAsia="Times New Roman" w:cs="Times New Roman"/>
      <w:i/>
      <w:iCs/>
      <w:color w:val="272727"/>
    </w:rPr>
  </w:style>
  <w:style w:type="character" w:customStyle="1" w:styleId="Heading9Char">
    <w:name w:val="Heading 9 Char"/>
    <w:link w:val="Heading9"/>
    <w:uiPriority w:val="9"/>
    <w:semiHidden/>
    <w:rsid w:val="00FF3AE3"/>
    <w:rPr>
      <w:rFonts w:eastAsia="Times New Roman" w:cs="Times New Roman"/>
      <w:color w:val="272727"/>
    </w:rPr>
  </w:style>
  <w:style w:type="paragraph" w:styleId="Title">
    <w:name w:val="Title"/>
    <w:basedOn w:val="Normal"/>
    <w:next w:val="Normal"/>
    <w:link w:val="TitleChar"/>
    <w:uiPriority w:val="10"/>
    <w:qFormat/>
    <w:rsid w:val="00FF3AE3"/>
    <w:pPr>
      <w:spacing w:after="80"/>
      <w:contextualSpacing/>
    </w:pPr>
    <w:rPr>
      <w:rFonts w:ascii="Aptos Display" w:hAnsi="Aptos Display"/>
      <w:spacing w:val="-10"/>
      <w:kern w:val="28"/>
      <w:sz w:val="56"/>
      <w:szCs w:val="56"/>
    </w:rPr>
  </w:style>
  <w:style w:type="character" w:customStyle="1" w:styleId="TitleChar">
    <w:name w:val="Title Char"/>
    <w:link w:val="Title"/>
    <w:uiPriority w:val="10"/>
    <w:rsid w:val="00FF3AE3"/>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FF3AE3"/>
    <w:pPr>
      <w:numPr>
        <w:ilvl w:val="1"/>
      </w:numPr>
    </w:pPr>
    <w:rPr>
      <w:color w:val="595959"/>
      <w:spacing w:val="15"/>
      <w:sz w:val="28"/>
      <w:szCs w:val="28"/>
    </w:rPr>
  </w:style>
  <w:style w:type="character" w:customStyle="1" w:styleId="SubtitleChar">
    <w:name w:val="Subtitle Char"/>
    <w:link w:val="Subtitle"/>
    <w:uiPriority w:val="11"/>
    <w:rsid w:val="00FF3AE3"/>
    <w:rPr>
      <w:rFonts w:eastAsia="Times New Roman" w:cs="Times New Roman"/>
      <w:color w:val="595959"/>
      <w:spacing w:val="15"/>
      <w:sz w:val="28"/>
      <w:szCs w:val="28"/>
    </w:rPr>
  </w:style>
  <w:style w:type="paragraph" w:styleId="Quote">
    <w:name w:val="Quote"/>
    <w:basedOn w:val="Normal"/>
    <w:next w:val="Normal"/>
    <w:link w:val="QuoteChar"/>
    <w:uiPriority w:val="29"/>
    <w:qFormat/>
    <w:rsid w:val="00FF3AE3"/>
    <w:pPr>
      <w:spacing w:before="160"/>
      <w:jc w:val="center"/>
    </w:pPr>
    <w:rPr>
      <w:i/>
      <w:iCs/>
      <w:color w:val="404040"/>
    </w:rPr>
  </w:style>
  <w:style w:type="character" w:customStyle="1" w:styleId="QuoteChar">
    <w:name w:val="Quote Char"/>
    <w:link w:val="Quote"/>
    <w:uiPriority w:val="29"/>
    <w:rsid w:val="00FF3AE3"/>
    <w:rPr>
      <w:i/>
      <w:iCs/>
      <w:color w:val="404040"/>
    </w:rPr>
  </w:style>
  <w:style w:type="paragraph" w:styleId="ListParagraph">
    <w:name w:val="List Paragraph"/>
    <w:basedOn w:val="Normal"/>
    <w:uiPriority w:val="34"/>
    <w:qFormat/>
    <w:rsid w:val="00FF3AE3"/>
    <w:pPr>
      <w:ind w:left="720"/>
      <w:contextualSpacing/>
    </w:pPr>
  </w:style>
  <w:style w:type="character" w:styleId="IntenseEmphasis">
    <w:name w:val="Intense Emphasis"/>
    <w:uiPriority w:val="21"/>
    <w:qFormat/>
    <w:rsid w:val="00FF3AE3"/>
    <w:rPr>
      <w:i/>
      <w:iCs/>
      <w:color w:val="0F4761"/>
    </w:rPr>
  </w:style>
  <w:style w:type="paragraph" w:styleId="IntenseQuote">
    <w:name w:val="Intense Quote"/>
    <w:basedOn w:val="Normal"/>
    <w:next w:val="Normal"/>
    <w:link w:val="IntenseQuoteChar"/>
    <w:uiPriority w:val="30"/>
    <w:qFormat/>
    <w:rsid w:val="00FF3AE3"/>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FF3AE3"/>
    <w:rPr>
      <w:i/>
      <w:iCs/>
      <w:color w:val="0F4761"/>
    </w:rPr>
  </w:style>
  <w:style w:type="character" w:styleId="IntenseReference">
    <w:name w:val="Intense Reference"/>
    <w:uiPriority w:val="32"/>
    <w:qFormat/>
    <w:rsid w:val="00FF3AE3"/>
    <w:rPr>
      <w:b/>
      <w:bCs/>
      <w:smallCaps/>
      <w:color w:val="0F4761"/>
      <w:spacing w:val="5"/>
    </w:rPr>
  </w:style>
  <w:style w:type="paragraph" w:customStyle="1" w:styleId="Title2">
    <w:name w:val="Title2"/>
    <w:basedOn w:val="Normal"/>
    <w:next w:val="Normal"/>
    <w:rsid w:val="00FF3AE3"/>
    <w:pPr>
      <w:tabs>
        <w:tab w:val="left" w:pos="648"/>
        <w:tab w:val="right" w:pos="7776"/>
        <w:tab w:val="left" w:pos="7848"/>
      </w:tabs>
    </w:pPr>
  </w:style>
  <w:style w:type="paragraph" w:styleId="Header">
    <w:name w:val="header"/>
    <w:basedOn w:val="Normal"/>
    <w:link w:val="HeaderChar"/>
    <w:rsid w:val="00FF3AE3"/>
    <w:pPr>
      <w:tabs>
        <w:tab w:val="center" w:pos="4320"/>
        <w:tab w:val="right" w:pos="8640"/>
      </w:tabs>
    </w:pPr>
  </w:style>
  <w:style w:type="character" w:customStyle="1" w:styleId="HeaderChar">
    <w:name w:val="Header Char"/>
    <w:link w:val="Header"/>
    <w:rsid w:val="00FF3AE3"/>
    <w:rPr>
      <w:rFonts w:ascii="Times New Roman" w:eastAsia="Times New Roman" w:hAnsi="Times New Roman" w:cs="Times New Roman"/>
      <w:kern w:val="0"/>
      <w:szCs w:val="20"/>
      <w:lang w:val="es-PR"/>
    </w:rPr>
  </w:style>
  <w:style w:type="character" w:styleId="PageNumber">
    <w:name w:val="page number"/>
    <w:basedOn w:val="DefaultParagraphFont"/>
    <w:rsid w:val="00FF3AE3"/>
  </w:style>
  <w:style w:type="character" w:styleId="LineNumber">
    <w:name w:val="line number"/>
    <w:basedOn w:val="DefaultParagraphFont"/>
    <w:uiPriority w:val="99"/>
    <w:semiHidden/>
    <w:unhideWhenUsed/>
    <w:rsid w:val="00FF3AE3"/>
  </w:style>
  <w:style w:type="paragraph" w:styleId="Revision">
    <w:name w:val="Revision"/>
    <w:hidden/>
    <w:uiPriority w:val="99"/>
    <w:semiHidden/>
    <w:rsid w:val="009E192C"/>
    <w:rPr>
      <w:rFonts w:ascii="Times New Roman" w:eastAsia="Times New Roman" w:hAnsi="Times New Roman"/>
      <w:sz w:val="24"/>
      <w:lang w:eastAsia="en-US"/>
    </w:rPr>
  </w:style>
  <w:style w:type="paragraph" w:styleId="Footer">
    <w:name w:val="footer"/>
    <w:basedOn w:val="Normal"/>
    <w:link w:val="FooterChar"/>
    <w:uiPriority w:val="99"/>
    <w:unhideWhenUsed/>
    <w:rsid w:val="00102C2E"/>
    <w:pPr>
      <w:tabs>
        <w:tab w:val="center" w:pos="4680"/>
        <w:tab w:val="right" w:pos="9360"/>
      </w:tabs>
    </w:pPr>
  </w:style>
  <w:style w:type="character" w:customStyle="1" w:styleId="FooterChar">
    <w:name w:val="Footer Char"/>
    <w:link w:val="Footer"/>
    <w:uiPriority w:val="99"/>
    <w:rsid w:val="00102C2E"/>
    <w:rPr>
      <w:rFonts w:ascii="Times New Roman" w:eastAsia="Times New Roman" w:hAnsi="Times New Roman"/>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lcf76f155ced4ddcb4097134ff3c332f xmlns="9c17e7af-3bbc-4db8-8428-848df389c3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9ECE22C4-D4CB-46C2-A938-0BB75E0E9DAC}">
  <ds:schemaRefs>
    <ds:schemaRef ds:uri="http://schemas.microsoft.com/sharepoint/v3/contenttype/forms"/>
  </ds:schemaRefs>
</ds:datastoreItem>
</file>

<file path=customXml/itemProps2.xml><?xml version="1.0" encoding="utf-8"?>
<ds:datastoreItem xmlns:ds="http://schemas.openxmlformats.org/officeDocument/2006/customXml" ds:itemID="{BD301E21-2E00-4E21-96BF-2ADA9A4B87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FC2610-7F45-48DC-8CE7-CE89AF5FC825}">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218179FE-FA4C-4F24-92AD-A75B61432529}">
  <ds:schemaRefs>
    <ds:schemaRef ds:uri="http://schemas.openxmlformats.org/officeDocument/2006/bibliography"/>
  </ds:schemaRefs>
</ds:datastoreItem>
</file>

<file path=customXml/itemProps5.xml><?xml version="1.0" encoding="utf-8"?>
<ds:datastoreItem xmlns:ds="http://schemas.openxmlformats.org/officeDocument/2006/customXml" ds:itemID="{29AC7C0A-24AC-4FB6-A8EC-5E08850ECE1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1282</Words>
  <Characters>6756</Characters>
  <Application>Microsoft Office Word</Application>
  <DocSecurity>4</DocSecurity>
  <Lines>124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Carlos Y. Rosado Cruz</cp:lastModifiedBy>
  <cp:revision>2</cp:revision>
  <cp:lastPrinted>2026-04-07T21:02:00Z</cp:lastPrinted>
  <dcterms:created xsi:type="dcterms:W3CDTF">2026-04-08T16:14:00Z</dcterms:created>
  <dcterms:modified xsi:type="dcterms:W3CDTF">2026-04-08T16:14:00Z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4SQX5P7U7WPY-958212181-821486</vt:lpwstr>
  </property>
  <property fmtid="{D5CDD505-2E9C-101B-9397-08002B2CF9AE}" pid="3" name="_dlc_DocIdItemGuid">
    <vt:lpwstr>da10c6d8-ffdb-4798-b0a0-93fc122d3146</vt:lpwstr>
  </property>
  <property fmtid="{D5CDD505-2E9C-101B-9397-08002B2CF9AE}" pid="4" name="_dlc_DocIdUrl">
    <vt:lpwstr>https://senpr.sharepoint.com/sites/obralegislativa/_layouts/15/DocIdRedir.aspx?ID=4SQX5P7U7WPY-958212181-821486, 4SQX5P7U7WPY-958212181-821486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MediaServiceImageTags">
    <vt:lpwstr/>
  </property>
  <property fmtid="{D5CDD505-2E9C-101B-9397-08002B2CF9AE}" pid="8" name="ContentTypeId">
    <vt:lpwstr>0x010100831C0761637D684EABBCE64BDDA1E45F</vt:lpwstr>
  </property>
</Properties>
</file>