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7FC13532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045619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8</w:t>
      </w:r>
      <w:r w:rsidR="001C1DDA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87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55A69807" w:rsidR="00DF7D86" w:rsidRDefault="006B3A1D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21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C1DDA">
        <w:rPr>
          <w:rFonts w:ascii="Book Antiqua" w:eastAsia="Book Antiqua" w:hAnsi="Book Antiqua" w:cs="Book Antiqua"/>
          <w:color w:val="000000" w:themeColor="text1"/>
          <w:lang w:val="es-PR"/>
        </w:rPr>
        <w:t>octu</w:t>
      </w:r>
      <w:r w:rsidR="00045619">
        <w:rPr>
          <w:rFonts w:ascii="Book Antiqua" w:eastAsia="Book Antiqua" w:hAnsi="Book Antiqua" w:cs="Book Antiqua"/>
          <w:color w:val="000000" w:themeColor="text1"/>
          <w:lang w:val="es-PR"/>
        </w:rPr>
        <w:t>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17C1142D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322779"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022E54">
        <w:rPr>
          <w:rFonts w:ascii="Book Antiqua" w:eastAsia="Book Antiqua" w:hAnsi="Book Antiqua" w:cs="Book Antiqua"/>
          <w:color w:val="000000" w:themeColor="text1"/>
          <w:lang w:val="es-PR"/>
        </w:rPr>
        <w:t>87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349EDD07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322779"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6D046A">
        <w:rPr>
          <w:rFonts w:ascii="Book Antiqua" w:eastAsia="Book Antiqua" w:hAnsi="Book Antiqua" w:cs="Book Antiqua"/>
          <w:color w:val="000000" w:themeColor="text1"/>
          <w:lang w:val="es-PR"/>
        </w:rPr>
        <w:t>87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</w:t>
      </w:r>
      <w:r w:rsidR="00403394" w:rsidRPr="00D44216">
        <w:rPr>
          <w:rFonts w:ascii="Book Antiqua" w:eastAsia="MS Mincho" w:hAnsi="Book Antiqua"/>
          <w:lang w:val="es-ES_tradnl"/>
        </w:rPr>
        <w:t xml:space="preserve">la Regla 40.2 de Procedimiento Civil de 2009, según enmendadas, </w:t>
      </w:r>
      <w:r w:rsidR="003934B6">
        <w:rPr>
          <w:rFonts w:ascii="Book Antiqua" w:eastAsia="MS Mincho" w:hAnsi="Book Antiqua"/>
          <w:lang w:val="es-ES_tradnl"/>
        </w:rPr>
        <w:t xml:space="preserve">para </w:t>
      </w:r>
      <w:r w:rsidR="00403394" w:rsidRPr="00D44216">
        <w:rPr>
          <w:rFonts w:ascii="Book Antiqua" w:eastAsia="MS Mincho" w:hAnsi="Book Antiqua"/>
          <w:lang w:val="es-ES_tradnl"/>
        </w:rPr>
        <w:t>establecer que toda citación expedida</w:t>
      </w:r>
      <w:r w:rsidR="005F0342">
        <w:rPr>
          <w:rFonts w:ascii="Book Antiqua" w:eastAsia="MS Mincho" w:hAnsi="Book Antiqua"/>
          <w:lang w:val="es-ES_tradnl"/>
        </w:rPr>
        <w:t xml:space="preserve"> </w:t>
      </w:r>
      <w:r w:rsidR="00403394" w:rsidRPr="006139B4">
        <w:rPr>
          <w:rFonts w:ascii="Book Antiqua" w:hAnsi="Book Antiqua"/>
          <w:bCs/>
          <w:szCs w:val="24"/>
          <w:lang w:val="es-PR"/>
        </w:rPr>
        <w:t>a los fines de requerir la producción de documentos</w:t>
      </w:r>
      <w:r w:rsidR="005F0342">
        <w:rPr>
          <w:rFonts w:ascii="Book Antiqua" w:hAnsi="Book Antiqua"/>
          <w:bCs/>
          <w:szCs w:val="24"/>
          <w:lang w:val="es-PR"/>
        </w:rPr>
        <w:t>,</w:t>
      </w:r>
      <w:r w:rsidR="00403394" w:rsidRPr="006139B4">
        <w:rPr>
          <w:rFonts w:ascii="Book Antiqua" w:hAnsi="Book Antiqua"/>
          <w:bCs/>
          <w:szCs w:val="24"/>
          <w:lang w:val="es-PR"/>
        </w:rPr>
        <w:t xml:space="preserve"> información almacenada electrónicamente</w:t>
      </w:r>
      <w:r w:rsidR="005F0342">
        <w:rPr>
          <w:rFonts w:ascii="Book Antiqua" w:hAnsi="Book Antiqua"/>
          <w:bCs/>
          <w:szCs w:val="24"/>
          <w:lang w:val="es-PR"/>
        </w:rPr>
        <w:t>,</w:t>
      </w:r>
      <w:r w:rsidR="00403394" w:rsidRPr="006139B4">
        <w:rPr>
          <w:rFonts w:ascii="Book Antiqua" w:hAnsi="Book Antiqua"/>
          <w:bCs/>
          <w:szCs w:val="24"/>
          <w:lang w:val="es-PR"/>
        </w:rPr>
        <w:t xml:space="preserve"> objetos tangibles</w:t>
      </w:r>
      <w:r w:rsidR="005F0342">
        <w:rPr>
          <w:rFonts w:ascii="Book Antiqua" w:hAnsi="Book Antiqua"/>
          <w:bCs/>
          <w:szCs w:val="24"/>
          <w:lang w:val="es-PR"/>
        </w:rPr>
        <w:t>,</w:t>
      </w:r>
      <w:r w:rsidR="00403394" w:rsidRPr="006139B4">
        <w:rPr>
          <w:rFonts w:ascii="Book Antiqua" w:hAnsi="Book Antiqua"/>
          <w:bCs/>
          <w:szCs w:val="24"/>
          <w:lang w:val="es-PR"/>
        </w:rPr>
        <w:t xml:space="preserve"> o la inspección de predios</w:t>
      </w:r>
      <w:r w:rsidR="00403394" w:rsidRPr="00D44216">
        <w:rPr>
          <w:rFonts w:ascii="Book Antiqua" w:eastAsia="MS Mincho" w:hAnsi="Book Antiqua"/>
          <w:lang w:val="es-ES_tradnl"/>
        </w:rPr>
        <w:t>, deberá ser notificada a las demás partes en el pleito, previo a ser diligenciada</w:t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4595A8FA" w14:textId="4DC06CF9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0E3CE5AF" w14:textId="7F6CB508" w:rsidR="005F0D61" w:rsidRDefault="00C47888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las </w:t>
      </w:r>
      <w:r w:rsidR="008B71AF" w:rsidRPr="00604809">
        <w:rPr>
          <w:rFonts w:ascii="Book Antiqua" w:hAnsi="Book Antiqua"/>
          <w:szCs w:val="24"/>
          <w:lang w:val="es-PR"/>
        </w:rPr>
        <w:t>Reglas de Procedimiento Civil de 2009</w:t>
      </w:r>
      <w:r w:rsidR="008B71AF">
        <w:rPr>
          <w:rFonts w:ascii="Book Antiqua" w:hAnsi="Book Antiqua"/>
          <w:szCs w:val="24"/>
          <w:lang w:val="es-PR"/>
        </w:rPr>
        <w:t xml:space="preserve">, se eliminó </w:t>
      </w:r>
      <w:r w:rsidRPr="00C47888">
        <w:rPr>
          <w:rFonts w:ascii="Book Antiqua" w:eastAsia="Book Antiqua" w:hAnsi="Book Antiqua" w:cs="Book Antiqua"/>
          <w:color w:val="000000" w:themeColor="text1"/>
          <w:lang w:val="es-PR"/>
        </w:rPr>
        <w:t xml:space="preserve">la facultad exclusiva </w:t>
      </w:r>
      <w:r w:rsidR="00A129FC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Pr="00C47888">
        <w:rPr>
          <w:rFonts w:ascii="Book Antiqua" w:eastAsia="Book Antiqua" w:hAnsi="Book Antiqua" w:cs="Book Antiqua"/>
          <w:color w:val="000000" w:themeColor="text1"/>
          <w:lang w:val="es-PR"/>
        </w:rPr>
        <w:t xml:space="preserve">los secretarios del tribunal </w:t>
      </w:r>
      <w:r w:rsidR="008B71AF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Pr="00C47888">
        <w:rPr>
          <w:rFonts w:ascii="Book Antiqua" w:eastAsia="Book Antiqua" w:hAnsi="Book Antiqua" w:cs="Book Antiqua"/>
          <w:color w:val="000000" w:themeColor="text1"/>
          <w:lang w:val="es-PR"/>
        </w:rPr>
        <w:t>expedi</w:t>
      </w:r>
      <w:r w:rsidR="008B71AF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Pr="00C47888">
        <w:rPr>
          <w:rFonts w:ascii="Book Antiqua" w:eastAsia="Book Antiqua" w:hAnsi="Book Antiqua" w:cs="Book Antiqua"/>
          <w:color w:val="000000" w:themeColor="text1"/>
          <w:lang w:val="es-PR"/>
        </w:rPr>
        <w:t xml:space="preserve"> citaciones.</w:t>
      </w:r>
      <w:r w:rsidR="009553B7">
        <w:rPr>
          <w:rFonts w:ascii="Book Antiqua" w:eastAsia="Book Antiqua" w:hAnsi="Book Antiqua" w:cs="Book Antiqua"/>
          <w:color w:val="000000" w:themeColor="text1"/>
          <w:lang w:val="es-PR"/>
        </w:rPr>
        <w:t xml:space="preserve"> L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a Regla 40.2 facultó a los abogados </w:t>
      </w:r>
      <w:r w:rsidR="00A53701">
        <w:rPr>
          <w:rFonts w:ascii="Book Antiqua" w:eastAsia="Book Antiqua" w:hAnsi="Book Antiqua" w:cs="Book Antiqua"/>
          <w:color w:val="000000" w:themeColor="text1"/>
          <w:lang w:val="es-PR"/>
        </w:rPr>
        <w:t xml:space="preserve">en pleitos 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a expedir citaciones para requerir la comparecencia de terceros y la producción de documentos en manos de estos, sin la intervención del </w:t>
      </w:r>
      <w:r w:rsidR="001778DE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ribunal. De este modo, se incorporó en </w:t>
      </w:r>
      <w:r w:rsidR="00373C1C">
        <w:rPr>
          <w:rFonts w:ascii="Book Antiqua" w:eastAsia="Book Antiqua" w:hAnsi="Book Antiqua" w:cs="Book Antiqua"/>
          <w:color w:val="000000" w:themeColor="text1"/>
          <w:lang w:val="es-PR"/>
        </w:rPr>
        <w:t xml:space="preserve">Puerto Rico 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la práctica </w:t>
      </w:r>
      <w:r w:rsidR="003C6019">
        <w:rPr>
          <w:rFonts w:ascii="Book Antiqua" w:eastAsia="Book Antiqua" w:hAnsi="Book Antiqua" w:cs="Book Antiqua"/>
          <w:color w:val="000000" w:themeColor="text1"/>
          <w:lang w:val="es-PR"/>
        </w:rPr>
        <w:t>que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 los tribunales federales de distrito</w:t>
      </w:r>
      <w:r w:rsidR="003C6019">
        <w:rPr>
          <w:rFonts w:ascii="Book Antiqua" w:eastAsia="Book Antiqua" w:hAnsi="Book Antiqua" w:cs="Book Antiqua"/>
          <w:color w:val="000000" w:themeColor="text1"/>
          <w:lang w:val="es-PR"/>
        </w:rPr>
        <w:t xml:space="preserve"> adoptaron</w:t>
      </w:r>
      <w:r w:rsidR="000308FB" w:rsidRPr="000308FB">
        <w:rPr>
          <w:rFonts w:ascii="Book Antiqua" w:eastAsia="Book Antiqua" w:hAnsi="Book Antiqua" w:cs="Book Antiqua"/>
          <w:color w:val="000000" w:themeColor="text1"/>
          <w:lang w:val="es-PR"/>
        </w:rPr>
        <w:t xml:space="preserve"> desde el 1991.</w:t>
      </w:r>
    </w:p>
    <w:p w14:paraId="4004CA95" w14:textId="77777777" w:rsidR="005F0D61" w:rsidRDefault="005F0D61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0080BBC" w14:textId="0D89AF39" w:rsidR="005F0D61" w:rsidRDefault="00AF4EB3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L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>a Regla 45 de Procedimiento Civil Federal requiere que una citación expedida</w:t>
      </w:r>
      <w:r w:rsidR="009D703D">
        <w:rPr>
          <w:rFonts w:ascii="Book Antiqua" w:eastAsia="Book Antiqua" w:hAnsi="Book Antiqua" w:cs="Book Antiqua"/>
          <w:color w:val="000000" w:themeColor="text1"/>
          <w:lang w:val="es-PR"/>
        </w:rPr>
        <w:t xml:space="preserve"> se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1D5B" w:rsidRPr="00AF4EB3">
        <w:rPr>
          <w:rFonts w:ascii="Book Antiqua" w:eastAsia="Book Antiqua" w:hAnsi="Book Antiqua" w:cs="Book Antiqua"/>
          <w:color w:val="000000" w:themeColor="text1"/>
          <w:lang w:val="es-PR"/>
        </w:rPr>
        <w:t>les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D703D">
        <w:rPr>
          <w:rFonts w:ascii="Book Antiqua" w:eastAsia="Book Antiqua" w:hAnsi="Book Antiqua" w:cs="Book Antiqua"/>
          <w:color w:val="000000" w:themeColor="text1"/>
          <w:lang w:val="es-PR"/>
        </w:rPr>
        <w:t xml:space="preserve">notifique 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>a las demás partes en el pleito previo a ser diligenciada</w:t>
      </w:r>
      <w:r w:rsidR="001F1D5B">
        <w:rPr>
          <w:rFonts w:ascii="Book Antiqua" w:eastAsia="Book Antiqua" w:hAnsi="Book Antiqua" w:cs="Book Antiqua"/>
          <w:color w:val="000000" w:themeColor="text1"/>
          <w:lang w:val="es-PR"/>
        </w:rPr>
        <w:t>. Esto,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 xml:space="preserve"> en aquellos casos </w:t>
      </w:r>
      <w:r w:rsidR="009D703D">
        <w:rPr>
          <w:rFonts w:ascii="Book Antiqua" w:eastAsia="Book Antiqua" w:hAnsi="Book Antiqua" w:cs="Book Antiqua"/>
          <w:color w:val="000000" w:themeColor="text1"/>
          <w:lang w:val="es-PR"/>
        </w:rPr>
        <w:t xml:space="preserve">en los que 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>se requiera la producción de documentos, información almacenada electrónicamente u objetos tangibles, o la inspección de predios. Las reglas de procedimiento civil locales no incluyen tal requisito</w:t>
      </w:r>
      <w:r w:rsidR="001F1D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1D5B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Pr="00AF4EB3">
        <w:rPr>
          <w:rFonts w:ascii="Book Antiqua" w:eastAsia="Book Antiqua" w:hAnsi="Book Antiqua" w:cs="Book Antiqua"/>
          <w:color w:val="000000" w:themeColor="text1"/>
          <w:lang w:val="es-PR"/>
        </w:rPr>
        <w:t>i siquiera requieren que se les notifique a las demás partes de cualquier información o documentos obtenidos de un tercero a través de una citación</w:t>
      </w:r>
    </w:p>
    <w:p w14:paraId="71D1C9FA" w14:textId="33611C04" w:rsidR="00DB27AB" w:rsidRDefault="00312AB3" w:rsidP="00215A6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 xml:space="preserve">a facultad de expedir citaciones es un arma poderosa en un litigio. </w:t>
      </w:r>
      <w:r w:rsidR="003C2DE8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 xml:space="preserve">e utilizan citaciones para obtener documentos o información que se encuentran en posesión o bajo la custodia de un tercero, quien no conoce los asuntos en controversia en el caso. </w:t>
      </w:r>
      <w:r w:rsidR="000B73D0">
        <w:rPr>
          <w:rFonts w:ascii="Book Antiqua" w:eastAsia="Book Antiqua" w:hAnsi="Book Antiqua" w:cs="Book Antiqua"/>
          <w:color w:val="000000" w:themeColor="text1"/>
          <w:lang w:val="es-PR"/>
        </w:rPr>
        <w:t xml:space="preserve">Alguna parte 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 xml:space="preserve">se pudiera </w:t>
      </w:r>
      <w:r w:rsidR="000B73D0">
        <w:rPr>
          <w:rFonts w:ascii="Book Antiqua" w:eastAsia="Book Antiqua" w:hAnsi="Book Antiqua" w:cs="Book Antiqua"/>
          <w:color w:val="000000" w:themeColor="text1"/>
          <w:lang w:val="es-PR"/>
        </w:rPr>
        <w:t xml:space="preserve">afectar 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>por la divulgación de su información, a raíz de una citación diligenciada a un tercero</w:t>
      </w:r>
      <w:r w:rsidR="00497491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 xml:space="preserve"> al no poder acudir en auxilio al </w:t>
      </w:r>
      <w:r w:rsidR="003C2DE8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Pr="00312AB3">
        <w:rPr>
          <w:rFonts w:ascii="Book Antiqua" w:eastAsia="Book Antiqua" w:hAnsi="Book Antiqua" w:cs="Book Antiqua"/>
          <w:color w:val="000000" w:themeColor="text1"/>
          <w:lang w:val="es-PR"/>
        </w:rPr>
        <w:t xml:space="preserve">ribunal antes de que se cumpla con la citación. </w:t>
      </w:r>
    </w:p>
    <w:p w14:paraId="6F80DE70" w14:textId="26FF2A0D" w:rsidR="001F1D5B" w:rsidRDefault="00664692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A continuación, se resumen los memoriales que se recibieron en la pasada Asamblea Legislativa para el P. de la C. 1652 —muy similar al P. de la C. 887.</w:t>
      </w:r>
    </w:p>
    <w:p w14:paraId="15DDF21C" w14:textId="53105820" w:rsidR="002B678B" w:rsidRPr="00EA648B" w:rsidRDefault="00EA648B" w:rsidP="0053079A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Servicios Legislativos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(OSL) hizo un recuento histórico de las </w:t>
      </w:r>
      <w:r w:rsidR="00540692">
        <w:rPr>
          <w:rFonts w:ascii="Book Antiqua" w:eastAsia="Book Antiqua" w:hAnsi="Book Antiqua" w:cs="Book Antiqua"/>
          <w:color w:val="000000" w:themeColor="text1"/>
          <w:lang w:val="es-PR"/>
        </w:rPr>
        <w:t xml:space="preserve">Reglas de Procedimiento Civil de 2009. </w:t>
      </w:r>
      <w:r w:rsidR="00C34538">
        <w:rPr>
          <w:rFonts w:ascii="Book Antiqua" w:eastAsia="Book Antiqua" w:hAnsi="Book Antiqua" w:cs="Book Antiqua"/>
          <w:color w:val="000000" w:themeColor="text1"/>
          <w:lang w:val="es-PR"/>
        </w:rPr>
        <w:t>No fue hasta diciembre de 2013 que se enmendó</w:t>
      </w:r>
      <w:r w:rsidR="0087444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Regla 45 de Procedimiento Civil Federal para incluir </w:t>
      </w:r>
      <w:r w:rsidR="00954BFD">
        <w:rPr>
          <w:rFonts w:ascii="Book Antiqua" w:eastAsia="Book Antiqua" w:hAnsi="Book Antiqua" w:cs="Book Antiqua"/>
          <w:color w:val="000000" w:themeColor="text1"/>
          <w:lang w:val="es-PR"/>
        </w:rPr>
        <w:t>lo que se quiere hacer en esta medida</w:t>
      </w:r>
      <w:r w:rsidR="00D1693C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la Regla 40.2 </w:t>
      </w:r>
      <w:r w:rsidR="00F902A0">
        <w:rPr>
          <w:rFonts w:ascii="Book Antiqua" w:eastAsia="Book Antiqua" w:hAnsi="Book Antiqua" w:cs="Book Antiqua"/>
          <w:color w:val="000000" w:themeColor="text1"/>
          <w:lang w:val="es-PR"/>
        </w:rPr>
        <w:t>de Procedimiento Civil de 2009</w:t>
      </w:r>
      <w:r w:rsidR="00F3008F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D0435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tal razón, </w:t>
      </w:r>
      <w:r w:rsidR="00F9605A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4D0435">
        <w:rPr>
          <w:rFonts w:ascii="Book Antiqua" w:eastAsia="Book Antiqua" w:hAnsi="Book Antiqua" w:cs="Book Antiqua"/>
          <w:color w:val="000000" w:themeColor="text1"/>
          <w:lang w:val="es-PR"/>
        </w:rPr>
        <w:t xml:space="preserve">el proceso para aprobar nuestras reglas no </w:t>
      </w:r>
      <w:r w:rsidR="00F9605A"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 w:rsidR="004D0435">
        <w:rPr>
          <w:rFonts w:ascii="Book Antiqua" w:eastAsia="Book Antiqua" w:hAnsi="Book Antiqua" w:cs="Book Antiqua"/>
          <w:color w:val="000000" w:themeColor="text1"/>
          <w:lang w:val="es-PR"/>
        </w:rPr>
        <w:t>contempló la posterior enmienda federal.</w:t>
      </w:r>
    </w:p>
    <w:p w14:paraId="4AA8ED05" w14:textId="633C282B" w:rsidR="0053079A" w:rsidRPr="0052057E" w:rsidRDefault="0052057E" w:rsidP="0053079A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Servicios Legales de Puerto Rico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(SLPR) </w:t>
      </w:r>
      <w:r w:rsidR="007F66FC">
        <w:rPr>
          <w:rFonts w:ascii="Book Antiqua" w:eastAsia="Book Antiqua" w:hAnsi="Book Antiqua" w:cs="Book Antiqua"/>
          <w:color w:val="000000" w:themeColor="text1"/>
          <w:lang w:val="es-PR"/>
        </w:rPr>
        <w:t>mencionó que el Sistema Unificado de Manejo de Casos (SUMAC) del Poder Judicial</w:t>
      </w:r>
      <w:r w:rsidR="00343D03">
        <w:rPr>
          <w:rFonts w:ascii="Book Antiqua" w:eastAsia="Book Antiqua" w:hAnsi="Book Antiqua" w:cs="Book Antiqua"/>
          <w:color w:val="000000" w:themeColor="text1"/>
          <w:lang w:val="es-PR"/>
        </w:rPr>
        <w:t xml:space="preserve">, notifica automáticamente las citaciones </w:t>
      </w:r>
      <w:r w:rsidR="00C7188A">
        <w:rPr>
          <w:rFonts w:ascii="Book Antiqua" w:eastAsia="Book Antiqua" w:hAnsi="Book Antiqua" w:cs="Book Antiqua"/>
          <w:color w:val="000000" w:themeColor="text1"/>
          <w:lang w:val="es-PR"/>
        </w:rPr>
        <w:t xml:space="preserve">expedidas a </w:t>
      </w:r>
      <w:r w:rsidR="0053079A">
        <w:rPr>
          <w:rFonts w:ascii="Book Antiqua" w:eastAsia="Book Antiqua" w:hAnsi="Book Antiqua" w:cs="Book Antiqua"/>
          <w:color w:val="000000" w:themeColor="text1"/>
          <w:lang w:val="es-PR"/>
        </w:rPr>
        <w:t xml:space="preserve">las personas que proveen un correo electrónico. </w:t>
      </w:r>
      <w:r w:rsidR="0052072F">
        <w:rPr>
          <w:rFonts w:ascii="Book Antiqua" w:eastAsia="Book Antiqua" w:hAnsi="Book Antiqua" w:cs="Book Antiqua"/>
          <w:color w:val="000000" w:themeColor="text1"/>
          <w:lang w:val="es-PR"/>
        </w:rPr>
        <w:t>En casos con expedientes físicos</w:t>
      </w:r>
      <w:r w:rsidR="009D6C12">
        <w:rPr>
          <w:rFonts w:ascii="Book Antiqua" w:eastAsia="Book Antiqua" w:hAnsi="Book Antiqua" w:cs="Book Antiqua"/>
          <w:color w:val="000000" w:themeColor="text1"/>
          <w:lang w:val="es-PR"/>
        </w:rPr>
        <w:t xml:space="preserve"> —antes de que entrara en vigor SUMAC— el tribunal</w:t>
      </w:r>
      <w:r w:rsidR="00782BBD">
        <w:rPr>
          <w:rFonts w:ascii="Book Antiqua" w:eastAsia="Book Antiqua" w:hAnsi="Book Antiqua" w:cs="Book Antiqua"/>
          <w:color w:val="000000" w:themeColor="text1"/>
          <w:lang w:val="es-PR"/>
        </w:rPr>
        <w:t xml:space="preserve"> también</w:t>
      </w:r>
      <w:r w:rsidR="009D6C12">
        <w:rPr>
          <w:rFonts w:ascii="Book Antiqua" w:eastAsia="Book Antiqua" w:hAnsi="Book Antiqua" w:cs="Book Antiqua"/>
          <w:color w:val="000000" w:themeColor="text1"/>
          <w:lang w:val="es-PR"/>
        </w:rPr>
        <w:t xml:space="preserve"> notifica las citaciones por correo electrónico</w:t>
      </w:r>
      <w:r w:rsidR="00782BBD">
        <w:rPr>
          <w:rFonts w:ascii="Book Antiqua" w:eastAsia="Book Antiqua" w:hAnsi="Book Antiqua" w:cs="Book Antiqua"/>
          <w:color w:val="000000" w:themeColor="text1"/>
          <w:lang w:val="es-PR"/>
        </w:rPr>
        <w:t>. Lo hace</w:t>
      </w:r>
      <w:r w:rsidR="009D6C12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correo regular </w:t>
      </w:r>
      <w:r w:rsidR="00782BBD">
        <w:rPr>
          <w:rFonts w:ascii="Book Antiqua" w:eastAsia="Book Antiqua" w:hAnsi="Book Antiqua" w:cs="Book Antiqua"/>
          <w:color w:val="000000" w:themeColor="text1"/>
          <w:lang w:val="es-PR"/>
        </w:rPr>
        <w:t>cuando la parte comparec</w:t>
      </w:r>
      <w:r w:rsidR="00CA72F0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782BBD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derecho propio </w:t>
      </w:r>
      <w:r w:rsidR="00CA72F0">
        <w:rPr>
          <w:rFonts w:ascii="Book Antiqua" w:eastAsia="Book Antiqua" w:hAnsi="Book Antiqua" w:cs="Book Antiqua"/>
          <w:color w:val="000000" w:themeColor="text1"/>
          <w:lang w:val="es-PR"/>
        </w:rPr>
        <w:t>y no prove</w:t>
      </w:r>
      <w:r w:rsidR="00F71DC2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CA72F0">
        <w:rPr>
          <w:rFonts w:ascii="Book Antiqua" w:eastAsia="Book Antiqua" w:hAnsi="Book Antiqua" w:cs="Book Antiqua"/>
          <w:color w:val="000000" w:themeColor="text1"/>
          <w:lang w:val="es-PR"/>
        </w:rPr>
        <w:t xml:space="preserve"> correo electrónico.</w:t>
      </w:r>
      <w:r w:rsidR="00782BB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9F704F0" w14:textId="77777777" w:rsidR="004E516D" w:rsidRDefault="000632A5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SLPR, lo que busca esta medida </w:t>
      </w:r>
      <w:r w:rsidR="004D6DBF">
        <w:rPr>
          <w:rFonts w:ascii="Book Antiqua" w:eastAsia="Book Antiqua" w:hAnsi="Book Antiqua" w:cs="Book Antiqua"/>
          <w:color w:val="000000" w:themeColor="text1"/>
          <w:lang w:val="es-PR"/>
        </w:rPr>
        <w:t xml:space="preserve">es </w:t>
      </w:r>
      <w:r w:rsidR="0077152E">
        <w:rPr>
          <w:rFonts w:ascii="Book Antiqua" w:eastAsia="Book Antiqua" w:hAnsi="Book Antiqua" w:cs="Book Antiqua"/>
          <w:color w:val="000000" w:themeColor="text1"/>
          <w:lang w:val="es-PR"/>
        </w:rPr>
        <w:t>imponerles</w:t>
      </w:r>
      <w:r w:rsidR="004D6DB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51A0B">
        <w:rPr>
          <w:rFonts w:ascii="Book Antiqua" w:eastAsia="Book Antiqua" w:hAnsi="Book Antiqua" w:cs="Book Antiqua"/>
          <w:color w:val="000000" w:themeColor="text1"/>
          <w:lang w:val="es-PR"/>
        </w:rPr>
        <w:t xml:space="preserve">a los abogados </w:t>
      </w:r>
      <w:r w:rsidR="004D6DBF">
        <w:rPr>
          <w:rFonts w:ascii="Book Antiqua" w:eastAsia="Book Antiqua" w:hAnsi="Book Antiqua" w:cs="Book Antiqua"/>
          <w:color w:val="000000" w:themeColor="text1"/>
          <w:lang w:val="es-PR"/>
        </w:rPr>
        <w:t>el deber de notifica</w:t>
      </w:r>
      <w:r w:rsidR="00851A0B">
        <w:rPr>
          <w:rFonts w:ascii="Book Antiqua" w:eastAsia="Book Antiqua" w:hAnsi="Book Antiqua" w:cs="Book Antiqua"/>
          <w:color w:val="000000" w:themeColor="text1"/>
          <w:lang w:val="es-PR"/>
        </w:rPr>
        <w:t xml:space="preserve">r las citaciones expedidas independientemente de si el caso tiene expediente físico o digital en SUMAC. </w:t>
      </w:r>
      <w:r w:rsidR="00D87777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la SLPR, apoya </w:t>
      </w:r>
      <w:r w:rsidR="0077152E">
        <w:rPr>
          <w:rFonts w:ascii="Book Antiqua" w:eastAsia="Book Antiqua" w:hAnsi="Book Antiqua" w:cs="Book Antiqua"/>
          <w:color w:val="000000" w:themeColor="text1"/>
          <w:lang w:val="es-PR"/>
        </w:rPr>
        <w:t xml:space="preserve">toda enmienda a las Reglas de Procedimiento Civil cuyo propósito sea </w:t>
      </w:r>
      <w:r w:rsidR="004E516D">
        <w:rPr>
          <w:rFonts w:ascii="Book Antiqua" w:eastAsia="Book Antiqua" w:hAnsi="Book Antiqua" w:cs="Book Antiqua"/>
          <w:color w:val="000000" w:themeColor="text1"/>
          <w:lang w:val="es-PR"/>
        </w:rPr>
        <w:t>ofrecer mas transparencia y justicia a los procesos judiciales.</w:t>
      </w:r>
    </w:p>
    <w:p w14:paraId="57897514" w14:textId="77777777" w:rsidR="008F7269" w:rsidRDefault="008F7269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BCC6A2D" w14:textId="77777777" w:rsidR="008F7269" w:rsidRDefault="008F7269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0DEEE70" w14:textId="77777777" w:rsidR="008F7269" w:rsidRDefault="008F7269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BA11444" w14:textId="5127C7D6" w:rsidR="003A47D4" w:rsidRDefault="003A47D4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Administración de los Tribunales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(OAT) </w:t>
      </w:r>
      <w:r w:rsidR="00507C1A">
        <w:rPr>
          <w:rFonts w:ascii="Book Antiqua" w:eastAsia="Book Antiqua" w:hAnsi="Book Antiqua" w:cs="Book Antiqua"/>
          <w:color w:val="000000" w:themeColor="text1"/>
          <w:lang w:val="es-PR"/>
        </w:rPr>
        <w:t xml:space="preserve">sugirió que se adopte </w:t>
      </w:r>
      <w:r w:rsidR="00C15735">
        <w:rPr>
          <w:rFonts w:ascii="Book Antiqua" w:eastAsia="Book Antiqua" w:hAnsi="Book Antiqua" w:cs="Book Antiqua"/>
          <w:color w:val="000000" w:themeColor="text1"/>
          <w:lang w:val="es-PR"/>
        </w:rPr>
        <w:t xml:space="preserve">una </w:t>
      </w:r>
      <w:r w:rsidR="006C3970">
        <w:rPr>
          <w:rFonts w:ascii="Book Antiqua" w:eastAsia="Book Antiqua" w:hAnsi="Book Antiqua" w:cs="Book Antiqua"/>
          <w:color w:val="000000" w:themeColor="text1"/>
          <w:lang w:val="es-PR"/>
        </w:rPr>
        <w:t>disposición similar a la Regla 45(a)(4)</w:t>
      </w:r>
      <w:r w:rsidR="00FA7393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Procedimiento Civil Federal </w:t>
      </w:r>
      <w:r w:rsidR="00FF1DB1">
        <w:rPr>
          <w:rFonts w:ascii="Book Antiqua" w:eastAsia="Book Antiqua" w:hAnsi="Book Antiqua" w:cs="Book Antiqua"/>
          <w:color w:val="000000" w:themeColor="text1"/>
          <w:lang w:val="es-PR"/>
        </w:rPr>
        <w:t>para que se exija la notificación de la citación antes de su diligenciamiento</w:t>
      </w:r>
      <w:r w:rsidR="009246DD">
        <w:rPr>
          <w:rFonts w:ascii="Book Antiqua" w:eastAsia="Book Antiqua" w:hAnsi="Book Antiqua" w:cs="Book Antiqua"/>
          <w:color w:val="000000" w:themeColor="text1"/>
          <w:lang w:val="es-PR"/>
        </w:rPr>
        <w:t xml:space="preserve">. Esto, cuando se requiera la entrega de documentos, información electrónica, o inspección de predios o propiedad. </w:t>
      </w:r>
      <w:r w:rsidR="006569DA">
        <w:rPr>
          <w:rFonts w:ascii="Book Antiqua" w:eastAsia="Book Antiqua" w:hAnsi="Book Antiqua" w:cs="Book Antiqua"/>
          <w:color w:val="000000" w:themeColor="text1"/>
          <w:lang w:val="es-PR"/>
        </w:rPr>
        <w:t xml:space="preserve">La OAT también </w:t>
      </w:r>
      <w:r w:rsidR="00F44038">
        <w:rPr>
          <w:rFonts w:ascii="Book Antiqua" w:eastAsia="Book Antiqua" w:hAnsi="Book Antiqua" w:cs="Book Antiqua"/>
          <w:color w:val="000000" w:themeColor="text1"/>
          <w:lang w:val="es-PR"/>
        </w:rPr>
        <w:t>propuso que se aclare el deber de los abogados de notificar las citaciones expedidas a las demás partes del pleito.</w:t>
      </w:r>
      <w:r w:rsidR="009C1DB2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F00AD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6DC6435B" w14:textId="583A57D9" w:rsidR="00121132" w:rsidRPr="003A47D4" w:rsidRDefault="00882690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P. de la C. 887 contiene las referidas sugerencias de la OAT según adoptadas por el </w:t>
      </w:r>
      <w:r w:rsidR="00121132">
        <w:rPr>
          <w:rFonts w:ascii="Book Antiqua" w:eastAsia="Book Antiqua" w:hAnsi="Book Antiqua" w:cs="Book Antiqua"/>
          <w:color w:val="000000" w:themeColor="text1"/>
          <w:lang w:val="es-PR"/>
        </w:rPr>
        <w:t xml:space="preserve">Senado de Puerto Rico </w:t>
      </w:r>
      <w:r w:rsidR="00E87BB8">
        <w:rPr>
          <w:rFonts w:ascii="Book Antiqua" w:eastAsia="Book Antiqua" w:hAnsi="Book Antiqua" w:cs="Book Antiqua"/>
          <w:color w:val="000000" w:themeColor="text1"/>
          <w:lang w:val="es-PR"/>
        </w:rPr>
        <w:t xml:space="preserve">en el </w:t>
      </w:r>
      <w:proofErr w:type="spellStart"/>
      <w:r w:rsidR="00E87BB8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E87BB8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</w:t>
      </w:r>
      <w:r w:rsidR="008949F6">
        <w:rPr>
          <w:rFonts w:ascii="Book Antiqua" w:eastAsia="Book Antiqua" w:hAnsi="Book Antiqua" w:cs="Book Antiqua"/>
          <w:color w:val="000000" w:themeColor="text1"/>
          <w:lang w:val="es-PR"/>
        </w:rPr>
        <w:t xml:space="preserve">se aprobó junto al informe del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1652. </w:t>
      </w:r>
    </w:p>
    <w:p w14:paraId="528F8908" w14:textId="40009F8D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3BE57315" w14:textId="57FC4EAA" w:rsidR="004512E8" w:rsidRPr="001711E6" w:rsidRDefault="00D4152C" w:rsidP="005F0450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Luego de e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valua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los comentarios</w:t>
      </w:r>
      <w:r w:rsidR="0003240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reseñados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esta Comisión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03240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entiende que </w:t>
      </w:r>
      <w:r w:rsidR="00413B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medida </w:t>
      </w:r>
      <w:r w:rsidR="0003240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 un paso necesario </w:t>
      </w:r>
      <w:r w:rsidR="00E30D8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la etapa del descubrimiento </w:t>
      </w:r>
      <w:r w:rsidR="009E596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 prueba </w:t>
      </w:r>
      <w:r w:rsidR="005F045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 pleitos civiles.</w:t>
      </w:r>
      <w:r w:rsidR="003E46F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Así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</w:t>
      </w:r>
      <w:r w:rsidR="00A81C5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esta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Comisión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 aprobación del P. de la C. </w:t>
      </w:r>
      <w:r w:rsidR="00A3163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</w:t>
      </w:r>
      <w:r w:rsidR="006D046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87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F0AAE51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413B7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967F2" w14:textId="77777777" w:rsidR="0069397F" w:rsidRDefault="0069397F">
      <w:r>
        <w:separator/>
      </w:r>
    </w:p>
  </w:endnote>
  <w:endnote w:type="continuationSeparator" w:id="0">
    <w:p w14:paraId="4DEDA553" w14:textId="77777777" w:rsidR="0069397F" w:rsidRDefault="00693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09733" w14:textId="77777777" w:rsidR="0069397F" w:rsidRDefault="0069397F">
      <w:r>
        <w:separator/>
      </w:r>
    </w:p>
  </w:footnote>
  <w:footnote w:type="continuationSeparator" w:id="0">
    <w:p w14:paraId="4E067D06" w14:textId="77777777" w:rsidR="0069397F" w:rsidRDefault="0069397F">
      <w:r>
        <w:continuationSeparator/>
      </w:r>
    </w:p>
  </w:footnote>
  <w:footnote w:id="1">
    <w:p w14:paraId="7E2A37B4" w14:textId="0836EBC0" w:rsidR="009C1DB2" w:rsidRPr="002B678B" w:rsidRDefault="009C1DB2">
      <w:pPr>
        <w:pStyle w:val="FootnoteText"/>
        <w:rPr>
          <w:rFonts w:ascii="Book Antiqua" w:hAnsi="Book Antiqua"/>
        </w:rPr>
      </w:pPr>
      <w:r w:rsidRPr="002B678B">
        <w:rPr>
          <w:rStyle w:val="FootnoteReference"/>
          <w:rFonts w:ascii="Book Antiqua" w:hAnsi="Book Antiqua"/>
        </w:rPr>
        <w:footnoteRef/>
      </w:r>
      <w:r w:rsidRPr="002B678B">
        <w:rPr>
          <w:rFonts w:ascii="Book Antiqua" w:hAnsi="Book Antiqua"/>
        </w:rPr>
        <w:t xml:space="preserve"> La OAT </w:t>
      </w:r>
      <w:r w:rsidR="00F8336E" w:rsidRPr="002B678B">
        <w:rPr>
          <w:rFonts w:ascii="Book Antiqua" w:hAnsi="Book Antiqua"/>
        </w:rPr>
        <w:t xml:space="preserve">señaló que la medida podría encarecer los costos de litigación al requerir mas notificaciones. </w:t>
      </w:r>
      <w:r w:rsidR="002206BF" w:rsidRPr="002B678B">
        <w:rPr>
          <w:rFonts w:ascii="Book Antiqua" w:hAnsi="Book Antiqua"/>
        </w:rPr>
        <w:t>Este es un asunto que se debe balancear con las garantías consti</w:t>
      </w:r>
      <w:r w:rsidR="00AA7927" w:rsidRPr="002B678B">
        <w:rPr>
          <w:rFonts w:ascii="Book Antiqua" w:hAnsi="Book Antiqua"/>
        </w:rPr>
        <w:t>tu</w:t>
      </w:r>
      <w:r w:rsidR="002206BF" w:rsidRPr="002B678B">
        <w:rPr>
          <w:rFonts w:ascii="Book Antiqua" w:hAnsi="Book Antiqua"/>
        </w:rPr>
        <w:t>cionales</w:t>
      </w:r>
      <w:r w:rsidR="00AA7927" w:rsidRPr="002B678B">
        <w:rPr>
          <w:rFonts w:ascii="Book Antiqua" w:hAnsi="Book Antiqua"/>
        </w:rPr>
        <w:t xml:space="preserve"> que ofrece</w:t>
      </w:r>
      <w:r w:rsidR="002206BF" w:rsidRPr="002B678B">
        <w:rPr>
          <w:rFonts w:ascii="Book Antiqua" w:hAnsi="Book Antiqua"/>
        </w:rPr>
        <w:t xml:space="preserve"> el debido proceso</w:t>
      </w:r>
      <w:r w:rsidR="002B678B" w:rsidRPr="002B678B">
        <w:rPr>
          <w:rFonts w:ascii="Book Antiqua" w:hAnsi="Book Antiqua"/>
        </w:rPr>
        <w:t>, siendo una de estas el derecho a una notificación adecuada.</w:t>
      </w:r>
      <w:r w:rsidR="002206BF" w:rsidRPr="002B678B">
        <w:rPr>
          <w:rFonts w:ascii="Book Antiqua" w:hAnsi="Book Antiq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02BCED88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022E54">
      <w:rPr>
        <w:rFonts w:ascii="Calibri" w:eastAsia="Calibri" w:hAnsi="Calibri"/>
        <w:b/>
        <w:iCs/>
        <w:sz w:val="22"/>
        <w:szCs w:val="22"/>
        <w:lang w:val="es-PR"/>
      </w:rPr>
      <w:t>887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4A67"/>
    <w:rsid w:val="00006214"/>
    <w:rsid w:val="0000670B"/>
    <w:rsid w:val="00006E0B"/>
    <w:rsid w:val="000142E7"/>
    <w:rsid w:val="00015228"/>
    <w:rsid w:val="00021243"/>
    <w:rsid w:val="000220C0"/>
    <w:rsid w:val="00022E54"/>
    <w:rsid w:val="000240CE"/>
    <w:rsid w:val="000307E4"/>
    <w:rsid w:val="000308FB"/>
    <w:rsid w:val="00032407"/>
    <w:rsid w:val="00035FFD"/>
    <w:rsid w:val="0004014A"/>
    <w:rsid w:val="00041144"/>
    <w:rsid w:val="00045619"/>
    <w:rsid w:val="0004737C"/>
    <w:rsid w:val="00047B9F"/>
    <w:rsid w:val="00050B2C"/>
    <w:rsid w:val="00050E9A"/>
    <w:rsid w:val="00052709"/>
    <w:rsid w:val="00056538"/>
    <w:rsid w:val="000632A5"/>
    <w:rsid w:val="00065929"/>
    <w:rsid w:val="000673D8"/>
    <w:rsid w:val="000777FE"/>
    <w:rsid w:val="00082AAA"/>
    <w:rsid w:val="00084F67"/>
    <w:rsid w:val="0009035A"/>
    <w:rsid w:val="00093934"/>
    <w:rsid w:val="000949F8"/>
    <w:rsid w:val="000968F0"/>
    <w:rsid w:val="000A0600"/>
    <w:rsid w:val="000A31E4"/>
    <w:rsid w:val="000A32DC"/>
    <w:rsid w:val="000A4C87"/>
    <w:rsid w:val="000A6FA3"/>
    <w:rsid w:val="000B0D43"/>
    <w:rsid w:val="000B4063"/>
    <w:rsid w:val="000B6B0E"/>
    <w:rsid w:val="000B73D0"/>
    <w:rsid w:val="000C4E3C"/>
    <w:rsid w:val="000C66A9"/>
    <w:rsid w:val="000D1757"/>
    <w:rsid w:val="000D2BDF"/>
    <w:rsid w:val="000D5F7E"/>
    <w:rsid w:val="000D68FC"/>
    <w:rsid w:val="000E47C9"/>
    <w:rsid w:val="000E5D36"/>
    <w:rsid w:val="000F2868"/>
    <w:rsid w:val="000F3BA0"/>
    <w:rsid w:val="000F67BD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1132"/>
    <w:rsid w:val="001248BC"/>
    <w:rsid w:val="00126659"/>
    <w:rsid w:val="001311BA"/>
    <w:rsid w:val="00136622"/>
    <w:rsid w:val="00140F2B"/>
    <w:rsid w:val="00141605"/>
    <w:rsid w:val="00141703"/>
    <w:rsid w:val="00143359"/>
    <w:rsid w:val="00153CDD"/>
    <w:rsid w:val="00153D68"/>
    <w:rsid w:val="001561A6"/>
    <w:rsid w:val="001601C3"/>
    <w:rsid w:val="00163D3F"/>
    <w:rsid w:val="00166871"/>
    <w:rsid w:val="00166C0A"/>
    <w:rsid w:val="0017100B"/>
    <w:rsid w:val="001711E6"/>
    <w:rsid w:val="00171FDF"/>
    <w:rsid w:val="001763ED"/>
    <w:rsid w:val="001778DE"/>
    <w:rsid w:val="00186364"/>
    <w:rsid w:val="001A18DA"/>
    <w:rsid w:val="001A1EAC"/>
    <w:rsid w:val="001A5A3D"/>
    <w:rsid w:val="001C1DDA"/>
    <w:rsid w:val="001C24D7"/>
    <w:rsid w:val="001D0130"/>
    <w:rsid w:val="001D23E0"/>
    <w:rsid w:val="001D5EE7"/>
    <w:rsid w:val="001D6450"/>
    <w:rsid w:val="001D6791"/>
    <w:rsid w:val="001E4FEC"/>
    <w:rsid w:val="001F1D5B"/>
    <w:rsid w:val="001F2695"/>
    <w:rsid w:val="001F3071"/>
    <w:rsid w:val="001F5243"/>
    <w:rsid w:val="001F5FB1"/>
    <w:rsid w:val="001F72C1"/>
    <w:rsid w:val="00203D0D"/>
    <w:rsid w:val="00206D79"/>
    <w:rsid w:val="00206E8A"/>
    <w:rsid w:val="00215A62"/>
    <w:rsid w:val="0021655A"/>
    <w:rsid w:val="00216AC7"/>
    <w:rsid w:val="00217FFD"/>
    <w:rsid w:val="002206BF"/>
    <w:rsid w:val="0022092E"/>
    <w:rsid w:val="00221403"/>
    <w:rsid w:val="002222DA"/>
    <w:rsid w:val="002227F8"/>
    <w:rsid w:val="002239EA"/>
    <w:rsid w:val="00227117"/>
    <w:rsid w:val="0022724D"/>
    <w:rsid w:val="00227846"/>
    <w:rsid w:val="00231E70"/>
    <w:rsid w:val="0023302B"/>
    <w:rsid w:val="00233B5B"/>
    <w:rsid w:val="00235A3C"/>
    <w:rsid w:val="00251481"/>
    <w:rsid w:val="00251DA0"/>
    <w:rsid w:val="00253152"/>
    <w:rsid w:val="0025428E"/>
    <w:rsid w:val="00261802"/>
    <w:rsid w:val="00264342"/>
    <w:rsid w:val="00265DD8"/>
    <w:rsid w:val="002673B6"/>
    <w:rsid w:val="00272871"/>
    <w:rsid w:val="00275876"/>
    <w:rsid w:val="002864AF"/>
    <w:rsid w:val="0029300A"/>
    <w:rsid w:val="002939AA"/>
    <w:rsid w:val="0029448F"/>
    <w:rsid w:val="00296FB9"/>
    <w:rsid w:val="0029786E"/>
    <w:rsid w:val="002A065A"/>
    <w:rsid w:val="002A2577"/>
    <w:rsid w:val="002A2E53"/>
    <w:rsid w:val="002A795A"/>
    <w:rsid w:val="002B5B63"/>
    <w:rsid w:val="002B678B"/>
    <w:rsid w:val="002C63ED"/>
    <w:rsid w:val="002D2AD0"/>
    <w:rsid w:val="002D4655"/>
    <w:rsid w:val="002D67CE"/>
    <w:rsid w:val="002E4FD3"/>
    <w:rsid w:val="002F16BF"/>
    <w:rsid w:val="002F21E5"/>
    <w:rsid w:val="00300F27"/>
    <w:rsid w:val="00304248"/>
    <w:rsid w:val="00305C9F"/>
    <w:rsid w:val="00312AB3"/>
    <w:rsid w:val="00316753"/>
    <w:rsid w:val="00322779"/>
    <w:rsid w:val="00323431"/>
    <w:rsid w:val="00327FC3"/>
    <w:rsid w:val="00330313"/>
    <w:rsid w:val="003344C6"/>
    <w:rsid w:val="00335C67"/>
    <w:rsid w:val="003361A3"/>
    <w:rsid w:val="0034229A"/>
    <w:rsid w:val="00342992"/>
    <w:rsid w:val="00343D03"/>
    <w:rsid w:val="00353592"/>
    <w:rsid w:val="00354EC7"/>
    <w:rsid w:val="00357B74"/>
    <w:rsid w:val="00363230"/>
    <w:rsid w:val="00364147"/>
    <w:rsid w:val="00366718"/>
    <w:rsid w:val="00370F8A"/>
    <w:rsid w:val="00371331"/>
    <w:rsid w:val="00373C1C"/>
    <w:rsid w:val="0037494D"/>
    <w:rsid w:val="003832F6"/>
    <w:rsid w:val="0038413A"/>
    <w:rsid w:val="0038510E"/>
    <w:rsid w:val="003910E6"/>
    <w:rsid w:val="00391145"/>
    <w:rsid w:val="00392CEF"/>
    <w:rsid w:val="003934B6"/>
    <w:rsid w:val="00393ADF"/>
    <w:rsid w:val="003A47D4"/>
    <w:rsid w:val="003B38A4"/>
    <w:rsid w:val="003B5459"/>
    <w:rsid w:val="003B6DB6"/>
    <w:rsid w:val="003B7D5E"/>
    <w:rsid w:val="003C2DE8"/>
    <w:rsid w:val="003C6019"/>
    <w:rsid w:val="003D601E"/>
    <w:rsid w:val="003E1A9C"/>
    <w:rsid w:val="003E4335"/>
    <w:rsid w:val="003E46FB"/>
    <w:rsid w:val="003E529E"/>
    <w:rsid w:val="003E6E10"/>
    <w:rsid w:val="003E7648"/>
    <w:rsid w:val="003E7944"/>
    <w:rsid w:val="003F10BB"/>
    <w:rsid w:val="003F2674"/>
    <w:rsid w:val="003F6F83"/>
    <w:rsid w:val="00402CD3"/>
    <w:rsid w:val="00403394"/>
    <w:rsid w:val="004045A0"/>
    <w:rsid w:val="00407674"/>
    <w:rsid w:val="0040798B"/>
    <w:rsid w:val="00410F72"/>
    <w:rsid w:val="00413B71"/>
    <w:rsid w:val="0042168B"/>
    <w:rsid w:val="00422255"/>
    <w:rsid w:val="00427950"/>
    <w:rsid w:val="00431F68"/>
    <w:rsid w:val="00436471"/>
    <w:rsid w:val="00442843"/>
    <w:rsid w:val="00447224"/>
    <w:rsid w:val="00447621"/>
    <w:rsid w:val="004512E8"/>
    <w:rsid w:val="0045169F"/>
    <w:rsid w:val="00451F27"/>
    <w:rsid w:val="004523CD"/>
    <w:rsid w:val="00452D84"/>
    <w:rsid w:val="004617E5"/>
    <w:rsid w:val="004654B5"/>
    <w:rsid w:val="00466CA5"/>
    <w:rsid w:val="00467CB0"/>
    <w:rsid w:val="004702EC"/>
    <w:rsid w:val="00471DF9"/>
    <w:rsid w:val="00474109"/>
    <w:rsid w:val="00481BA5"/>
    <w:rsid w:val="00486978"/>
    <w:rsid w:val="00496EEF"/>
    <w:rsid w:val="00496F72"/>
    <w:rsid w:val="00497491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9B"/>
    <w:rsid w:val="004D0435"/>
    <w:rsid w:val="004D125E"/>
    <w:rsid w:val="004D28B0"/>
    <w:rsid w:val="004D2F67"/>
    <w:rsid w:val="004D6DBF"/>
    <w:rsid w:val="004D7163"/>
    <w:rsid w:val="004E356B"/>
    <w:rsid w:val="004E516D"/>
    <w:rsid w:val="004E7F19"/>
    <w:rsid w:val="004F1E94"/>
    <w:rsid w:val="004F38E8"/>
    <w:rsid w:val="004F3AEE"/>
    <w:rsid w:val="004F3EF4"/>
    <w:rsid w:val="004F4A0B"/>
    <w:rsid w:val="004F79AB"/>
    <w:rsid w:val="005003AB"/>
    <w:rsid w:val="005007F9"/>
    <w:rsid w:val="00505B4C"/>
    <w:rsid w:val="00507C1A"/>
    <w:rsid w:val="00511EE0"/>
    <w:rsid w:val="005132E2"/>
    <w:rsid w:val="00516AB2"/>
    <w:rsid w:val="0052057E"/>
    <w:rsid w:val="0052072F"/>
    <w:rsid w:val="00524E93"/>
    <w:rsid w:val="0052624F"/>
    <w:rsid w:val="00527957"/>
    <w:rsid w:val="0053079A"/>
    <w:rsid w:val="00530FFC"/>
    <w:rsid w:val="00532F3A"/>
    <w:rsid w:val="00533210"/>
    <w:rsid w:val="00540692"/>
    <w:rsid w:val="00542113"/>
    <w:rsid w:val="005432C2"/>
    <w:rsid w:val="00543A44"/>
    <w:rsid w:val="00552AC4"/>
    <w:rsid w:val="00556D64"/>
    <w:rsid w:val="0056097C"/>
    <w:rsid w:val="00560E41"/>
    <w:rsid w:val="0056523D"/>
    <w:rsid w:val="00566B7D"/>
    <w:rsid w:val="00566BF6"/>
    <w:rsid w:val="005813B7"/>
    <w:rsid w:val="00581799"/>
    <w:rsid w:val="00582CE9"/>
    <w:rsid w:val="00584753"/>
    <w:rsid w:val="00591971"/>
    <w:rsid w:val="00591C6D"/>
    <w:rsid w:val="005922E8"/>
    <w:rsid w:val="00592D59"/>
    <w:rsid w:val="005A1F13"/>
    <w:rsid w:val="005B42F2"/>
    <w:rsid w:val="005B4FA8"/>
    <w:rsid w:val="005B69A9"/>
    <w:rsid w:val="005B747C"/>
    <w:rsid w:val="005B750B"/>
    <w:rsid w:val="005C1CEE"/>
    <w:rsid w:val="005C1E56"/>
    <w:rsid w:val="005C3365"/>
    <w:rsid w:val="005D07A9"/>
    <w:rsid w:val="005D1F4B"/>
    <w:rsid w:val="005D2A7D"/>
    <w:rsid w:val="005D2AFE"/>
    <w:rsid w:val="005D5254"/>
    <w:rsid w:val="005E4CF7"/>
    <w:rsid w:val="005F0342"/>
    <w:rsid w:val="005F0450"/>
    <w:rsid w:val="005F0D61"/>
    <w:rsid w:val="005F4078"/>
    <w:rsid w:val="005F4187"/>
    <w:rsid w:val="00600272"/>
    <w:rsid w:val="00602E29"/>
    <w:rsid w:val="00603D79"/>
    <w:rsid w:val="00603FE4"/>
    <w:rsid w:val="006114BF"/>
    <w:rsid w:val="006115FC"/>
    <w:rsid w:val="00611979"/>
    <w:rsid w:val="00612378"/>
    <w:rsid w:val="00622B23"/>
    <w:rsid w:val="00623890"/>
    <w:rsid w:val="00623D71"/>
    <w:rsid w:val="00631225"/>
    <w:rsid w:val="00635694"/>
    <w:rsid w:val="006430D4"/>
    <w:rsid w:val="0064568A"/>
    <w:rsid w:val="006569DA"/>
    <w:rsid w:val="00661CDA"/>
    <w:rsid w:val="006620D1"/>
    <w:rsid w:val="0066464E"/>
    <w:rsid w:val="00664692"/>
    <w:rsid w:val="0066649B"/>
    <w:rsid w:val="0067175E"/>
    <w:rsid w:val="00671B9A"/>
    <w:rsid w:val="006739EE"/>
    <w:rsid w:val="0068279C"/>
    <w:rsid w:val="0069342C"/>
    <w:rsid w:val="0069397F"/>
    <w:rsid w:val="00694718"/>
    <w:rsid w:val="00696CA3"/>
    <w:rsid w:val="006A4879"/>
    <w:rsid w:val="006B2F9D"/>
    <w:rsid w:val="006B3A1D"/>
    <w:rsid w:val="006B4F55"/>
    <w:rsid w:val="006B6984"/>
    <w:rsid w:val="006B6B87"/>
    <w:rsid w:val="006C3970"/>
    <w:rsid w:val="006C5F3E"/>
    <w:rsid w:val="006D046A"/>
    <w:rsid w:val="006E176E"/>
    <w:rsid w:val="006E2A38"/>
    <w:rsid w:val="006E649B"/>
    <w:rsid w:val="006E65D9"/>
    <w:rsid w:val="006F6951"/>
    <w:rsid w:val="0070305E"/>
    <w:rsid w:val="00710987"/>
    <w:rsid w:val="007121F7"/>
    <w:rsid w:val="00715AB6"/>
    <w:rsid w:val="00715E79"/>
    <w:rsid w:val="00716098"/>
    <w:rsid w:val="00716C22"/>
    <w:rsid w:val="00723DBC"/>
    <w:rsid w:val="0072435A"/>
    <w:rsid w:val="007250C9"/>
    <w:rsid w:val="00733E40"/>
    <w:rsid w:val="007363D7"/>
    <w:rsid w:val="00744264"/>
    <w:rsid w:val="0074731E"/>
    <w:rsid w:val="007579F2"/>
    <w:rsid w:val="0076029D"/>
    <w:rsid w:val="00760D00"/>
    <w:rsid w:val="0076405E"/>
    <w:rsid w:val="007707DE"/>
    <w:rsid w:val="00770FEF"/>
    <w:rsid w:val="0077131A"/>
    <w:rsid w:val="0077152E"/>
    <w:rsid w:val="00773FDD"/>
    <w:rsid w:val="0077444F"/>
    <w:rsid w:val="007761C9"/>
    <w:rsid w:val="00782A64"/>
    <w:rsid w:val="00782BBD"/>
    <w:rsid w:val="00783933"/>
    <w:rsid w:val="007842E6"/>
    <w:rsid w:val="0078548C"/>
    <w:rsid w:val="007867ED"/>
    <w:rsid w:val="00786886"/>
    <w:rsid w:val="007916EC"/>
    <w:rsid w:val="007A4CF4"/>
    <w:rsid w:val="007B257D"/>
    <w:rsid w:val="007B2F4F"/>
    <w:rsid w:val="007B7985"/>
    <w:rsid w:val="007C5122"/>
    <w:rsid w:val="007D1CE3"/>
    <w:rsid w:val="007D22F5"/>
    <w:rsid w:val="007D3EE2"/>
    <w:rsid w:val="007D79C4"/>
    <w:rsid w:val="007E1D67"/>
    <w:rsid w:val="007E1E1B"/>
    <w:rsid w:val="007E29E1"/>
    <w:rsid w:val="007E2AC1"/>
    <w:rsid w:val="007E5040"/>
    <w:rsid w:val="007E6834"/>
    <w:rsid w:val="007F475E"/>
    <w:rsid w:val="007F4C73"/>
    <w:rsid w:val="007F66FC"/>
    <w:rsid w:val="007F7DB1"/>
    <w:rsid w:val="00801B1B"/>
    <w:rsid w:val="00802900"/>
    <w:rsid w:val="008142DA"/>
    <w:rsid w:val="008162A8"/>
    <w:rsid w:val="00821551"/>
    <w:rsid w:val="008225E7"/>
    <w:rsid w:val="00822FEF"/>
    <w:rsid w:val="00826766"/>
    <w:rsid w:val="008270AA"/>
    <w:rsid w:val="00831407"/>
    <w:rsid w:val="008326DB"/>
    <w:rsid w:val="00834124"/>
    <w:rsid w:val="0083483F"/>
    <w:rsid w:val="0083492B"/>
    <w:rsid w:val="00844B7A"/>
    <w:rsid w:val="00844E45"/>
    <w:rsid w:val="00850FE3"/>
    <w:rsid w:val="00851A0B"/>
    <w:rsid w:val="00851E49"/>
    <w:rsid w:val="008553D1"/>
    <w:rsid w:val="008558D3"/>
    <w:rsid w:val="00857D49"/>
    <w:rsid w:val="00860494"/>
    <w:rsid w:val="00861B05"/>
    <w:rsid w:val="00862995"/>
    <w:rsid w:val="00862B38"/>
    <w:rsid w:val="008634DD"/>
    <w:rsid w:val="00864628"/>
    <w:rsid w:val="008714C1"/>
    <w:rsid w:val="00874445"/>
    <w:rsid w:val="00874C34"/>
    <w:rsid w:val="00877968"/>
    <w:rsid w:val="00882690"/>
    <w:rsid w:val="008858A8"/>
    <w:rsid w:val="00887F45"/>
    <w:rsid w:val="0089403B"/>
    <w:rsid w:val="008949F6"/>
    <w:rsid w:val="008A0AE1"/>
    <w:rsid w:val="008A170D"/>
    <w:rsid w:val="008A268E"/>
    <w:rsid w:val="008A71BD"/>
    <w:rsid w:val="008B2262"/>
    <w:rsid w:val="008B25F8"/>
    <w:rsid w:val="008B5DA5"/>
    <w:rsid w:val="008B701E"/>
    <w:rsid w:val="008B71AF"/>
    <w:rsid w:val="008C1517"/>
    <w:rsid w:val="008C7425"/>
    <w:rsid w:val="008D32D5"/>
    <w:rsid w:val="008D6FEE"/>
    <w:rsid w:val="008E1117"/>
    <w:rsid w:val="008E1A90"/>
    <w:rsid w:val="008E2D7C"/>
    <w:rsid w:val="008E3158"/>
    <w:rsid w:val="008F039C"/>
    <w:rsid w:val="008F142C"/>
    <w:rsid w:val="008F1AA4"/>
    <w:rsid w:val="008F345E"/>
    <w:rsid w:val="008F4F8B"/>
    <w:rsid w:val="008F53EB"/>
    <w:rsid w:val="008F5E71"/>
    <w:rsid w:val="008F7269"/>
    <w:rsid w:val="00900740"/>
    <w:rsid w:val="0090114E"/>
    <w:rsid w:val="00902255"/>
    <w:rsid w:val="009060A3"/>
    <w:rsid w:val="009064DB"/>
    <w:rsid w:val="00910DF8"/>
    <w:rsid w:val="00911453"/>
    <w:rsid w:val="009123CA"/>
    <w:rsid w:val="00917E92"/>
    <w:rsid w:val="009246DD"/>
    <w:rsid w:val="00926B0A"/>
    <w:rsid w:val="00926C28"/>
    <w:rsid w:val="00932971"/>
    <w:rsid w:val="009343BD"/>
    <w:rsid w:val="009347CF"/>
    <w:rsid w:val="009412C4"/>
    <w:rsid w:val="00942E2E"/>
    <w:rsid w:val="00945265"/>
    <w:rsid w:val="0094610E"/>
    <w:rsid w:val="00950E91"/>
    <w:rsid w:val="00951AA5"/>
    <w:rsid w:val="00952A9C"/>
    <w:rsid w:val="009535ED"/>
    <w:rsid w:val="00954BFD"/>
    <w:rsid w:val="009553B7"/>
    <w:rsid w:val="0097085B"/>
    <w:rsid w:val="0097284A"/>
    <w:rsid w:val="00974EC2"/>
    <w:rsid w:val="00974FE6"/>
    <w:rsid w:val="00977DC2"/>
    <w:rsid w:val="0099305E"/>
    <w:rsid w:val="009970E2"/>
    <w:rsid w:val="009971DC"/>
    <w:rsid w:val="009A01B5"/>
    <w:rsid w:val="009A6C55"/>
    <w:rsid w:val="009B0628"/>
    <w:rsid w:val="009B32DC"/>
    <w:rsid w:val="009B56D7"/>
    <w:rsid w:val="009C1DB2"/>
    <w:rsid w:val="009C3A34"/>
    <w:rsid w:val="009D02B4"/>
    <w:rsid w:val="009D1B03"/>
    <w:rsid w:val="009D6759"/>
    <w:rsid w:val="009D6C12"/>
    <w:rsid w:val="009D6D72"/>
    <w:rsid w:val="009D703D"/>
    <w:rsid w:val="009E17C9"/>
    <w:rsid w:val="009E237A"/>
    <w:rsid w:val="009E55BD"/>
    <w:rsid w:val="009E56FC"/>
    <w:rsid w:val="009E5960"/>
    <w:rsid w:val="009E66CF"/>
    <w:rsid w:val="009F5A85"/>
    <w:rsid w:val="00A01EDE"/>
    <w:rsid w:val="00A11658"/>
    <w:rsid w:val="00A1240D"/>
    <w:rsid w:val="00A129FC"/>
    <w:rsid w:val="00A139D6"/>
    <w:rsid w:val="00A173F9"/>
    <w:rsid w:val="00A23DE6"/>
    <w:rsid w:val="00A2486E"/>
    <w:rsid w:val="00A2514B"/>
    <w:rsid w:val="00A26824"/>
    <w:rsid w:val="00A31635"/>
    <w:rsid w:val="00A37EF9"/>
    <w:rsid w:val="00A41844"/>
    <w:rsid w:val="00A45537"/>
    <w:rsid w:val="00A46238"/>
    <w:rsid w:val="00A46BD3"/>
    <w:rsid w:val="00A53701"/>
    <w:rsid w:val="00A5702B"/>
    <w:rsid w:val="00A664E4"/>
    <w:rsid w:val="00A77BD5"/>
    <w:rsid w:val="00A81770"/>
    <w:rsid w:val="00A81C57"/>
    <w:rsid w:val="00A8365E"/>
    <w:rsid w:val="00A836F4"/>
    <w:rsid w:val="00A853E6"/>
    <w:rsid w:val="00A87675"/>
    <w:rsid w:val="00A87C62"/>
    <w:rsid w:val="00A95747"/>
    <w:rsid w:val="00A9640F"/>
    <w:rsid w:val="00AA3A37"/>
    <w:rsid w:val="00AA7927"/>
    <w:rsid w:val="00AB163E"/>
    <w:rsid w:val="00AC3E49"/>
    <w:rsid w:val="00AC79A9"/>
    <w:rsid w:val="00AD1516"/>
    <w:rsid w:val="00AE07D8"/>
    <w:rsid w:val="00AE16C4"/>
    <w:rsid w:val="00AE3DD0"/>
    <w:rsid w:val="00AE513E"/>
    <w:rsid w:val="00AE5181"/>
    <w:rsid w:val="00AE5FE1"/>
    <w:rsid w:val="00AF0F3C"/>
    <w:rsid w:val="00AF17B1"/>
    <w:rsid w:val="00AF4EB3"/>
    <w:rsid w:val="00AF7DF1"/>
    <w:rsid w:val="00B050CC"/>
    <w:rsid w:val="00B10DAB"/>
    <w:rsid w:val="00B16378"/>
    <w:rsid w:val="00B2137C"/>
    <w:rsid w:val="00B232EA"/>
    <w:rsid w:val="00B241A8"/>
    <w:rsid w:val="00B26B80"/>
    <w:rsid w:val="00B26EB3"/>
    <w:rsid w:val="00B2796C"/>
    <w:rsid w:val="00B328FE"/>
    <w:rsid w:val="00B34F68"/>
    <w:rsid w:val="00B4018B"/>
    <w:rsid w:val="00B45797"/>
    <w:rsid w:val="00B459B3"/>
    <w:rsid w:val="00B4782D"/>
    <w:rsid w:val="00B51406"/>
    <w:rsid w:val="00B520A2"/>
    <w:rsid w:val="00B5254C"/>
    <w:rsid w:val="00B5359C"/>
    <w:rsid w:val="00B54B4A"/>
    <w:rsid w:val="00B554E4"/>
    <w:rsid w:val="00B55DDB"/>
    <w:rsid w:val="00B62EFA"/>
    <w:rsid w:val="00B66FB7"/>
    <w:rsid w:val="00B67472"/>
    <w:rsid w:val="00B70DB5"/>
    <w:rsid w:val="00B71425"/>
    <w:rsid w:val="00B71BF4"/>
    <w:rsid w:val="00B75957"/>
    <w:rsid w:val="00B7649E"/>
    <w:rsid w:val="00B81E9B"/>
    <w:rsid w:val="00B83BC1"/>
    <w:rsid w:val="00B85B25"/>
    <w:rsid w:val="00BA0B5D"/>
    <w:rsid w:val="00BA379A"/>
    <w:rsid w:val="00BA7D48"/>
    <w:rsid w:val="00BB563F"/>
    <w:rsid w:val="00BC0B39"/>
    <w:rsid w:val="00BC108E"/>
    <w:rsid w:val="00BD28BD"/>
    <w:rsid w:val="00BD5B9E"/>
    <w:rsid w:val="00BE2D33"/>
    <w:rsid w:val="00BF09D3"/>
    <w:rsid w:val="00BF383C"/>
    <w:rsid w:val="00BF548D"/>
    <w:rsid w:val="00BF5BE0"/>
    <w:rsid w:val="00C0782C"/>
    <w:rsid w:val="00C11C5A"/>
    <w:rsid w:val="00C12A63"/>
    <w:rsid w:val="00C15735"/>
    <w:rsid w:val="00C17189"/>
    <w:rsid w:val="00C2134F"/>
    <w:rsid w:val="00C34538"/>
    <w:rsid w:val="00C361D2"/>
    <w:rsid w:val="00C43FB3"/>
    <w:rsid w:val="00C47888"/>
    <w:rsid w:val="00C50A72"/>
    <w:rsid w:val="00C54AD6"/>
    <w:rsid w:val="00C554B6"/>
    <w:rsid w:val="00C5715B"/>
    <w:rsid w:val="00C57B5F"/>
    <w:rsid w:val="00C7188A"/>
    <w:rsid w:val="00C730D1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A72F0"/>
    <w:rsid w:val="00CC187E"/>
    <w:rsid w:val="00CC1984"/>
    <w:rsid w:val="00CC26FF"/>
    <w:rsid w:val="00CC6626"/>
    <w:rsid w:val="00CC66D9"/>
    <w:rsid w:val="00CD12ED"/>
    <w:rsid w:val="00CD345B"/>
    <w:rsid w:val="00CD6CF6"/>
    <w:rsid w:val="00CE1153"/>
    <w:rsid w:val="00CE16EE"/>
    <w:rsid w:val="00CE54D8"/>
    <w:rsid w:val="00CE7486"/>
    <w:rsid w:val="00CF05EE"/>
    <w:rsid w:val="00CF291D"/>
    <w:rsid w:val="00CF2EF5"/>
    <w:rsid w:val="00CF2FE6"/>
    <w:rsid w:val="00CF5128"/>
    <w:rsid w:val="00CF544D"/>
    <w:rsid w:val="00CF60CD"/>
    <w:rsid w:val="00CF72E2"/>
    <w:rsid w:val="00D00F5B"/>
    <w:rsid w:val="00D076CD"/>
    <w:rsid w:val="00D07D92"/>
    <w:rsid w:val="00D1510D"/>
    <w:rsid w:val="00D1693C"/>
    <w:rsid w:val="00D16AE8"/>
    <w:rsid w:val="00D2019B"/>
    <w:rsid w:val="00D24AE1"/>
    <w:rsid w:val="00D26B67"/>
    <w:rsid w:val="00D36C6D"/>
    <w:rsid w:val="00D4152C"/>
    <w:rsid w:val="00D44A4A"/>
    <w:rsid w:val="00D50870"/>
    <w:rsid w:val="00D5157A"/>
    <w:rsid w:val="00D54DC8"/>
    <w:rsid w:val="00D55D23"/>
    <w:rsid w:val="00D56E4A"/>
    <w:rsid w:val="00D57AF5"/>
    <w:rsid w:val="00D60D6E"/>
    <w:rsid w:val="00D60DA4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87777"/>
    <w:rsid w:val="00D91478"/>
    <w:rsid w:val="00D92466"/>
    <w:rsid w:val="00D93990"/>
    <w:rsid w:val="00D95C66"/>
    <w:rsid w:val="00D97459"/>
    <w:rsid w:val="00D97C86"/>
    <w:rsid w:val="00DA036F"/>
    <w:rsid w:val="00DA10AA"/>
    <w:rsid w:val="00DA1A59"/>
    <w:rsid w:val="00DA58F0"/>
    <w:rsid w:val="00DB27AB"/>
    <w:rsid w:val="00DB6542"/>
    <w:rsid w:val="00DC2214"/>
    <w:rsid w:val="00DC2703"/>
    <w:rsid w:val="00DC738B"/>
    <w:rsid w:val="00DD7201"/>
    <w:rsid w:val="00DE2E84"/>
    <w:rsid w:val="00DE68EE"/>
    <w:rsid w:val="00DF4668"/>
    <w:rsid w:val="00DF7D86"/>
    <w:rsid w:val="00E05E49"/>
    <w:rsid w:val="00E0615E"/>
    <w:rsid w:val="00E06415"/>
    <w:rsid w:val="00E13FE4"/>
    <w:rsid w:val="00E1471F"/>
    <w:rsid w:val="00E271CF"/>
    <w:rsid w:val="00E305DD"/>
    <w:rsid w:val="00E30D8F"/>
    <w:rsid w:val="00E32D34"/>
    <w:rsid w:val="00E34AB9"/>
    <w:rsid w:val="00E4304B"/>
    <w:rsid w:val="00E434BC"/>
    <w:rsid w:val="00E45D22"/>
    <w:rsid w:val="00E50D55"/>
    <w:rsid w:val="00E519DF"/>
    <w:rsid w:val="00E5593E"/>
    <w:rsid w:val="00E6000B"/>
    <w:rsid w:val="00E61576"/>
    <w:rsid w:val="00E63238"/>
    <w:rsid w:val="00E638A7"/>
    <w:rsid w:val="00E65FED"/>
    <w:rsid w:val="00E66F3E"/>
    <w:rsid w:val="00E67804"/>
    <w:rsid w:val="00E70179"/>
    <w:rsid w:val="00E713EE"/>
    <w:rsid w:val="00E72245"/>
    <w:rsid w:val="00E75940"/>
    <w:rsid w:val="00E83FFE"/>
    <w:rsid w:val="00E84C3D"/>
    <w:rsid w:val="00E87BB8"/>
    <w:rsid w:val="00E93D4C"/>
    <w:rsid w:val="00E94262"/>
    <w:rsid w:val="00E9522A"/>
    <w:rsid w:val="00E96FF9"/>
    <w:rsid w:val="00E97D41"/>
    <w:rsid w:val="00EA1BFC"/>
    <w:rsid w:val="00EA2162"/>
    <w:rsid w:val="00EA2439"/>
    <w:rsid w:val="00EA282F"/>
    <w:rsid w:val="00EA648B"/>
    <w:rsid w:val="00EB0CD9"/>
    <w:rsid w:val="00EB45AD"/>
    <w:rsid w:val="00EB5538"/>
    <w:rsid w:val="00EC1B0D"/>
    <w:rsid w:val="00EC2402"/>
    <w:rsid w:val="00EC35AA"/>
    <w:rsid w:val="00EC6C0C"/>
    <w:rsid w:val="00EC7D5C"/>
    <w:rsid w:val="00ED2850"/>
    <w:rsid w:val="00EE3613"/>
    <w:rsid w:val="00EF42E1"/>
    <w:rsid w:val="00EF4B3F"/>
    <w:rsid w:val="00F00AD3"/>
    <w:rsid w:val="00F03879"/>
    <w:rsid w:val="00F0476A"/>
    <w:rsid w:val="00F17F1C"/>
    <w:rsid w:val="00F248D5"/>
    <w:rsid w:val="00F25FE5"/>
    <w:rsid w:val="00F26EA6"/>
    <w:rsid w:val="00F3008F"/>
    <w:rsid w:val="00F30A7C"/>
    <w:rsid w:val="00F32A21"/>
    <w:rsid w:val="00F345BA"/>
    <w:rsid w:val="00F36459"/>
    <w:rsid w:val="00F41AC8"/>
    <w:rsid w:val="00F43E0C"/>
    <w:rsid w:val="00F44038"/>
    <w:rsid w:val="00F512C5"/>
    <w:rsid w:val="00F51CDB"/>
    <w:rsid w:val="00F52F26"/>
    <w:rsid w:val="00F52FEB"/>
    <w:rsid w:val="00F53669"/>
    <w:rsid w:val="00F66656"/>
    <w:rsid w:val="00F71DC2"/>
    <w:rsid w:val="00F75150"/>
    <w:rsid w:val="00F77115"/>
    <w:rsid w:val="00F82809"/>
    <w:rsid w:val="00F8336E"/>
    <w:rsid w:val="00F86CFC"/>
    <w:rsid w:val="00F902A0"/>
    <w:rsid w:val="00F91378"/>
    <w:rsid w:val="00F91B1D"/>
    <w:rsid w:val="00F9450C"/>
    <w:rsid w:val="00F9605A"/>
    <w:rsid w:val="00FA207C"/>
    <w:rsid w:val="00FA7393"/>
    <w:rsid w:val="00FB0F24"/>
    <w:rsid w:val="00FB3863"/>
    <w:rsid w:val="00FB641E"/>
    <w:rsid w:val="00FB7E04"/>
    <w:rsid w:val="00FC1C6B"/>
    <w:rsid w:val="00FC205B"/>
    <w:rsid w:val="00FD6179"/>
    <w:rsid w:val="00FE1B6F"/>
    <w:rsid w:val="00FE3175"/>
    <w:rsid w:val="00FE4ACA"/>
    <w:rsid w:val="00FE7780"/>
    <w:rsid w:val="00FF1DB1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4132</Characters>
  <Application>Microsoft Office Word</Application>
  <DocSecurity>4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2025-10-21T19:46:00Z</dcterms:created>
  <dcterms:modified xsi:type="dcterms:W3CDTF">2025-10-21T19:46:00Z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