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3047C" w14:textId="69CE61AD" w:rsidR="00EE1E93" w:rsidRPr="00700566" w:rsidRDefault="00EE1E93" w:rsidP="007F09EB">
      <w:pPr>
        <w:tabs>
          <w:tab w:val="center" w:pos="4680"/>
        </w:tabs>
        <w:jc w:val="center"/>
        <w:rPr>
          <w:rFonts w:ascii="Book Antiqua" w:eastAsia="Book Antiqua" w:hAnsi="Book Antiqua" w:cs="Book Antiqua"/>
          <w:sz w:val="28"/>
          <w:szCs w:val="28"/>
        </w:rPr>
      </w:pPr>
      <w:r w:rsidRPr="00700566">
        <w:rPr>
          <w:rFonts w:ascii="Book Antiqua" w:eastAsia="Book Antiqua" w:hAnsi="Book Antiqua" w:cs="Book Antiqua"/>
          <w:sz w:val="28"/>
          <w:szCs w:val="28"/>
        </w:rPr>
        <w:t>GOBIERNO DE PUERTO RICO</w:t>
      </w:r>
    </w:p>
    <w:p w14:paraId="582FBA6C" w14:textId="77777777" w:rsidR="00EE1E93" w:rsidRPr="00700566" w:rsidRDefault="00EE1E93" w:rsidP="00EE1E93">
      <w:pPr>
        <w:tabs>
          <w:tab w:val="center" w:pos="4680"/>
        </w:tabs>
        <w:rPr>
          <w:rFonts w:ascii="Book Antiqua" w:eastAsia="Book Antiqua" w:hAnsi="Book Antiqua" w:cs="Book Antiqua"/>
          <w:sz w:val="28"/>
          <w:szCs w:val="28"/>
        </w:rPr>
      </w:pPr>
    </w:p>
    <w:p w14:paraId="3A0FB5F9" w14:textId="2AFE9593" w:rsidR="00EE1E93" w:rsidRPr="00700566" w:rsidRDefault="00EE1E93" w:rsidP="00EE1E93">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326EAF">
        <w:rPr>
          <w:rFonts w:ascii="Book Antiqua" w:eastAsia="Book Antiqua" w:hAnsi="Book Antiqua" w:cs="Book Antiqua"/>
        </w:rPr>
        <w:t>3</w:t>
      </w:r>
      <w:r w:rsidRPr="00700566">
        <w:rPr>
          <w:rFonts w:ascii="Book Antiqua" w:eastAsia="Book Antiqua" w:hAnsi="Book Antiqua" w:cs="Book Antiqua"/>
          <w:vertAlign w:val="superscript"/>
        </w:rPr>
        <w:t>ra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7C4EB26" w14:textId="77777777" w:rsidR="00EE1E93" w:rsidRPr="00700566" w:rsidRDefault="00EE1E93" w:rsidP="00EE1E93">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287DD48B" w14:textId="77777777" w:rsidR="00EE1E93" w:rsidRPr="00700566" w:rsidRDefault="00EE1E93" w:rsidP="00EE1E93">
      <w:pPr>
        <w:spacing w:line="360" w:lineRule="auto"/>
        <w:jc w:val="center"/>
        <w:rPr>
          <w:rFonts w:ascii="Book Antiqua" w:eastAsia="Book Antiqua" w:hAnsi="Book Antiqua" w:cs="Book Antiqua"/>
          <w:b/>
          <w:sz w:val="36"/>
          <w:szCs w:val="36"/>
        </w:rPr>
      </w:pPr>
    </w:p>
    <w:p w14:paraId="7E4F93C3" w14:textId="77777777" w:rsidR="00EE1E93" w:rsidRPr="00700566" w:rsidRDefault="00EE1E93" w:rsidP="00EE1E93">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4DE493AE" w14:textId="2420F39E" w:rsidR="00EE1E93" w:rsidRPr="00700566" w:rsidRDefault="005C3826" w:rsidP="00EE1E93">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P</w:t>
      </w:r>
      <w:r w:rsidR="002B4336">
        <w:rPr>
          <w:rFonts w:ascii="Book Antiqua" w:eastAsia="Book Antiqua" w:hAnsi="Book Antiqua" w:cs="Book Antiqua"/>
          <w:b/>
          <w:sz w:val="52"/>
          <w:szCs w:val="52"/>
        </w:rPr>
        <w:t xml:space="preserve">. </w:t>
      </w:r>
      <w:r w:rsidR="00EE1E93" w:rsidRPr="00700566">
        <w:rPr>
          <w:rFonts w:ascii="Book Antiqua" w:eastAsia="Book Antiqua" w:hAnsi="Book Antiqua" w:cs="Book Antiqua"/>
          <w:b/>
          <w:sz w:val="52"/>
          <w:szCs w:val="52"/>
        </w:rPr>
        <w:t>de</w:t>
      </w:r>
      <w:r w:rsidR="00E85F76">
        <w:rPr>
          <w:rFonts w:ascii="Book Antiqua" w:eastAsia="Book Antiqua" w:hAnsi="Book Antiqua" w:cs="Book Antiqua"/>
          <w:b/>
          <w:sz w:val="52"/>
          <w:szCs w:val="52"/>
        </w:rPr>
        <w:t>l</w:t>
      </w:r>
      <w:r w:rsidR="00EE1E93" w:rsidRPr="00700566">
        <w:rPr>
          <w:rFonts w:ascii="Book Antiqua" w:eastAsia="Book Antiqua" w:hAnsi="Book Antiqua" w:cs="Book Antiqua"/>
          <w:b/>
          <w:sz w:val="52"/>
          <w:szCs w:val="52"/>
        </w:rPr>
        <w:t xml:space="preserve"> </w:t>
      </w:r>
      <w:r w:rsidR="00E85F76">
        <w:rPr>
          <w:rFonts w:ascii="Book Antiqua" w:eastAsia="Book Antiqua" w:hAnsi="Book Antiqua" w:cs="Book Antiqua"/>
          <w:b/>
          <w:sz w:val="52"/>
          <w:szCs w:val="52"/>
        </w:rPr>
        <w:t>S</w:t>
      </w:r>
      <w:r w:rsidR="00EE1E93" w:rsidRPr="00700566">
        <w:rPr>
          <w:rFonts w:ascii="Book Antiqua" w:eastAsia="Book Antiqua" w:hAnsi="Book Antiqua" w:cs="Book Antiqua"/>
          <w:b/>
          <w:sz w:val="52"/>
          <w:szCs w:val="52"/>
        </w:rPr>
        <w:t xml:space="preserve">. </w:t>
      </w:r>
      <w:r>
        <w:rPr>
          <w:rFonts w:ascii="Book Antiqua" w:eastAsia="Book Antiqua" w:hAnsi="Book Antiqua" w:cs="Book Antiqua"/>
          <w:b/>
          <w:sz w:val="52"/>
          <w:szCs w:val="52"/>
        </w:rPr>
        <w:t>759</w:t>
      </w:r>
    </w:p>
    <w:p w14:paraId="55024D28" w14:textId="77777777" w:rsidR="00EE1E93" w:rsidRPr="00700566" w:rsidRDefault="00EE1E93" w:rsidP="00EE1E93">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5456D44B" w14:textId="7033AA33" w:rsidR="00EE1E93" w:rsidRPr="00700566" w:rsidRDefault="008B6CD7" w:rsidP="00EE1E93">
      <w:pPr>
        <w:spacing w:line="360" w:lineRule="auto"/>
        <w:jc w:val="center"/>
        <w:rPr>
          <w:rFonts w:ascii="Book Antiqua" w:eastAsia="Book Antiqua" w:hAnsi="Book Antiqua" w:cs="Book Antiqua"/>
          <w:b/>
        </w:rPr>
      </w:pPr>
      <w:r>
        <w:rPr>
          <w:rFonts w:ascii="Book Antiqua" w:eastAsia="Book Antiqua" w:hAnsi="Book Antiqua" w:cs="Book Antiqua"/>
        </w:rPr>
        <w:t>8</w:t>
      </w:r>
      <w:r w:rsidR="00EE1E93" w:rsidRPr="00700566">
        <w:rPr>
          <w:rFonts w:ascii="Book Antiqua" w:eastAsia="Book Antiqua" w:hAnsi="Book Antiqua" w:cs="Book Antiqua"/>
        </w:rPr>
        <w:t xml:space="preserve"> de </w:t>
      </w:r>
      <w:r w:rsidR="00D52AEB">
        <w:rPr>
          <w:rFonts w:ascii="Book Antiqua" w:eastAsia="Book Antiqua" w:hAnsi="Book Antiqua" w:cs="Book Antiqua"/>
        </w:rPr>
        <w:t>mayo</w:t>
      </w:r>
      <w:r w:rsidR="00EE1E93" w:rsidRPr="00700566">
        <w:rPr>
          <w:rFonts w:ascii="Book Antiqua" w:eastAsia="Book Antiqua" w:hAnsi="Book Antiqua" w:cs="Book Antiqua"/>
        </w:rPr>
        <w:t xml:space="preserve"> de 202</w:t>
      </w:r>
      <w:r w:rsidR="00326EAF">
        <w:rPr>
          <w:rFonts w:ascii="Book Antiqua" w:eastAsia="Book Antiqua" w:hAnsi="Book Antiqua" w:cs="Book Antiqua"/>
        </w:rPr>
        <w:t>6</w:t>
      </w:r>
    </w:p>
    <w:p w14:paraId="221B1624" w14:textId="77777777" w:rsidR="00EE1E93" w:rsidRPr="00700566" w:rsidRDefault="00EE1E93" w:rsidP="00EE1E93">
      <w:pPr>
        <w:jc w:val="both"/>
        <w:rPr>
          <w:rFonts w:ascii="Book Antiqua" w:eastAsia="Book Antiqua" w:hAnsi="Book Antiqua" w:cs="Book Antiqua"/>
          <w:b/>
        </w:rPr>
      </w:pPr>
    </w:p>
    <w:p w14:paraId="042D3534" w14:textId="77777777" w:rsidR="00EE1E93" w:rsidRPr="00700566" w:rsidRDefault="00EE1E93" w:rsidP="00EE1E93">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555EC25D" w14:textId="77777777" w:rsidR="00EE1E93" w:rsidRPr="00700566" w:rsidRDefault="00EE1E93" w:rsidP="00EE1E93">
      <w:pPr>
        <w:ind w:firstLine="360"/>
        <w:jc w:val="both"/>
        <w:rPr>
          <w:rFonts w:ascii="Book Antiqua" w:eastAsia="Book Antiqua" w:hAnsi="Book Antiqua" w:cs="Book Antiqua"/>
        </w:rPr>
      </w:pPr>
    </w:p>
    <w:p w14:paraId="2F5345A6" w14:textId="0EC0AF85" w:rsidR="00EE1E93" w:rsidRPr="00700566" w:rsidRDefault="00EE1E93" w:rsidP="00EE1E93">
      <w:pPr>
        <w:ind w:firstLine="720"/>
        <w:jc w:val="both"/>
        <w:rPr>
          <w:rFonts w:ascii="Book Antiqua" w:eastAsia="Book Antiqua" w:hAnsi="Book Antiqua" w:cs="Book Antiqua"/>
        </w:rPr>
      </w:pPr>
      <w:r w:rsidRPr="00700566">
        <w:rPr>
          <w:rFonts w:ascii="Book Antiqua" w:eastAsia="Book Antiqua" w:hAnsi="Book Antiqua" w:cs="Book Antiqua"/>
        </w:rPr>
        <w:t xml:space="preserve">La Comisión de Transportación e Infraestructura de la Cámara de Representantes del Gobierno de Puerto Rico, previo estudio y consideración del </w:t>
      </w:r>
      <w:r w:rsidR="005C3826">
        <w:rPr>
          <w:rFonts w:ascii="Book Antiqua" w:eastAsia="Book Antiqua" w:hAnsi="Book Antiqua" w:cs="Book Antiqua"/>
        </w:rPr>
        <w:t>P</w:t>
      </w:r>
      <w:r w:rsidR="002B4336">
        <w:rPr>
          <w:rFonts w:ascii="Book Antiqua" w:eastAsia="Book Antiqua" w:hAnsi="Book Antiqua" w:cs="Book Antiqua"/>
        </w:rPr>
        <w:t xml:space="preserve">. </w:t>
      </w:r>
      <w:r w:rsidRPr="00700566">
        <w:rPr>
          <w:rFonts w:ascii="Book Antiqua" w:eastAsia="Book Antiqua" w:hAnsi="Book Antiqua" w:cs="Book Antiqua"/>
        </w:rPr>
        <w:t>de</w:t>
      </w:r>
      <w:r w:rsidR="00E85F76">
        <w:rPr>
          <w:rFonts w:ascii="Book Antiqua" w:eastAsia="Book Antiqua" w:hAnsi="Book Antiqua" w:cs="Book Antiqua"/>
        </w:rPr>
        <w:t>l</w:t>
      </w:r>
      <w:r w:rsidRPr="00700566">
        <w:rPr>
          <w:rFonts w:ascii="Book Antiqua" w:eastAsia="Book Antiqua" w:hAnsi="Book Antiqua" w:cs="Book Antiqua"/>
        </w:rPr>
        <w:t xml:space="preserve"> </w:t>
      </w:r>
      <w:r w:rsidR="00E85F76">
        <w:rPr>
          <w:rFonts w:ascii="Book Antiqua" w:eastAsia="Book Antiqua" w:hAnsi="Book Antiqua" w:cs="Book Antiqua"/>
        </w:rPr>
        <w:t>S</w:t>
      </w:r>
      <w:r w:rsidRPr="00700566">
        <w:rPr>
          <w:rFonts w:ascii="Book Antiqua" w:eastAsia="Book Antiqua" w:hAnsi="Book Antiqua" w:cs="Book Antiqua"/>
        </w:rPr>
        <w:t>.</w:t>
      </w:r>
      <w:r>
        <w:rPr>
          <w:rFonts w:ascii="Book Antiqua" w:eastAsia="Book Antiqua" w:hAnsi="Book Antiqua" w:cs="Book Antiqua"/>
        </w:rPr>
        <w:t xml:space="preserve"> </w:t>
      </w:r>
      <w:r w:rsidR="005C3826">
        <w:rPr>
          <w:rFonts w:ascii="Book Antiqua" w:eastAsia="Book Antiqua" w:hAnsi="Book Antiqua" w:cs="Book Antiqua"/>
        </w:rPr>
        <w:t>759</w:t>
      </w:r>
      <w:r w:rsidRPr="00700566">
        <w:rPr>
          <w:rFonts w:ascii="Book Antiqua" w:eastAsia="Book Antiqua" w:hAnsi="Book Antiqua" w:cs="Book Antiqua"/>
        </w:rPr>
        <w:t>, tiene a bien recomendar a este Alto Cuerpo la aprobación</w:t>
      </w:r>
      <w:r>
        <w:rPr>
          <w:rFonts w:ascii="Book Antiqua" w:eastAsia="Book Antiqua" w:hAnsi="Book Antiqua" w:cs="Book Antiqua"/>
        </w:rPr>
        <w:t xml:space="preserve">, </w:t>
      </w:r>
      <w:r w:rsidRPr="00CE3657">
        <w:rPr>
          <w:rFonts w:ascii="Book Antiqua" w:eastAsia="Book Antiqua" w:hAnsi="Book Antiqua" w:cs="Book Antiqua"/>
        </w:rPr>
        <w:t xml:space="preserve">con las enmiendas contenidas en el </w:t>
      </w:r>
      <w:proofErr w:type="spellStart"/>
      <w:r w:rsidRPr="00CE3657">
        <w:rPr>
          <w:rFonts w:ascii="Book Antiqua" w:eastAsia="Book Antiqua" w:hAnsi="Book Antiqua" w:cs="Book Antiqua"/>
        </w:rPr>
        <w:t>entirillado</w:t>
      </w:r>
      <w:proofErr w:type="spellEnd"/>
      <w:r>
        <w:rPr>
          <w:rFonts w:ascii="Book Antiqua" w:eastAsia="Book Antiqua" w:hAnsi="Book Antiqua" w:cs="Book Antiqua"/>
        </w:rPr>
        <w:t xml:space="preserve"> electrónico</w:t>
      </w:r>
      <w:r w:rsidRPr="00CE3657">
        <w:rPr>
          <w:rFonts w:ascii="Book Antiqua" w:eastAsia="Book Antiqua" w:hAnsi="Book Antiqua" w:cs="Book Antiqua"/>
        </w:rPr>
        <w:t xml:space="preserve"> que se acompaña</w:t>
      </w:r>
      <w:r w:rsidRPr="00700566">
        <w:rPr>
          <w:rFonts w:ascii="Book Antiqua" w:eastAsia="Book Antiqua" w:hAnsi="Book Antiqua" w:cs="Book Antiqua"/>
        </w:rPr>
        <w:t xml:space="preserve">. </w:t>
      </w:r>
    </w:p>
    <w:p w14:paraId="28A3BF4F" w14:textId="77777777" w:rsidR="00EE1E93" w:rsidRPr="00700566" w:rsidRDefault="00EE1E93" w:rsidP="00EE1E93">
      <w:pPr>
        <w:rPr>
          <w:rFonts w:ascii="Book Antiqua" w:eastAsia="Book Antiqua" w:hAnsi="Book Antiqua" w:cs="Book Antiqua"/>
          <w:b/>
          <w:sz w:val="32"/>
          <w:szCs w:val="32"/>
        </w:rPr>
      </w:pPr>
    </w:p>
    <w:p w14:paraId="2CEEF08C" w14:textId="77777777"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ALCANCE DE LA MEDIDA</w:t>
      </w:r>
    </w:p>
    <w:p w14:paraId="658F0333" w14:textId="77777777" w:rsidR="00EE1E93" w:rsidRPr="00700566" w:rsidRDefault="00EE1E93" w:rsidP="00EE1E93">
      <w:pPr>
        <w:jc w:val="both"/>
        <w:rPr>
          <w:rFonts w:ascii="Book Antiqua" w:eastAsia="Book Antiqua" w:hAnsi="Book Antiqua" w:cs="Book Antiqua"/>
        </w:rPr>
      </w:pPr>
    </w:p>
    <w:p w14:paraId="5FCF21CD" w14:textId="77777777" w:rsidR="005C3826" w:rsidRDefault="005C3826" w:rsidP="005C3826">
      <w:pPr>
        <w:ind w:firstLine="720"/>
        <w:jc w:val="both"/>
        <w:rPr>
          <w:rFonts w:ascii="Book Antiqua" w:eastAsia="Book Antiqua" w:hAnsi="Book Antiqua" w:cs="Book Antiqua"/>
          <w:bCs/>
          <w:lang w:val="es-419"/>
        </w:rPr>
      </w:pPr>
      <w:r w:rsidRPr="005C3826">
        <w:rPr>
          <w:rFonts w:ascii="Book Antiqua" w:eastAsia="Book Antiqua" w:hAnsi="Book Antiqua" w:cs="Book Antiqua"/>
          <w:bCs/>
        </w:rPr>
        <w:t xml:space="preserve">El Proyecto del Senado 759 tiene como propósito enmendar el Artículo 17.02 de la Ley Núm. 22-2000, con el fin de establecer que corresponderá al </w:t>
      </w:r>
      <w:proofErr w:type="gramStart"/>
      <w:r w:rsidRPr="005C3826">
        <w:rPr>
          <w:rFonts w:ascii="Book Antiqua" w:eastAsia="Book Antiqua" w:hAnsi="Book Antiqua" w:cs="Book Antiqua"/>
          <w:bCs/>
        </w:rPr>
        <w:t>Secretario</w:t>
      </w:r>
      <w:proofErr w:type="gramEnd"/>
      <w:r w:rsidRPr="005C3826">
        <w:rPr>
          <w:rFonts w:ascii="Book Antiqua" w:eastAsia="Book Antiqua" w:hAnsi="Book Antiqua" w:cs="Book Antiqua"/>
          <w:bCs/>
        </w:rPr>
        <w:t xml:space="preserve"> del Departamento de Transportación y Obras Públicas (DTOP) la jurisdicción exclusiva para la regulación y otorgación de licencias o permisos para operar escuelas de conductores de Categoría 3.</w:t>
      </w:r>
    </w:p>
    <w:p w14:paraId="2DCB93B5" w14:textId="77777777" w:rsidR="005C3826" w:rsidRPr="005C3826" w:rsidRDefault="005C3826" w:rsidP="005C3826">
      <w:pPr>
        <w:ind w:firstLine="720"/>
        <w:jc w:val="both"/>
        <w:rPr>
          <w:rFonts w:ascii="Book Antiqua" w:eastAsia="Book Antiqua" w:hAnsi="Book Antiqua" w:cs="Book Antiqua"/>
          <w:bCs/>
          <w:lang w:val="es-419"/>
        </w:rPr>
      </w:pPr>
    </w:p>
    <w:p w14:paraId="2850A93D" w14:textId="77777777" w:rsidR="005C3826" w:rsidRDefault="005C3826" w:rsidP="005C3826">
      <w:pPr>
        <w:ind w:firstLine="720"/>
        <w:jc w:val="both"/>
        <w:rPr>
          <w:rFonts w:ascii="Book Antiqua" w:eastAsia="Book Antiqua" w:hAnsi="Book Antiqua" w:cs="Book Antiqua"/>
          <w:bCs/>
          <w:lang w:val="es-419"/>
        </w:rPr>
      </w:pPr>
      <w:r w:rsidRPr="005C3826">
        <w:rPr>
          <w:rFonts w:ascii="Book Antiqua" w:eastAsia="Book Antiqua" w:hAnsi="Book Antiqua" w:cs="Book Antiqua"/>
          <w:bCs/>
        </w:rPr>
        <w:t>Asimismo, la medida enmienda el inciso (</w:t>
      </w:r>
      <w:proofErr w:type="spellStart"/>
      <w:r w:rsidRPr="005C3826">
        <w:rPr>
          <w:rFonts w:ascii="Book Antiqua" w:eastAsia="Book Antiqua" w:hAnsi="Book Antiqua" w:cs="Book Antiqua"/>
          <w:bCs/>
        </w:rPr>
        <w:t>bb</w:t>
      </w:r>
      <w:proofErr w:type="spellEnd"/>
      <w:r w:rsidRPr="005C3826">
        <w:rPr>
          <w:rFonts w:ascii="Book Antiqua" w:eastAsia="Book Antiqua" w:hAnsi="Book Antiqua" w:cs="Book Antiqua"/>
          <w:bCs/>
        </w:rPr>
        <w:t xml:space="preserve">) del Artículo 2 de la Ley Núm. 109 de 1962 para excluir de la definición de “empresa de vehículos de alquiler” a las escuelas de conducir o instructores de licencias Categoría 3. De igual forma, ordena al </w:t>
      </w:r>
      <w:proofErr w:type="gramStart"/>
      <w:r w:rsidRPr="005C3826">
        <w:rPr>
          <w:rFonts w:ascii="Book Antiqua" w:eastAsia="Book Antiqua" w:hAnsi="Book Antiqua" w:cs="Book Antiqua"/>
          <w:bCs/>
        </w:rPr>
        <w:t>Secretario</w:t>
      </w:r>
      <w:proofErr w:type="gramEnd"/>
      <w:r w:rsidRPr="005C3826">
        <w:rPr>
          <w:rFonts w:ascii="Book Antiqua" w:eastAsia="Book Antiqua" w:hAnsi="Book Antiqua" w:cs="Book Antiqua"/>
          <w:bCs/>
        </w:rPr>
        <w:t xml:space="preserve"> del DTOP adoptar las normas y reglamentos necesarios para implantar las disposiciones de la Ley, y al Comisionado del Negociado de Transporte y Otros Servicios Públicos (NTSP) enmendar el Reglamento Núm. 9358 para atemperarlo a lo dispuesto.</w:t>
      </w:r>
    </w:p>
    <w:p w14:paraId="532ACDD7" w14:textId="77777777" w:rsidR="005C3826" w:rsidRPr="005C3826" w:rsidRDefault="005C3826" w:rsidP="005C3826">
      <w:pPr>
        <w:ind w:firstLine="720"/>
        <w:jc w:val="both"/>
        <w:rPr>
          <w:rFonts w:ascii="Book Antiqua" w:eastAsia="Book Antiqua" w:hAnsi="Book Antiqua" w:cs="Book Antiqua"/>
          <w:bCs/>
          <w:lang w:val="es-419"/>
        </w:rPr>
      </w:pPr>
    </w:p>
    <w:p w14:paraId="397954FD" w14:textId="77777777" w:rsidR="005C3826" w:rsidRPr="005C3826" w:rsidRDefault="005C3826" w:rsidP="005C3826">
      <w:pPr>
        <w:ind w:firstLine="720"/>
        <w:jc w:val="both"/>
        <w:rPr>
          <w:rFonts w:ascii="Book Antiqua" w:eastAsia="Book Antiqua" w:hAnsi="Book Antiqua" w:cs="Book Antiqua"/>
          <w:bCs/>
        </w:rPr>
      </w:pPr>
      <w:r w:rsidRPr="005C3826">
        <w:rPr>
          <w:rFonts w:ascii="Book Antiqua" w:eastAsia="Book Antiqua" w:hAnsi="Book Antiqua" w:cs="Book Antiqua"/>
          <w:bCs/>
        </w:rPr>
        <w:t>La Exposición de Motivos establece que la medida persigue aclarar la jurisdicción regulatoria sobre las escuelas de conducir, eliminando la duplicidad entre agencias y promoviendo mayor eficiencia administrativa, transparencia y uniformidad en los procesos.</w:t>
      </w:r>
    </w:p>
    <w:p w14:paraId="7782EEA4" w14:textId="77777777" w:rsidR="00EE1E93" w:rsidRPr="00E63172" w:rsidRDefault="00EE1E93" w:rsidP="00EE1E93">
      <w:pPr>
        <w:rPr>
          <w:rFonts w:ascii="Book Antiqua" w:eastAsia="Book Antiqua" w:hAnsi="Book Antiqua" w:cs="Book Antiqua"/>
          <w:b/>
        </w:rPr>
      </w:pPr>
    </w:p>
    <w:p w14:paraId="324FD1C5" w14:textId="77777777" w:rsidR="002A3480" w:rsidRDefault="002A3480" w:rsidP="00EE1E93">
      <w:pPr>
        <w:jc w:val="center"/>
        <w:rPr>
          <w:rFonts w:ascii="Book Antiqua" w:eastAsia="Book Antiqua" w:hAnsi="Book Antiqua" w:cs="Book Antiqua"/>
          <w:b/>
        </w:rPr>
      </w:pPr>
    </w:p>
    <w:p w14:paraId="750A0D00" w14:textId="1A00F8A7"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ANÁLISIS DE LA MEDIDA</w:t>
      </w:r>
    </w:p>
    <w:p w14:paraId="1DA1A9EB" w14:textId="77777777" w:rsidR="00EE1E93" w:rsidRPr="00700566" w:rsidRDefault="00EE1E93" w:rsidP="00EE1E93">
      <w:pPr>
        <w:jc w:val="both"/>
        <w:rPr>
          <w:rFonts w:ascii="Book Antiqua" w:eastAsia="Book Antiqua" w:hAnsi="Book Antiqua" w:cs="Book Antiqua"/>
        </w:rPr>
      </w:pPr>
    </w:p>
    <w:p w14:paraId="513CD8E0" w14:textId="2FC5F6E8" w:rsidR="00EE1E93" w:rsidRDefault="00E85F76" w:rsidP="00EE1E93">
      <w:pPr>
        <w:ind w:firstLine="720"/>
        <w:jc w:val="both"/>
        <w:rPr>
          <w:rFonts w:ascii="Book Antiqua" w:eastAsia="Book Antiqua" w:hAnsi="Book Antiqua" w:cs="Book Antiqua"/>
        </w:rPr>
      </w:pPr>
      <w:r w:rsidRPr="00E85F76">
        <w:rPr>
          <w:rFonts w:ascii="Book Antiqua" w:eastAsia="Book Antiqua" w:hAnsi="Book Antiqua" w:cs="Book Antiqua"/>
        </w:rPr>
        <w:t xml:space="preserve">La Comisión de Transportación e Infraestructura, para la debida consideración y estudio </w:t>
      </w:r>
      <w:r w:rsidR="005C3826">
        <w:rPr>
          <w:rFonts w:ascii="Book Antiqua" w:eastAsia="Book Antiqua" w:hAnsi="Book Antiqua" w:cs="Book Antiqua"/>
        </w:rPr>
        <w:t>del Proyecto</w:t>
      </w:r>
      <w:r w:rsidRPr="00E85F76">
        <w:rPr>
          <w:rFonts w:ascii="Book Antiqua" w:eastAsia="Book Antiqua" w:hAnsi="Book Antiqua" w:cs="Book Antiqua"/>
        </w:rPr>
        <w:t xml:space="preserve"> del Senado </w:t>
      </w:r>
      <w:r w:rsidR="005C3826">
        <w:rPr>
          <w:rFonts w:ascii="Book Antiqua" w:eastAsia="Book Antiqua" w:hAnsi="Book Antiqua" w:cs="Book Antiqua"/>
        </w:rPr>
        <w:t>759</w:t>
      </w:r>
      <w:r w:rsidRPr="00E85F76">
        <w:rPr>
          <w:rFonts w:ascii="Book Antiqua" w:eastAsia="Book Antiqua" w:hAnsi="Book Antiqua" w:cs="Book Antiqua"/>
        </w:rPr>
        <w:t xml:space="preserve"> y en aras de fomentar la economía procesal recibió los memoriales explicativos sometidos por la Comisión de Transportación, Telecomunicaciones, Servicios Públicos y Asuntos del Consumidor del Senado de Puerto Rico. </w:t>
      </w:r>
    </w:p>
    <w:p w14:paraId="2658FA25" w14:textId="77777777" w:rsidR="00EE1E93" w:rsidRDefault="00EE1E93" w:rsidP="00EE1E93">
      <w:pPr>
        <w:jc w:val="both"/>
        <w:rPr>
          <w:rFonts w:ascii="Book Antiqua" w:eastAsia="Book Antiqua" w:hAnsi="Book Antiqua" w:cs="Book Antiqua"/>
        </w:rPr>
      </w:pPr>
    </w:p>
    <w:p w14:paraId="16292C0F" w14:textId="77777777" w:rsidR="005C3826" w:rsidRDefault="005C3826" w:rsidP="005C3826">
      <w:pPr>
        <w:ind w:firstLine="720"/>
        <w:jc w:val="both"/>
        <w:rPr>
          <w:rFonts w:ascii="Book Antiqua" w:eastAsia="Helvetica Neue" w:hAnsi="Book Antiqua" w:cs="Helvetica Neue"/>
          <w:lang w:val="es-419"/>
        </w:rPr>
      </w:pPr>
      <w:r w:rsidRPr="005C3826">
        <w:rPr>
          <w:rFonts w:ascii="Book Antiqua" w:eastAsia="Helvetica Neue" w:hAnsi="Book Antiqua" w:cs="Helvetica Neue"/>
        </w:rPr>
        <w:t>El DTOP favorece la aprobación de la medida, señalando que la misma delega de manera clara y exclusiva en dicha agencia la facultad de regular las escuelas de conducir de Categoría 3. No obstante, recomienda aclarar ciertos aspectos del proyecto, particularmente en lo relacionado con la figura de los instructores, para evitar vacíos regulatorios. Además, plantea la necesidad de armonizar los procesos administrativos, incluyendo el uso de plataformas tecnológicas existentes, a fin de facilitar la implementación de la medida.</w:t>
      </w:r>
    </w:p>
    <w:p w14:paraId="69E7C38D" w14:textId="77777777" w:rsidR="005C3826" w:rsidRPr="005C3826" w:rsidRDefault="005C3826" w:rsidP="005C3826">
      <w:pPr>
        <w:ind w:firstLine="720"/>
        <w:jc w:val="both"/>
        <w:rPr>
          <w:rFonts w:ascii="Book Antiqua" w:eastAsia="Helvetica Neue" w:hAnsi="Book Antiqua" w:cs="Helvetica Neue"/>
          <w:lang w:val="es-419"/>
        </w:rPr>
      </w:pPr>
    </w:p>
    <w:p w14:paraId="448C0AA6" w14:textId="77777777" w:rsidR="005C3826" w:rsidRDefault="005C3826" w:rsidP="005C3826">
      <w:pPr>
        <w:ind w:firstLine="720"/>
        <w:jc w:val="both"/>
        <w:rPr>
          <w:rFonts w:ascii="Book Antiqua" w:eastAsia="Helvetica Neue" w:hAnsi="Book Antiqua" w:cs="Helvetica Neue"/>
          <w:lang w:val="es-419"/>
        </w:rPr>
      </w:pPr>
      <w:r w:rsidRPr="005C3826">
        <w:rPr>
          <w:rFonts w:ascii="Book Antiqua" w:eastAsia="Helvetica Neue" w:hAnsi="Book Antiqua" w:cs="Helvetica Neue"/>
        </w:rPr>
        <w:t xml:space="preserve">Por su parte, el NTSP respalda el propósito del proyecto, destacando que históricamente ha existido una jurisdicción concurrente que ha provocado sobre reglamentación. El Negociado enfatiza que las escuelas de conducir tienen una naturaleza educativa distinta a los negocios de alquiler de vehículos, por lo que no deben ser reguladas bajo ese marco. Recomienda que se establezca claramente la exclusión de estas escuelas de la definición de “empresa de vehículos de alquiler” y que se fomente la colaboración </w:t>
      </w:r>
      <w:proofErr w:type="spellStart"/>
      <w:r w:rsidRPr="005C3826">
        <w:rPr>
          <w:rFonts w:ascii="Book Antiqua" w:eastAsia="Helvetica Neue" w:hAnsi="Book Antiqua" w:cs="Helvetica Neue"/>
        </w:rPr>
        <w:t>interagencial</w:t>
      </w:r>
      <w:proofErr w:type="spellEnd"/>
      <w:r w:rsidRPr="005C3826">
        <w:rPr>
          <w:rFonts w:ascii="Book Antiqua" w:eastAsia="Helvetica Neue" w:hAnsi="Book Antiqua" w:cs="Helvetica Neue"/>
        </w:rPr>
        <w:t xml:space="preserve"> para evitar duplicidad de esfuerzos.</w:t>
      </w:r>
    </w:p>
    <w:p w14:paraId="4189F69F" w14:textId="77777777" w:rsidR="005C3826" w:rsidRPr="005C3826" w:rsidRDefault="005C3826" w:rsidP="005C3826">
      <w:pPr>
        <w:ind w:firstLine="720"/>
        <w:jc w:val="both"/>
        <w:rPr>
          <w:rFonts w:ascii="Book Antiqua" w:eastAsia="Helvetica Neue" w:hAnsi="Book Antiqua" w:cs="Helvetica Neue"/>
          <w:lang w:val="es-419"/>
        </w:rPr>
      </w:pPr>
    </w:p>
    <w:p w14:paraId="4B815BEB" w14:textId="77777777" w:rsidR="005C3826" w:rsidRDefault="005C3826" w:rsidP="005C3826">
      <w:pPr>
        <w:ind w:firstLine="720"/>
        <w:jc w:val="both"/>
        <w:rPr>
          <w:rFonts w:ascii="Book Antiqua" w:eastAsia="Helvetica Neue" w:hAnsi="Book Antiqua" w:cs="Helvetica Neue"/>
          <w:lang w:val="es-419"/>
        </w:rPr>
      </w:pPr>
      <w:r w:rsidRPr="005C3826">
        <w:rPr>
          <w:rFonts w:ascii="Book Antiqua" w:eastAsia="Helvetica Neue" w:hAnsi="Book Antiqua" w:cs="Helvetica Neue"/>
        </w:rPr>
        <w:t xml:space="preserve">La </w:t>
      </w:r>
      <w:proofErr w:type="spellStart"/>
      <w:r w:rsidRPr="005C3826">
        <w:rPr>
          <w:rFonts w:ascii="Book Antiqua" w:eastAsia="Helvetica Neue" w:hAnsi="Book Antiqua" w:cs="Helvetica Neue"/>
        </w:rPr>
        <w:t>OGPe</w:t>
      </w:r>
      <w:proofErr w:type="spellEnd"/>
      <w:r w:rsidRPr="005C3826">
        <w:rPr>
          <w:rFonts w:ascii="Book Antiqua" w:eastAsia="Helvetica Neue" w:hAnsi="Book Antiqua" w:cs="Helvetica Neue"/>
        </w:rPr>
        <w:t xml:space="preserve">, aunque no se opone a la medida, advierte que la misma podría entrar en conflicto con el marco legal vigente en materia de permisos, particularmente con la Ley Núm. 161-2009. Señala que el proyecto podría interpretarse como una delegación de facultades al DTOP en áreas que corresponden a la </w:t>
      </w:r>
      <w:proofErr w:type="spellStart"/>
      <w:r w:rsidRPr="005C3826">
        <w:rPr>
          <w:rFonts w:ascii="Book Antiqua" w:eastAsia="Helvetica Neue" w:hAnsi="Book Antiqua" w:cs="Helvetica Neue"/>
        </w:rPr>
        <w:t>OGPe</w:t>
      </w:r>
      <w:proofErr w:type="spellEnd"/>
      <w:r w:rsidRPr="005C3826">
        <w:rPr>
          <w:rFonts w:ascii="Book Antiqua" w:eastAsia="Helvetica Neue" w:hAnsi="Book Antiqua" w:cs="Helvetica Neue"/>
        </w:rPr>
        <w:t>, los municipios autónomos o profesionales autorizados. En ese sentido, recomienda enmendar el proyecto para evitar conflictos jurisdiccionales y mantener la coherencia del sistema de permisos, destacando la importancia del Permiso Único como herramienta integradora de trámites.</w:t>
      </w:r>
    </w:p>
    <w:p w14:paraId="42E6E6B0" w14:textId="77777777" w:rsidR="005C3826" w:rsidRPr="005C3826" w:rsidRDefault="005C3826" w:rsidP="005C3826">
      <w:pPr>
        <w:ind w:firstLine="720"/>
        <w:jc w:val="both"/>
        <w:rPr>
          <w:rFonts w:ascii="Book Antiqua" w:eastAsia="Helvetica Neue" w:hAnsi="Book Antiqua" w:cs="Helvetica Neue"/>
          <w:lang w:val="es-419"/>
        </w:rPr>
      </w:pPr>
    </w:p>
    <w:p w14:paraId="3CB02980" w14:textId="77777777" w:rsidR="005C3826" w:rsidRDefault="005C3826" w:rsidP="005C3826">
      <w:pPr>
        <w:ind w:firstLine="720"/>
        <w:jc w:val="both"/>
        <w:rPr>
          <w:rFonts w:ascii="Book Antiqua" w:eastAsia="Helvetica Neue" w:hAnsi="Book Antiqua" w:cs="Helvetica Neue"/>
          <w:lang w:val="es-419"/>
        </w:rPr>
      </w:pPr>
      <w:r w:rsidRPr="005C3826">
        <w:rPr>
          <w:rFonts w:ascii="Book Antiqua" w:eastAsia="Helvetica Neue" w:hAnsi="Book Antiqua" w:cs="Helvetica Neue"/>
        </w:rPr>
        <w:t xml:space="preserve">En cuanto a los memoriales del sector privado, las escuelas de conducir expresaron, en términos generales, respaldo a la medida, reconociendo la necesidad de eliminar la duplicidad regulatoria y establecer claridad en la jurisdicción. No obstante, algunas escuelas, como New Robles </w:t>
      </w:r>
      <w:proofErr w:type="spellStart"/>
      <w:r w:rsidRPr="005C3826">
        <w:rPr>
          <w:rFonts w:ascii="Book Antiqua" w:eastAsia="Helvetica Neue" w:hAnsi="Book Antiqua" w:cs="Helvetica Neue"/>
        </w:rPr>
        <w:t>Driving</w:t>
      </w:r>
      <w:proofErr w:type="spellEnd"/>
      <w:r w:rsidRPr="005C3826">
        <w:rPr>
          <w:rFonts w:ascii="Book Antiqua" w:eastAsia="Helvetica Neue" w:hAnsi="Book Antiqua" w:cs="Helvetica Neue"/>
        </w:rPr>
        <w:t xml:space="preserve"> School, señalaron preocupaciones sobre el lenguaje del proyecto, indicando que podría prestarse a interpretaciones que mantengan múltiples esquemas regulatorios. Recomiendan aclarar o eliminar disposiciones específicas para evitar confusión.</w:t>
      </w:r>
    </w:p>
    <w:p w14:paraId="6249C25D" w14:textId="77777777" w:rsidR="005C3826" w:rsidRPr="005C3826" w:rsidRDefault="005C3826" w:rsidP="005C3826">
      <w:pPr>
        <w:ind w:firstLine="720"/>
        <w:jc w:val="both"/>
        <w:rPr>
          <w:rFonts w:ascii="Book Antiqua" w:eastAsia="Helvetica Neue" w:hAnsi="Book Antiqua" w:cs="Helvetica Neue"/>
          <w:lang w:val="es-419"/>
        </w:rPr>
      </w:pPr>
    </w:p>
    <w:p w14:paraId="4D34F941" w14:textId="77777777" w:rsidR="005C3826" w:rsidRDefault="005C3826" w:rsidP="005C3826">
      <w:pPr>
        <w:ind w:firstLine="720"/>
        <w:jc w:val="both"/>
        <w:rPr>
          <w:rFonts w:ascii="Book Antiqua" w:eastAsia="Helvetica Neue" w:hAnsi="Book Antiqua" w:cs="Helvetica Neue"/>
          <w:lang w:val="es-419"/>
        </w:rPr>
      </w:pPr>
      <w:r w:rsidRPr="005C3826">
        <w:rPr>
          <w:rFonts w:ascii="Book Antiqua" w:eastAsia="Helvetica Neue" w:hAnsi="Book Antiqua" w:cs="Helvetica Neue"/>
        </w:rPr>
        <w:t xml:space="preserve">Por otro lado, </w:t>
      </w:r>
      <w:proofErr w:type="spellStart"/>
      <w:r w:rsidRPr="005C3826">
        <w:rPr>
          <w:rFonts w:ascii="Book Antiqua" w:eastAsia="Helvetica Neue" w:hAnsi="Book Antiqua" w:cs="Helvetica Neue"/>
        </w:rPr>
        <w:t>Yadi</w:t>
      </w:r>
      <w:proofErr w:type="spellEnd"/>
      <w:r w:rsidRPr="005C3826">
        <w:rPr>
          <w:rFonts w:ascii="Book Antiqua" w:eastAsia="Helvetica Neue" w:hAnsi="Book Antiqua" w:cs="Helvetica Neue"/>
        </w:rPr>
        <w:t xml:space="preserve"> </w:t>
      </w:r>
      <w:proofErr w:type="spellStart"/>
      <w:r w:rsidRPr="005C3826">
        <w:rPr>
          <w:rFonts w:ascii="Book Antiqua" w:eastAsia="Helvetica Neue" w:hAnsi="Book Antiqua" w:cs="Helvetica Neue"/>
        </w:rPr>
        <w:t>Driving</w:t>
      </w:r>
      <w:proofErr w:type="spellEnd"/>
      <w:r w:rsidRPr="005C3826">
        <w:rPr>
          <w:rFonts w:ascii="Book Antiqua" w:eastAsia="Helvetica Neue" w:hAnsi="Book Antiqua" w:cs="Helvetica Neue"/>
        </w:rPr>
        <w:t xml:space="preserve"> School favorece la medida, pero enfatiza la necesidad de precisar el lenguaje legislativo para evitar que las escuelas de conducir sean </w:t>
      </w:r>
      <w:r w:rsidRPr="005C3826">
        <w:rPr>
          <w:rFonts w:ascii="Book Antiqua" w:eastAsia="Helvetica Neue" w:hAnsi="Book Antiqua" w:cs="Helvetica Neue"/>
        </w:rPr>
        <w:lastRenderedPageBreak/>
        <w:t>nuevamente clasificadas como negocios de alquiler de vehículos. Asimismo, Judith Driving School respalda el proyecto, pero recomienda que el DTOP considere la participación del sector en el proceso reglamentario, a fin de garantizar que las normas respondan a la realidad operacional de las escuelas.</w:t>
      </w:r>
    </w:p>
    <w:p w14:paraId="4C6E9C12" w14:textId="77777777" w:rsidR="005C3826" w:rsidRPr="005C3826" w:rsidRDefault="005C3826" w:rsidP="005C3826">
      <w:pPr>
        <w:ind w:firstLine="720"/>
        <w:jc w:val="both"/>
        <w:rPr>
          <w:rFonts w:ascii="Book Antiqua" w:eastAsia="Helvetica Neue" w:hAnsi="Book Antiqua" w:cs="Helvetica Neue"/>
          <w:lang w:val="es-419"/>
        </w:rPr>
      </w:pPr>
    </w:p>
    <w:p w14:paraId="1FD70E3F" w14:textId="7B117288" w:rsidR="00891F6B" w:rsidRDefault="005C3826" w:rsidP="002A3480">
      <w:pPr>
        <w:ind w:firstLine="720"/>
        <w:jc w:val="both"/>
        <w:rPr>
          <w:rFonts w:ascii="Book Antiqua" w:eastAsia="Helvetica Neue" w:hAnsi="Book Antiqua" w:cs="Helvetica Neue"/>
          <w:lang w:val="es-419"/>
        </w:rPr>
      </w:pPr>
      <w:r w:rsidRPr="005C3826">
        <w:rPr>
          <w:rFonts w:ascii="Book Antiqua" w:eastAsia="Helvetica Neue" w:hAnsi="Book Antiqua" w:cs="Helvetica Neue"/>
        </w:rPr>
        <w:t>Finalmente, la Lcda. Blanca Ruperto Morales coincide con la intención del proyecto, destacando que las escuelas de conducir tienen una naturaleza educativa y no comercial, lo que justifica su exclusión de la jurisdicción del NTSP en este contexto. No obstante, recomienda fortalecer el lenguaje legislativo para evitar interpretaciones que permitan una jurisdicción concurrente no intencionada.</w:t>
      </w:r>
    </w:p>
    <w:p w14:paraId="1FE0CB79" w14:textId="77777777" w:rsidR="002A3480" w:rsidRPr="002A3480" w:rsidRDefault="002A3480" w:rsidP="002A3480">
      <w:pPr>
        <w:ind w:firstLine="720"/>
        <w:jc w:val="both"/>
        <w:rPr>
          <w:rFonts w:ascii="Book Antiqua" w:eastAsia="Helvetica Neue" w:hAnsi="Book Antiqua" w:cs="Helvetica Neue"/>
          <w:lang w:val="es-419"/>
        </w:rPr>
      </w:pPr>
    </w:p>
    <w:p w14:paraId="22D3F2CE" w14:textId="77777777" w:rsidR="00B728D7" w:rsidRDefault="00B728D7" w:rsidP="003025EC">
      <w:pPr>
        <w:jc w:val="center"/>
        <w:rPr>
          <w:rFonts w:ascii="Book Antiqua" w:eastAsia="Helvetica Neue" w:hAnsi="Book Antiqua" w:cs="Helvetica Neue"/>
          <w:b/>
          <w:bCs/>
          <w:color w:val="313131"/>
          <w:lang w:val="es-PR"/>
        </w:rPr>
      </w:pPr>
    </w:p>
    <w:p w14:paraId="5F136EE3" w14:textId="09B93FDF" w:rsidR="00EE1E93" w:rsidRPr="000D1E9A" w:rsidRDefault="00EE1E93" w:rsidP="003025EC">
      <w:pPr>
        <w:jc w:val="center"/>
        <w:rPr>
          <w:rFonts w:ascii="Book Antiqua" w:eastAsia="Helvetica Neue" w:hAnsi="Book Antiqua" w:cs="Helvetica Neue"/>
        </w:rPr>
      </w:pPr>
      <w:r w:rsidRPr="000D1E9A">
        <w:rPr>
          <w:rFonts w:ascii="Book Antiqua" w:eastAsia="Helvetica Neue" w:hAnsi="Book Antiqua" w:cs="Helvetica Neue"/>
          <w:b/>
          <w:bCs/>
          <w:lang w:val="es-ES"/>
        </w:rPr>
        <w:t>IMPACTO FISCAL</w:t>
      </w:r>
    </w:p>
    <w:p w14:paraId="0791DDD3" w14:textId="77777777" w:rsidR="00EE1E93" w:rsidRPr="000D1E9A" w:rsidRDefault="00EE1E93" w:rsidP="00EE1E93">
      <w:pPr>
        <w:jc w:val="both"/>
        <w:rPr>
          <w:rFonts w:ascii="Book Antiqua" w:eastAsia="Helvetica Neue" w:hAnsi="Book Antiqua" w:cs="Helvetica Neue"/>
          <w:b/>
        </w:rPr>
      </w:pPr>
    </w:p>
    <w:p w14:paraId="26FECE0C" w14:textId="6763B79A" w:rsidR="00A44E76" w:rsidRDefault="00EE1E93" w:rsidP="002A3480">
      <w:pPr>
        <w:jc w:val="both"/>
        <w:rPr>
          <w:rFonts w:ascii="Book Antiqua" w:eastAsia="Helvetica Neue" w:hAnsi="Book Antiqua" w:cs="Helvetica Neue"/>
          <w:bCs/>
        </w:rPr>
      </w:pPr>
      <w:r w:rsidRPr="000D1E9A">
        <w:rPr>
          <w:rFonts w:ascii="Book Antiqua" w:eastAsia="Helvetica Neue" w:hAnsi="Book Antiqua" w:cs="Helvetica Neue"/>
          <w:bCs/>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7F078D0E" w14:textId="77777777" w:rsidR="002A3480" w:rsidRPr="002A3480" w:rsidRDefault="002A3480" w:rsidP="002A3480">
      <w:pPr>
        <w:jc w:val="both"/>
        <w:rPr>
          <w:rFonts w:ascii="Book Antiqua" w:eastAsia="Helvetica Neue" w:hAnsi="Book Antiqua" w:cs="Helvetica Neue"/>
        </w:rPr>
      </w:pPr>
    </w:p>
    <w:p w14:paraId="44F53EA5" w14:textId="77777777" w:rsidR="00891F6B" w:rsidRDefault="00891F6B" w:rsidP="00EE1E93">
      <w:pPr>
        <w:jc w:val="center"/>
        <w:rPr>
          <w:rFonts w:ascii="Book Antiqua" w:eastAsia="Book Antiqua" w:hAnsi="Book Antiqua" w:cs="Book Antiqua"/>
          <w:b/>
        </w:rPr>
      </w:pPr>
    </w:p>
    <w:p w14:paraId="4558F33E" w14:textId="3DB36A38"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CONCLUSIÓN</w:t>
      </w:r>
    </w:p>
    <w:p w14:paraId="007872A2" w14:textId="77777777" w:rsidR="00EE1E93" w:rsidRPr="00700566" w:rsidRDefault="00EE1E93" w:rsidP="00EE1E93">
      <w:pPr>
        <w:jc w:val="both"/>
        <w:rPr>
          <w:rFonts w:ascii="Book Antiqua" w:eastAsia="Book Antiqua" w:hAnsi="Book Antiqua" w:cs="Book Antiqua"/>
        </w:rPr>
      </w:pPr>
    </w:p>
    <w:p w14:paraId="4FB5A14A" w14:textId="673F95EF" w:rsidR="00EE1E93" w:rsidRDefault="005C3826" w:rsidP="005C3826">
      <w:pPr>
        <w:ind w:firstLine="720"/>
        <w:jc w:val="both"/>
        <w:rPr>
          <w:rFonts w:ascii="Book Antiqua" w:eastAsia="Book Antiqua" w:hAnsi="Book Antiqua" w:cs="Book Antiqua"/>
        </w:rPr>
      </w:pPr>
      <w:r w:rsidRPr="005C3826">
        <w:rPr>
          <w:rFonts w:ascii="Book Antiqua" w:eastAsia="Book Antiqua" w:hAnsi="Book Antiqua" w:cs="Book Antiqua"/>
        </w:rPr>
        <w:t>La Comisión de Transportación e Infraestructura concluye que el Proyecto del Senado 759 atiende una problemática real en cuanto a la duplicidad y falta de claridad en la jurisdicción regulatoria sobre las escuelas de conducir de Categoría 3. La medida promueve una estructura más eficiente y coherente, al centralizar en el DTOP la regulación de estas entidades y reconocer su naturaleza educativa.</w:t>
      </w:r>
    </w:p>
    <w:p w14:paraId="5629454A" w14:textId="77777777" w:rsidR="005C3826" w:rsidRDefault="005C3826" w:rsidP="005C3826">
      <w:pPr>
        <w:ind w:firstLine="720"/>
        <w:jc w:val="both"/>
        <w:rPr>
          <w:rFonts w:ascii="Book Antiqua" w:eastAsia="Book Antiqua" w:hAnsi="Book Antiqua" w:cs="Book Antiqua"/>
        </w:rPr>
      </w:pPr>
    </w:p>
    <w:p w14:paraId="773ECD0D" w14:textId="2CC865A4" w:rsidR="002A3480" w:rsidRDefault="002A3480" w:rsidP="005C3826">
      <w:pPr>
        <w:ind w:firstLine="720"/>
        <w:jc w:val="both"/>
        <w:rPr>
          <w:rFonts w:ascii="Book Antiqua" w:eastAsia="Book Antiqua" w:hAnsi="Book Antiqua" w:cs="Book Antiqua"/>
        </w:rPr>
      </w:pPr>
      <w:r w:rsidRPr="002A3480">
        <w:rPr>
          <w:rFonts w:ascii="Book Antiqua" w:eastAsia="Book Antiqua" w:hAnsi="Book Antiqua" w:cs="Book Antiqua"/>
        </w:rPr>
        <w:t xml:space="preserve">En ese sentido, esta Comisión enmendó la medida, según reflejado en el </w:t>
      </w:r>
      <w:proofErr w:type="spellStart"/>
      <w:r w:rsidRPr="002A3480">
        <w:rPr>
          <w:rFonts w:ascii="Book Antiqua" w:eastAsia="Book Antiqua" w:hAnsi="Book Antiqua" w:cs="Book Antiqua"/>
        </w:rPr>
        <w:t>entirillado</w:t>
      </w:r>
      <w:proofErr w:type="spellEnd"/>
      <w:r w:rsidRPr="002A3480">
        <w:rPr>
          <w:rFonts w:ascii="Book Antiqua" w:eastAsia="Book Antiqua" w:hAnsi="Book Antiqua" w:cs="Book Antiqua"/>
        </w:rPr>
        <w:t xml:space="preserve"> electrónico, a los fines de eliminar todo lenguaje que incluía o pudiera interpretarse como que las escuelas de conducir o los instructores de licencias Categoría 3 forman parte de la definición de “empresa de vehículos de alquiler” contenida en la Ley Núm. 109 de 1962. Con ello, se atienden las preocupaciones planteadas en los memoriales evaluados y se evita una jurisdicción concurrente no intencionada, reafirmando la naturaleza educativa de estas entidades y su adecuada regulación.</w:t>
      </w:r>
    </w:p>
    <w:p w14:paraId="12C718DC" w14:textId="77777777" w:rsidR="002A3480" w:rsidRPr="00886B04" w:rsidRDefault="002A3480" w:rsidP="005C3826">
      <w:pPr>
        <w:ind w:firstLine="720"/>
        <w:jc w:val="both"/>
        <w:rPr>
          <w:rFonts w:ascii="Book Antiqua" w:eastAsia="Book Antiqua" w:hAnsi="Book Antiqua" w:cs="Book Antiqua"/>
          <w:lang w:val="es-419"/>
        </w:rPr>
      </w:pPr>
    </w:p>
    <w:p w14:paraId="05F96B97" w14:textId="7D346E4F" w:rsidR="00EE1E93" w:rsidRPr="00A11D0B" w:rsidRDefault="00EE1E93" w:rsidP="00EE1E93">
      <w:pPr>
        <w:jc w:val="both"/>
        <w:rPr>
          <w:rFonts w:ascii="Book Antiqua" w:eastAsia="Book Antiqua" w:hAnsi="Book Antiqua" w:cs="Book Antiqua"/>
        </w:rPr>
      </w:pPr>
      <w:r>
        <w:rPr>
          <w:rFonts w:ascii="Book Antiqua" w:eastAsia="Book Antiqua" w:hAnsi="Book Antiqua" w:cs="Book Antiqua"/>
        </w:rPr>
        <w:tab/>
      </w:r>
      <w:r w:rsidRPr="00A11D0B">
        <w:rPr>
          <w:rFonts w:ascii="Book Antiqua" w:eastAsia="Book Antiqua" w:hAnsi="Book Antiqua" w:cs="Book Antiqua"/>
        </w:rPr>
        <w:t>Por los fundamentos antes expuestos, la Comisión de Transportación e Infraestructura, somete el presente Informe Positivo</w:t>
      </w:r>
      <w:r>
        <w:rPr>
          <w:rFonts w:ascii="Book Antiqua" w:eastAsia="Book Antiqua" w:hAnsi="Book Antiqua" w:cs="Book Antiqua"/>
        </w:rPr>
        <w:t xml:space="preserve"> de</w:t>
      </w:r>
      <w:r w:rsidR="00684107">
        <w:rPr>
          <w:rFonts w:ascii="Book Antiqua" w:eastAsia="Book Antiqua" w:hAnsi="Book Antiqua" w:cs="Book Antiqua"/>
        </w:rPr>
        <w:t>l</w:t>
      </w:r>
      <w:r>
        <w:rPr>
          <w:rFonts w:ascii="Book Antiqua" w:eastAsia="Book Antiqua" w:hAnsi="Book Antiqua" w:cs="Book Antiqua"/>
        </w:rPr>
        <w:t xml:space="preserve"> </w:t>
      </w:r>
      <w:r w:rsidR="00966EBD">
        <w:rPr>
          <w:rFonts w:ascii="Book Antiqua" w:eastAsia="Book Antiqua" w:hAnsi="Book Antiqua" w:cs="Book Antiqua"/>
        </w:rPr>
        <w:t>P</w:t>
      </w:r>
      <w:r w:rsidR="000D1E9A">
        <w:rPr>
          <w:rFonts w:ascii="Book Antiqua" w:eastAsia="Book Antiqua" w:hAnsi="Book Antiqua" w:cs="Book Antiqua"/>
        </w:rPr>
        <w:t xml:space="preserve">. </w:t>
      </w:r>
      <w:r>
        <w:rPr>
          <w:rFonts w:ascii="Book Antiqua" w:eastAsia="Book Antiqua" w:hAnsi="Book Antiqua" w:cs="Book Antiqua"/>
        </w:rPr>
        <w:t>de</w:t>
      </w:r>
      <w:r w:rsidR="007A01F7">
        <w:rPr>
          <w:rFonts w:ascii="Book Antiqua" w:eastAsia="Book Antiqua" w:hAnsi="Book Antiqua" w:cs="Book Antiqua"/>
        </w:rPr>
        <w:t>l</w:t>
      </w:r>
      <w:r>
        <w:rPr>
          <w:rFonts w:ascii="Book Antiqua" w:eastAsia="Book Antiqua" w:hAnsi="Book Antiqua" w:cs="Book Antiqua"/>
        </w:rPr>
        <w:t xml:space="preserve"> </w:t>
      </w:r>
      <w:r w:rsidR="007A01F7">
        <w:rPr>
          <w:rFonts w:ascii="Book Antiqua" w:eastAsia="Book Antiqua" w:hAnsi="Book Antiqua" w:cs="Book Antiqua"/>
        </w:rPr>
        <w:t>S</w:t>
      </w:r>
      <w:r>
        <w:rPr>
          <w:rFonts w:ascii="Book Antiqua" w:eastAsia="Book Antiqua" w:hAnsi="Book Antiqua" w:cs="Book Antiqua"/>
        </w:rPr>
        <w:t>.</w:t>
      </w:r>
      <w:r w:rsidR="00DD7530">
        <w:rPr>
          <w:rFonts w:ascii="Book Antiqua" w:eastAsia="Book Antiqua" w:hAnsi="Book Antiqua" w:cs="Book Antiqua"/>
        </w:rPr>
        <w:t xml:space="preserve"> </w:t>
      </w:r>
      <w:r w:rsidR="00966EBD">
        <w:rPr>
          <w:rFonts w:ascii="Book Antiqua" w:eastAsia="Book Antiqua" w:hAnsi="Book Antiqua" w:cs="Book Antiqua"/>
        </w:rPr>
        <w:t>759</w:t>
      </w:r>
      <w:r w:rsidRPr="00A11D0B">
        <w:rPr>
          <w:rFonts w:ascii="Book Antiqua" w:eastAsia="Book Antiqua" w:hAnsi="Book Antiqua" w:cs="Book Antiqua"/>
        </w:rPr>
        <w:t xml:space="preserve"> en el que recomendamos a este Honorable Cuerpo su aprobación, con enmiendas incluidas en el </w:t>
      </w:r>
      <w:proofErr w:type="spellStart"/>
      <w:r w:rsidRPr="00A11D0B">
        <w:rPr>
          <w:rFonts w:ascii="Book Antiqua" w:eastAsia="Book Antiqua" w:hAnsi="Book Antiqua" w:cs="Book Antiqua"/>
        </w:rPr>
        <w:t>entirillado</w:t>
      </w:r>
      <w:proofErr w:type="spellEnd"/>
      <w:r w:rsidRPr="00A11D0B">
        <w:rPr>
          <w:rFonts w:ascii="Book Antiqua" w:eastAsia="Book Antiqua" w:hAnsi="Book Antiqua" w:cs="Book Antiqua"/>
        </w:rPr>
        <w:t xml:space="preserve"> electrónico que se acompaña.</w:t>
      </w:r>
    </w:p>
    <w:p w14:paraId="5FDEEE2D" w14:textId="77777777" w:rsidR="00EE1E93" w:rsidRPr="00700566" w:rsidRDefault="00EE1E93" w:rsidP="00EE1E93">
      <w:pPr>
        <w:jc w:val="both"/>
        <w:rPr>
          <w:rFonts w:ascii="Book Antiqua" w:eastAsia="Book Antiqua" w:hAnsi="Book Antiqua" w:cs="Book Antiqua"/>
        </w:rPr>
      </w:pPr>
    </w:p>
    <w:p w14:paraId="322DDD2A" w14:textId="77777777" w:rsidR="002A3480" w:rsidRDefault="002A3480" w:rsidP="00EE1E93">
      <w:pPr>
        <w:jc w:val="both"/>
        <w:rPr>
          <w:rFonts w:ascii="Book Antiqua" w:eastAsia="Book Antiqua" w:hAnsi="Book Antiqua" w:cs="Book Antiqua"/>
        </w:rPr>
      </w:pPr>
    </w:p>
    <w:p w14:paraId="69E01298" w14:textId="77777777" w:rsidR="002A3480" w:rsidRDefault="002A3480" w:rsidP="00EE1E93">
      <w:pPr>
        <w:jc w:val="both"/>
        <w:rPr>
          <w:rFonts w:ascii="Book Antiqua" w:eastAsia="Book Antiqua" w:hAnsi="Book Antiqua" w:cs="Book Antiqua"/>
        </w:rPr>
      </w:pPr>
    </w:p>
    <w:p w14:paraId="7DA5C08D" w14:textId="248A54B3" w:rsidR="00FC02D0" w:rsidRDefault="00EE1E93" w:rsidP="00EE1E93">
      <w:pPr>
        <w:jc w:val="both"/>
        <w:rPr>
          <w:rFonts w:ascii="Book Antiqua" w:eastAsia="Book Antiqua" w:hAnsi="Book Antiqua" w:cs="Book Antiqua"/>
        </w:rPr>
      </w:pPr>
      <w:r w:rsidRPr="00700566">
        <w:rPr>
          <w:rFonts w:ascii="Book Antiqua" w:eastAsia="Book Antiqua" w:hAnsi="Book Antiqua" w:cs="Book Antiqua"/>
        </w:rPr>
        <w:lastRenderedPageBreak/>
        <w:t>Respetuosamente sometido,</w:t>
      </w:r>
    </w:p>
    <w:p w14:paraId="3F71B55A" w14:textId="77777777" w:rsidR="002A3480" w:rsidRDefault="002A3480" w:rsidP="00EE1E93">
      <w:pPr>
        <w:jc w:val="both"/>
        <w:rPr>
          <w:rFonts w:ascii="Book Antiqua" w:eastAsia="Book Antiqua" w:hAnsi="Book Antiqua" w:cs="Book Antiqua"/>
        </w:rPr>
      </w:pPr>
    </w:p>
    <w:p w14:paraId="28F1A4DE" w14:textId="77777777" w:rsidR="002A3480" w:rsidRDefault="002A3480" w:rsidP="00EE1E93">
      <w:pPr>
        <w:jc w:val="both"/>
        <w:rPr>
          <w:rFonts w:ascii="Book Antiqua" w:eastAsia="Book Antiqua" w:hAnsi="Book Antiqua" w:cs="Book Antiqua"/>
        </w:rPr>
      </w:pPr>
    </w:p>
    <w:p w14:paraId="3902EF86" w14:textId="77777777" w:rsidR="002A3480" w:rsidRDefault="002A3480" w:rsidP="00EE1E93">
      <w:pPr>
        <w:jc w:val="both"/>
        <w:rPr>
          <w:rFonts w:ascii="Book Antiqua" w:eastAsia="Book Antiqua" w:hAnsi="Book Antiqua" w:cs="Book Antiqua"/>
        </w:rPr>
      </w:pPr>
    </w:p>
    <w:p w14:paraId="38331031" w14:textId="77777777" w:rsidR="002A3480" w:rsidRPr="00700566" w:rsidRDefault="002A3480" w:rsidP="00EE1E93">
      <w:pPr>
        <w:jc w:val="both"/>
        <w:rPr>
          <w:rFonts w:ascii="Book Antiqua" w:eastAsia="Book Antiqua" w:hAnsi="Book Antiqua" w:cs="Book Antiqua"/>
        </w:rPr>
      </w:pPr>
    </w:p>
    <w:p w14:paraId="5FFE1EFE"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 xml:space="preserve">Hon. José </w:t>
      </w:r>
      <w:r>
        <w:rPr>
          <w:rFonts w:ascii="Book Antiqua" w:eastAsia="Book Antiqua" w:hAnsi="Book Antiqua" w:cs="Book Antiqua"/>
        </w:rPr>
        <w:t xml:space="preserve">A. </w:t>
      </w:r>
      <w:r w:rsidRPr="00700566">
        <w:rPr>
          <w:rFonts w:ascii="Book Antiqua" w:eastAsia="Book Antiqua" w:hAnsi="Book Antiqua" w:cs="Book Antiqua"/>
        </w:rPr>
        <w:t xml:space="preserve">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32F7EF6F"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6CA94425"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p w14:paraId="65A6C890" w14:textId="77777777" w:rsidR="00EE1E93" w:rsidRPr="00700566" w:rsidRDefault="00EE1E93">
      <w:pPr>
        <w:jc w:val="both"/>
        <w:rPr>
          <w:rFonts w:ascii="Book Antiqua" w:eastAsia="Book Antiqua" w:hAnsi="Book Antiqua" w:cs="Book Antiqua"/>
        </w:rPr>
      </w:pPr>
    </w:p>
    <w:sectPr w:rsidR="00EE1E93"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2B65FB" w14:textId="77777777" w:rsidR="00E16ACE" w:rsidRDefault="00E16ACE">
      <w:r>
        <w:separator/>
      </w:r>
    </w:p>
  </w:endnote>
  <w:endnote w:type="continuationSeparator" w:id="0">
    <w:p w14:paraId="51ECC8A5" w14:textId="77777777" w:rsidR="00E16ACE" w:rsidRDefault="00E16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7ACCCEE-8297-472D-A06F-4AB566204944}"/>
  </w:font>
  <w:font w:name="Helvetica">
    <w:panose1 w:val="020B0604020202020204"/>
    <w:charset w:val="00"/>
    <w:family w:val="swiss"/>
    <w:pitch w:val="variable"/>
    <w:sig w:usb0="E0002EFF" w:usb1="C000785B" w:usb2="00000009" w:usb3="00000000" w:csb0="000001FF" w:csb1="00000000"/>
    <w:embedRegular r:id="rId2" w:fontKey="{F28B6191-4829-4C7B-AEBF-FA50C25601D5}"/>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5CD1D1C4-0E85-443C-A714-03D116E11321}"/>
  </w:font>
  <w:font w:name="Georgia">
    <w:panose1 w:val="02040502050405020303"/>
    <w:charset w:val="00"/>
    <w:family w:val="roman"/>
    <w:pitch w:val="variable"/>
    <w:sig w:usb0="00000287" w:usb1="00000000" w:usb2="00000000" w:usb3="00000000" w:csb0="0000009F" w:csb1="00000000"/>
    <w:embedRegular r:id="rId4" w:fontKey="{23910DB5-19EF-4357-A272-7A37A3A3D053}"/>
    <w:embedItalic r:id="rId5" w:fontKey="{70801A32-8921-4440-9B83-B6181F60F5FC}"/>
  </w:font>
  <w:font w:name="Book Antiqua">
    <w:panose1 w:val="02040602050305030304"/>
    <w:charset w:val="00"/>
    <w:family w:val="roman"/>
    <w:pitch w:val="variable"/>
    <w:sig w:usb0="00000287" w:usb1="00000000" w:usb2="00000000" w:usb3="00000000" w:csb0="0000009F" w:csb1="00000000"/>
    <w:embedRegular r:id="rId6" w:fontKey="{DA5417CC-E401-49D9-8B69-3130CD1B4B4D}"/>
    <w:embedBold r:id="rId7" w:fontKey="{18C96EDA-42DE-443C-82B3-9ADF6C7C6E17}"/>
  </w:font>
  <w:font w:name="Helvetica Neue">
    <w:charset w:val="00"/>
    <w:family w:val="auto"/>
    <w:pitch w:val="default"/>
    <w:embedRegular r:id="rId8" w:fontKey="{EC8347B9-0423-48E3-8BA8-91EA70F2B516}"/>
    <w:embedBold r:id="rId9" w:fontKey="{DF5787F5-8816-400D-A67F-D48CD1BFCFFA}"/>
  </w:font>
  <w:font w:name="Lustria">
    <w:altName w:val="Calibri"/>
    <w:charset w:val="00"/>
    <w:family w:val="auto"/>
    <w:pitch w:val="default"/>
    <w:embedRegular r:id="rId10" w:fontKey="{7504369B-886D-461A-8F78-674BE10FC265}"/>
    <w:embedBoldItalic r:id="rId11" w:fontKey="{F72BE697-9B99-41B7-B71A-BBA7A5F76176}"/>
  </w:font>
  <w:font w:name="Cambria">
    <w:panose1 w:val="02040503050406030204"/>
    <w:charset w:val="00"/>
    <w:family w:val="roman"/>
    <w:pitch w:val="variable"/>
    <w:sig w:usb0="E00006FF" w:usb1="420024FF" w:usb2="02000000" w:usb3="00000000" w:csb0="0000019F" w:csb1="00000000"/>
    <w:embedRegular r:id="rId12" w:fontKey="{30CA3FAF-27EC-4CF5-A10E-D4DAC9EC95C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1C7ED6" w14:textId="77777777" w:rsidR="00E16ACE" w:rsidRDefault="00E16ACE">
      <w:r>
        <w:separator/>
      </w:r>
    </w:p>
  </w:footnote>
  <w:footnote w:type="continuationSeparator" w:id="0">
    <w:p w14:paraId="18C494F2" w14:textId="77777777" w:rsidR="00E16ACE" w:rsidRDefault="00E16A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72ECDACF"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w:t>
    </w:r>
    <w:r w:rsidR="005C3826">
      <w:rPr>
        <w:rFonts w:ascii="Lustria" w:eastAsia="Lustria" w:hAnsi="Lustria" w:cs="Lustria"/>
        <w:b/>
        <w:i/>
        <w:sz w:val="22"/>
        <w:szCs w:val="22"/>
      </w:rPr>
      <w:t>P</w:t>
    </w:r>
    <w:r w:rsidR="00B23695">
      <w:rPr>
        <w:rFonts w:ascii="Lustria" w:eastAsia="Lustria" w:hAnsi="Lustria" w:cs="Lustria"/>
        <w:b/>
        <w:i/>
        <w:sz w:val="22"/>
        <w:szCs w:val="22"/>
      </w:rPr>
      <w:t xml:space="preserve">. </w:t>
    </w:r>
    <w:r>
      <w:rPr>
        <w:rFonts w:ascii="Lustria" w:eastAsia="Lustria" w:hAnsi="Lustria" w:cs="Lustria"/>
        <w:b/>
        <w:i/>
        <w:sz w:val="22"/>
        <w:szCs w:val="22"/>
      </w:rPr>
      <w:t>de</w:t>
    </w:r>
    <w:r w:rsidR="00E85F76">
      <w:rPr>
        <w:rFonts w:ascii="Lustria" w:eastAsia="Lustria" w:hAnsi="Lustria" w:cs="Lustria"/>
        <w:b/>
        <w:i/>
        <w:sz w:val="22"/>
        <w:szCs w:val="22"/>
      </w:rPr>
      <w:t>l</w:t>
    </w:r>
    <w:r>
      <w:rPr>
        <w:rFonts w:ascii="Lustria" w:eastAsia="Lustria" w:hAnsi="Lustria" w:cs="Lustria"/>
        <w:b/>
        <w:i/>
        <w:sz w:val="22"/>
        <w:szCs w:val="22"/>
      </w:rPr>
      <w:t xml:space="preserve"> </w:t>
    </w:r>
    <w:r w:rsidR="00E85F76">
      <w:rPr>
        <w:rFonts w:ascii="Lustria" w:eastAsia="Lustria" w:hAnsi="Lustria" w:cs="Lustria"/>
        <w:b/>
        <w:i/>
        <w:sz w:val="22"/>
        <w:szCs w:val="22"/>
      </w:rPr>
      <w:t>S</w:t>
    </w:r>
    <w:r>
      <w:rPr>
        <w:rFonts w:ascii="Lustria" w:eastAsia="Lustria" w:hAnsi="Lustria" w:cs="Lustria"/>
        <w:b/>
        <w:i/>
        <w:sz w:val="22"/>
        <w:szCs w:val="22"/>
      </w:rPr>
      <w:t xml:space="preserve">. </w:t>
    </w:r>
    <w:r w:rsidR="005C3826">
      <w:rPr>
        <w:rFonts w:ascii="Lustria" w:eastAsia="Lustria" w:hAnsi="Lustria" w:cs="Lustria"/>
        <w:b/>
        <w:i/>
        <w:sz w:val="22"/>
        <w:szCs w:val="22"/>
      </w:rPr>
      <w:t>759</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5089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12F1A"/>
    <w:rsid w:val="0001379B"/>
    <w:rsid w:val="00020305"/>
    <w:rsid w:val="0002740C"/>
    <w:rsid w:val="00027729"/>
    <w:rsid w:val="00051D05"/>
    <w:rsid w:val="000562AB"/>
    <w:rsid w:val="00074013"/>
    <w:rsid w:val="00080F3B"/>
    <w:rsid w:val="000A19FD"/>
    <w:rsid w:val="000A5E2C"/>
    <w:rsid w:val="000A752D"/>
    <w:rsid w:val="000C098A"/>
    <w:rsid w:val="000D1E9A"/>
    <w:rsid w:val="000D2DA6"/>
    <w:rsid w:val="000F7A24"/>
    <w:rsid w:val="00101FB4"/>
    <w:rsid w:val="0012417C"/>
    <w:rsid w:val="0013656C"/>
    <w:rsid w:val="00147B7C"/>
    <w:rsid w:val="00160C1F"/>
    <w:rsid w:val="001619B2"/>
    <w:rsid w:val="00171293"/>
    <w:rsid w:val="001714C4"/>
    <w:rsid w:val="00176DA0"/>
    <w:rsid w:val="0019085D"/>
    <w:rsid w:val="00191185"/>
    <w:rsid w:val="001919C2"/>
    <w:rsid w:val="00196C5A"/>
    <w:rsid w:val="001A3E93"/>
    <w:rsid w:val="001D424E"/>
    <w:rsid w:val="001E16CE"/>
    <w:rsid w:val="001E2EB4"/>
    <w:rsid w:val="001E6E24"/>
    <w:rsid w:val="00202B9F"/>
    <w:rsid w:val="00204C67"/>
    <w:rsid w:val="00220975"/>
    <w:rsid w:val="00222393"/>
    <w:rsid w:val="00235829"/>
    <w:rsid w:val="00253784"/>
    <w:rsid w:val="00266B2F"/>
    <w:rsid w:val="00274850"/>
    <w:rsid w:val="002A3480"/>
    <w:rsid w:val="002B3EE3"/>
    <w:rsid w:val="002B4336"/>
    <w:rsid w:val="002D4DC3"/>
    <w:rsid w:val="002E1FA6"/>
    <w:rsid w:val="002E62AC"/>
    <w:rsid w:val="002E69C5"/>
    <w:rsid w:val="002E6DD3"/>
    <w:rsid w:val="002F2F5A"/>
    <w:rsid w:val="002F44CD"/>
    <w:rsid w:val="003025EC"/>
    <w:rsid w:val="003072C1"/>
    <w:rsid w:val="00326EAF"/>
    <w:rsid w:val="003277C8"/>
    <w:rsid w:val="00333FB4"/>
    <w:rsid w:val="003448B4"/>
    <w:rsid w:val="0035050C"/>
    <w:rsid w:val="0035616B"/>
    <w:rsid w:val="0037197C"/>
    <w:rsid w:val="00373E49"/>
    <w:rsid w:val="00382780"/>
    <w:rsid w:val="00383D79"/>
    <w:rsid w:val="003867AC"/>
    <w:rsid w:val="0039352E"/>
    <w:rsid w:val="0039437F"/>
    <w:rsid w:val="003A0F94"/>
    <w:rsid w:val="003E0ADB"/>
    <w:rsid w:val="003E479C"/>
    <w:rsid w:val="003F43A2"/>
    <w:rsid w:val="00400B99"/>
    <w:rsid w:val="004277D8"/>
    <w:rsid w:val="00431557"/>
    <w:rsid w:val="00433FEB"/>
    <w:rsid w:val="0044377E"/>
    <w:rsid w:val="004673DA"/>
    <w:rsid w:val="0047119B"/>
    <w:rsid w:val="004730E0"/>
    <w:rsid w:val="00473D39"/>
    <w:rsid w:val="00475814"/>
    <w:rsid w:val="0049326F"/>
    <w:rsid w:val="004A6565"/>
    <w:rsid w:val="004B370E"/>
    <w:rsid w:val="004D3D36"/>
    <w:rsid w:val="004E2554"/>
    <w:rsid w:val="004E28E4"/>
    <w:rsid w:val="00501798"/>
    <w:rsid w:val="005059B4"/>
    <w:rsid w:val="00506A3D"/>
    <w:rsid w:val="005227C0"/>
    <w:rsid w:val="005456F5"/>
    <w:rsid w:val="00550313"/>
    <w:rsid w:val="00557604"/>
    <w:rsid w:val="005858EA"/>
    <w:rsid w:val="005871BE"/>
    <w:rsid w:val="00596F5B"/>
    <w:rsid w:val="005A1843"/>
    <w:rsid w:val="005C3826"/>
    <w:rsid w:val="005E4A2F"/>
    <w:rsid w:val="00605CE1"/>
    <w:rsid w:val="0060692B"/>
    <w:rsid w:val="006354F3"/>
    <w:rsid w:val="00642646"/>
    <w:rsid w:val="006754EE"/>
    <w:rsid w:val="0068352C"/>
    <w:rsid w:val="00684107"/>
    <w:rsid w:val="00684ECE"/>
    <w:rsid w:val="006908FA"/>
    <w:rsid w:val="006A552A"/>
    <w:rsid w:val="006A7E5E"/>
    <w:rsid w:val="006C2186"/>
    <w:rsid w:val="006D297F"/>
    <w:rsid w:val="006D74AD"/>
    <w:rsid w:val="006E029C"/>
    <w:rsid w:val="00700566"/>
    <w:rsid w:val="00702D47"/>
    <w:rsid w:val="0071797E"/>
    <w:rsid w:val="007303A4"/>
    <w:rsid w:val="00735C8F"/>
    <w:rsid w:val="00742E97"/>
    <w:rsid w:val="00766B8B"/>
    <w:rsid w:val="00772095"/>
    <w:rsid w:val="00785FCE"/>
    <w:rsid w:val="0079045F"/>
    <w:rsid w:val="007923B1"/>
    <w:rsid w:val="00797E58"/>
    <w:rsid w:val="00797FCC"/>
    <w:rsid w:val="007A01F7"/>
    <w:rsid w:val="007A15F9"/>
    <w:rsid w:val="007A2D94"/>
    <w:rsid w:val="007C31AB"/>
    <w:rsid w:val="007C3C34"/>
    <w:rsid w:val="007C6404"/>
    <w:rsid w:val="007D441D"/>
    <w:rsid w:val="007F09EB"/>
    <w:rsid w:val="007F0CDC"/>
    <w:rsid w:val="007F5687"/>
    <w:rsid w:val="00817784"/>
    <w:rsid w:val="0083404D"/>
    <w:rsid w:val="008355F8"/>
    <w:rsid w:val="00835F7B"/>
    <w:rsid w:val="00842EBD"/>
    <w:rsid w:val="0085373F"/>
    <w:rsid w:val="0085568D"/>
    <w:rsid w:val="00866D80"/>
    <w:rsid w:val="00875CE7"/>
    <w:rsid w:val="00884F6A"/>
    <w:rsid w:val="00886B04"/>
    <w:rsid w:val="00891F6B"/>
    <w:rsid w:val="00897774"/>
    <w:rsid w:val="008A65F0"/>
    <w:rsid w:val="008A7B90"/>
    <w:rsid w:val="008B0187"/>
    <w:rsid w:val="008B5454"/>
    <w:rsid w:val="008B6CD7"/>
    <w:rsid w:val="008D3F5B"/>
    <w:rsid w:val="008E7719"/>
    <w:rsid w:val="008F15BB"/>
    <w:rsid w:val="008F30F0"/>
    <w:rsid w:val="008F40D0"/>
    <w:rsid w:val="009048A3"/>
    <w:rsid w:val="0091544D"/>
    <w:rsid w:val="009157C1"/>
    <w:rsid w:val="00940A79"/>
    <w:rsid w:val="00966EBD"/>
    <w:rsid w:val="009742B0"/>
    <w:rsid w:val="009821D1"/>
    <w:rsid w:val="00984099"/>
    <w:rsid w:val="009B0D2E"/>
    <w:rsid w:val="009B52B3"/>
    <w:rsid w:val="009E0BE7"/>
    <w:rsid w:val="009E7555"/>
    <w:rsid w:val="00A11D0B"/>
    <w:rsid w:val="00A24012"/>
    <w:rsid w:val="00A27CCB"/>
    <w:rsid w:val="00A43849"/>
    <w:rsid w:val="00A44E76"/>
    <w:rsid w:val="00A54DD0"/>
    <w:rsid w:val="00A57E02"/>
    <w:rsid w:val="00A62D47"/>
    <w:rsid w:val="00A62FD8"/>
    <w:rsid w:val="00A95142"/>
    <w:rsid w:val="00AB45BB"/>
    <w:rsid w:val="00AC7FD7"/>
    <w:rsid w:val="00AD05EA"/>
    <w:rsid w:val="00AE1FD3"/>
    <w:rsid w:val="00AE4383"/>
    <w:rsid w:val="00AE44CF"/>
    <w:rsid w:val="00B21168"/>
    <w:rsid w:val="00B23695"/>
    <w:rsid w:val="00B43BBC"/>
    <w:rsid w:val="00B45C76"/>
    <w:rsid w:val="00B46ABC"/>
    <w:rsid w:val="00B52476"/>
    <w:rsid w:val="00B57A56"/>
    <w:rsid w:val="00B728D7"/>
    <w:rsid w:val="00B80F7B"/>
    <w:rsid w:val="00B93150"/>
    <w:rsid w:val="00BA4DF7"/>
    <w:rsid w:val="00BF044B"/>
    <w:rsid w:val="00C023B0"/>
    <w:rsid w:val="00C13D9D"/>
    <w:rsid w:val="00C1423C"/>
    <w:rsid w:val="00C41F71"/>
    <w:rsid w:val="00C667AF"/>
    <w:rsid w:val="00C73728"/>
    <w:rsid w:val="00C82CE2"/>
    <w:rsid w:val="00C87206"/>
    <w:rsid w:val="00C944CF"/>
    <w:rsid w:val="00CA549E"/>
    <w:rsid w:val="00CA6335"/>
    <w:rsid w:val="00CB5781"/>
    <w:rsid w:val="00CC0947"/>
    <w:rsid w:val="00CD59A0"/>
    <w:rsid w:val="00CD62E0"/>
    <w:rsid w:val="00CE3657"/>
    <w:rsid w:val="00CF7DD7"/>
    <w:rsid w:val="00D06291"/>
    <w:rsid w:val="00D13155"/>
    <w:rsid w:val="00D137D3"/>
    <w:rsid w:val="00D16C60"/>
    <w:rsid w:val="00D20E59"/>
    <w:rsid w:val="00D5029F"/>
    <w:rsid w:val="00D52AEB"/>
    <w:rsid w:val="00D60BBD"/>
    <w:rsid w:val="00D740F8"/>
    <w:rsid w:val="00D7774F"/>
    <w:rsid w:val="00D82337"/>
    <w:rsid w:val="00D83118"/>
    <w:rsid w:val="00D8739D"/>
    <w:rsid w:val="00D92C8F"/>
    <w:rsid w:val="00DB02F9"/>
    <w:rsid w:val="00DB46A4"/>
    <w:rsid w:val="00DD6037"/>
    <w:rsid w:val="00DD657F"/>
    <w:rsid w:val="00DD6D1E"/>
    <w:rsid w:val="00DD7530"/>
    <w:rsid w:val="00DE0649"/>
    <w:rsid w:val="00DE6658"/>
    <w:rsid w:val="00DF6BC4"/>
    <w:rsid w:val="00E000B2"/>
    <w:rsid w:val="00E16ACE"/>
    <w:rsid w:val="00E16D68"/>
    <w:rsid w:val="00E24AC1"/>
    <w:rsid w:val="00E3056E"/>
    <w:rsid w:val="00E374AE"/>
    <w:rsid w:val="00E626A7"/>
    <w:rsid w:val="00E62D96"/>
    <w:rsid w:val="00E63172"/>
    <w:rsid w:val="00E776D5"/>
    <w:rsid w:val="00E8576C"/>
    <w:rsid w:val="00E85F76"/>
    <w:rsid w:val="00E94557"/>
    <w:rsid w:val="00EA26A1"/>
    <w:rsid w:val="00EB340F"/>
    <w:rsid w:val="00EE1E93"/>
    <w:rsid w:val="00EE5B6A"/>
    <w:rsid w:val="00EF4B4B"/>
    <w:rsid w:val="00F01A45"/>
    <w:rsid w:val="00F01B4D"/>
    <w:rsid w:val="00F032FA"/>
    <w:rsid w:val="00F05EFF"/>
    <w:rsid w:val="00F104E1"/>
    <w:rsid w:val="00F26D5A"/>
    <w:rsid w:val="00F33BFA"/>
    <w:rsid w:val="00F366B9"/>
    <w:rsid w:val="00F64D5F"/>
    <w:rsid w:val="00F85924"/>
    <w:rsid w:val="00F97B87"/>
    <w:rsid w:val="00FA71C8"/>
    <w:rsid w:val="00FA747A"/>
    <w:rsid w:val="00FB1972"/>
    <w:rsid w:val="00FB2FCA"/>
    <w:rsid w:val="00FB36AF"/>
    <w:rsid w:val="00FC02D0"/>
    <w:rsid w:val="00FD2347"/>
    <w:rsid w:val="00FE798D"/>
    <w:rsid w:val="00FF242C"/>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338191893">
      <w:bodyDiv w:val="1"/>
      <w:marLeft w:val="0"/>
      <w:marRight w:val="0"/>
      <w:marTop w:val="0"/>
      <w:marBottom w:val="0"/>
      <w:divBdr>
        <w:top w:val="none" w:sz="0" w:space="0" w:color="auto"/>
        <w:left w:val="none" w:sz="0" w:space="0" w:color="auto"/>
        <w:bottom w:val="none" w:sz="0" w:space="0" w:color="auto"/>
        <w:right w:val="none" w:sz="0" w:space="0" w:color="auto"/>
      </w:divBdr>
    </w:div>
    <w:div w:id="146643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1013</Words>
  <Characters>5775</Characters>
  <Application>Microsoft Office Word</Application>
  <DocSecurity>4</DocSecurity>
  <Lines>48</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2026-01-27T15:35:00Z</cp:lastPrinted>
  <dcterms:created xsi:type="dcterms:W3CDTF">2026-05-08T14:59:00Z</dcterms:created>
  <dcterms:modified xsi:type="dcterms:W3CDTF">2026-05-08T14:59:00Z</dcterms:modified>
</cp:coreProperties>
</file>