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EF5F9" w14:textId="77777777" w:rsidR="00FF6BD2" w:rsidRDefault="0020238A" w:rsidP="008F56E5">
      <w:pPr>
        <w:jc w:val="center"/>
        <w:rPr>
          <w:rFonts w:ascii="Book Antiqua" w:hAnsi="Book Antiqua"/>
          <w:sz w:val="28"/>
          <w:lang w:val="es-ES_tradnl"/>
        </w:rPr>
      </w:pPr>
      <w:r>
        <w:rPr>
          <w:rFonts w:ascii="Book Antiqua" w:hAnsi="Book Antiqua"/>
          <w:sz w:val="28"/>
          <w:lang w:val="es-ES_tradnl"/>
        </w:rPr>
        <w:t>GOBIERNO DE PUERTO RICO</w:t>
      </w:r>
    </w:p>
    <w:p w14:paraId="792F1BEF" w14:textId="77777777" w:rsidR="0020238A" w:rsidRPr="008F56E5" w:rsidRDefault="0020238A" w:rsidP="008F56E5">
      <w:pPr>
        <w:jc w:val="center"/>
        <w:rPr>
          <w:rFonts w:ascii="Book Antiqua" w:hAnsi="Book Antiqua"/>
          <w:lang w:val="es-ES_tradnl"/>
        </w:rPr>
      </w:pPr>
    </w:p>
    <w:p w14:paraId="1F4F8ECC" w14:textId="1C7FA98A" w:rsidR="000B6536" w:rsidRDefault="00F468CF" w:rsidP="000B6536">
      <w:pPr>
        <w:pStyle w:val="Title2"/>
        <w:rPr>
          <w:rFonts w:ascii="Book Antiqua" w:hAnsi="Book Antiqua"/>
          <w:lang w:val="es-ES_tradnl"/>
        </w:rPr>
      </w:pPr>
      <w:r>
        <w:rPr>
          <w:rFonts w:ascii="Book Antiqua" w:hAnsi="Book Antiqua"/>
          <w:lang w:val="es-ES_tradnl"/>
        </w:rPr>
        <w:t>20</w:t>
      </w:r>
      <w:r w:rsidR="000B6536">
        <w:rPr>
          <w:rFonts w:ascii="Book Antiqua" w:hAnsi="Book Antiqua"/>
          <w:lang w:val="es-ES_tradnl"/>
        </w:rPr>
        <w:t xml:space="preserve"> </w:t>
      </w:r>
      <w:proofErr w:type="spellStart"/>
      <w:r w:rsidR="00F85A4E">
        <w:rPr>
          <w:rFonts w:ascii="Book Antiqua" w:hAnsi="Book Antiqua"/>
          <w:vertAlign w:val="superscript"/>
          <w:lang w:val="es-ES_tradnl"/>
        </w:rPr>
        <w:t>m</w:t>
      </w:r>
      <w:r w:rsidR="000B6536">
        <w:rPr>
          <w:rFonts w:ascii="Book Antiqua" w:hAnsi="Book Antiqua"/>
          <w:vertAlign w:val="superscript"/>
          <w:lang w:val="es-ES_tradnl"/>
        </w:rPr>
        <w:t>a</w:t>
      </w:r>
      <w:proofErr w:type="spellEnd"/>
      <w:r w:rsidR="000B6536">
        <w:rPr>
          <w:rFonts w:ascii="Book Antiqua" w:hAnsi="Book Antiqua"/>
          <w:lang w:val="es-ES_tradnl"/>
        </w:rPr>
        <w:tab/>
        <w:t>Asamblea</w:t>
      </w:r>
      <w:r w:rsidR="000B6536">
        <w:rPr>
          <w:rFonts w:ascii="Book Antiqua" w:hAnsi="Book Antiqua"/>
          <w:lang w:val="es-ES_tradnl"/>
        </w:rPr>
        <w:tab/>
      </w:r>
      <w:r w:rsidR="001068FD">
        <w:rPr>
          <w:rFonts w:ascii="Book Antiqua" w:hAnsi="Book Antiqua"/>
          <w:lang w:val="es-ES_tradnl"/>
        </w:rPr>
        <w:t>2</w:t>
      </w:r>
      <w:r w:rsidR="000B6536">
        <w:rPr>
          <w:rFonts w:ascii="Book Antiqua" w:hAnsi="Book Antiqua"/>
          <w:lang w:val="es-ES_tradnl"/>
        </w:rPr>
        <w:t xml:space="preserve"> </w:t>
      </w:r>
      <w:r w:rsidR="001068FD">
        <w:rPr>
          <w:rFonts w:ascii="Book Antiqua" w:hAnsi="Book Antiqua"/>
          <w:vertAlign w:val="superscript"/>
          <w:lang w:val="es-ES_tradnl"/>
        </w:rPr>
        <w:t>d</w:t>
      </w:r>
      <w:r w:rsidR="000B6536">
        <w:rPr>
          <w:rFonts w:ascii="Book Antiqua" w:hAnsi="Book Antiqua"/>
          <w:vertAlign w:val="superscript"/>
          <w:lang w:val="es-ES_tradnl"/>
        </w:rPr>
        <w:t>a</w:t>
      </w:r>
      <w:r w:rsidR="000B6536">
        <w:rPr>
          <w:rFonts w:ascii="Book Antiqua" w:hAnsi="Book Antiqua"/>
          <w:lang w:val="es-ES_tradnl"/>
        </w:rPr>
        <w:tab/>
        <w:t>Sesión</w:t>
      </w:r>
    </w:p>
    <w:p w14:paraId="4A25DC09" w14:textId="77777777" w:rsidR="000B6536" w:rsidRDefault="000B6536" w:rsidP="000B6536">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9771A64" w14:textId="77777777" w:rsidR="0020238A" w:rsidRDefault="0020238A" w:rsidP="008F56E5">
      <w:pPr>
        <w:rPr>
          <w:lang w:val="es-ES_tradnl"/>
        </w:rPr>
      </w:pPr>
    </w:p>
    <w:p w14:paraId="593C2EFD" w14:textId="77777777" w:rsidR="0020238A" w:rsidRDefault="0020238A" w:rsidP="008F56E5">
      <w:pPr>
        <w:jc w:val="center"/>
        <w:rPr>
          <w:rFonts w:ascii="Book Antiqua" w:hAnsi="Book Antiqua"/>
          <w:b/>
          <w:sz w:val="36"/>
          <w:lang w:val="es-ES_tradnl"/>
        </w:rPr>
      </w:pPr>
      <w:r>
        <w:rPr>
          <w:rFonts w:ascii="Book Antiqua" w:hAnsi="Book Antiqua"/>
          <w:b/>
          <w:sz w:val="36"/>
          <w:lang w:val="es-ES_tradnl"/>
        </w:rPr>
        <w:t>CÁMARA DE REPRESENTANTES</w:t>
      </w:r>
    </w:p>
    <w:p w14:paraId="74E396BE" w14:textId="77777777" w:rsidR="008F56E5" w:rsidRPr="008F56E5" w:rsidRDefault="008F56E5" w:rsidP="008F56E5">
      <w:pPr>
        <w:jc w:val="center"/>
        <w:rPr>
          <w:rFonts w:ascii="Book Antiqua" w:hAnsi="Book Antiqua"/>
          <w:b/>
          <w:lang w:val="es-ES_tradnl"/>
        </w:rPr>
      </w:pPr>
    </w:p>
    <w:p w14:paraId="5A1AFA5F" w14:textId="64408C00" w:rsidR="0020238A" w:rsidRDefault="0020238A" w:rsidP="008F56E5">
      <w:pPr>
        <w:jc w:val="center"/>
        <w:rPr>
          <w:rFonts w:ascii="Book Antiqua" w:hAnsi="Book Antiqua"/>
          <w:b/>
          <w:sz w:val="52"/>
          <w:lang w:val="es-ES_tradnl"/>
        </w:rPr>
      </w:pPr>
      <w:r>
        <w:rPr>
          <w:rFonts w:ascii="Book Antiqua" w:hAnsi="Book Antiqua"/>
          <w:b/>
          <w:sz w:val="52"/>
          <w:lang w:val="es-ES_tradnl"/>
        </w:rPr>
        <w:t xml:space="preserve">R. </w:t>
      </w:r>
      <w:proofErr w:type="spellStart"/>
      <w:r>
        <w:rPr>
          <w:rFonts w:ascii="Book Antiqua" w:hAnsi="Book Antiqua"/>
          <w:b/>
          <w:sz w:val="52"/>
          <w:lang w:val="es-ES_tradnl"/>
        </w:rPr>
        <w:t>Conc</w:t>
      </w:r>
      <w:proofErr w:type="spellEnd"/>
      <w:r>
        <w:rPr>
          <w:rFonts w:ascii="Book Antiqua" w:hAnsi="Book Antiqua"/>
          <w:b/>
          <w:sz w:val="52"/>
          <w:lang w:val="es-ES_tradnl"/>
        </w:rPr>
        <w:t xml:space="preserve">. de la C. </w:t>
      </w:r>
      <w:r w:rsidR="005D6C4A">
        <w:rPr>
          <w:rFonts w:ascii="Book Antiqua" w:hAnsi="Book Antiqua"/>
          <w:b/>
          <w:sz w:val="52"/>
          <w:lang w:val="es-ES_tradnl"/>
        </w:rPr>
        <w:t>31</w:t>
      </w:r>
    </w:p>
    <w:p w14:paraId="5803F862" w14:textId="77777777" w:rsidR="008F56E5" w:rsidRPr="008F56E5" w:rsidRDefault="008F56E5" w:rsidP="008F56E5">
      <w:pPr>
        <w:jc w:val="center"/>
        <w:rPr>
          <w:rFonts w:ascii="Book Antiqua" w:hAnsi="Book Antiqua"/>
          <w:b/>
          <w:szCs w:val="24"/>
          <w:lang w:val="es-ES_tradnl"/>
        </w:rPr>
      </w:pPr>
    </w:p>
    <w:p w14:paraId="2B5CBAB1" w14:textId="2AA75777" w:rsidR="0020238A" w:rsidRDefault="00A04BBF" w:rsidP="008F56E5">
      <w:pPr>
        <w:jc w:val="center"/>
        <w:rPr>
          <w:rFonts w:ascii="Book Antiqua" w:hAnsi="Book Antiqua"/>
          <w:lang w:val="es-ES_tradnl"/>
        </w:rPr>
      </w:pPr>
      <w:r>
        <w:rPr>
          <w:rFonts w:ascii="Book Antiqua" w:hAnsi="Book Antiqua"/>
          <w:lang w:val="es-ES_tradnl"/>
        </w:rPr>
        <w:t>3</w:t>
      </w:r>
      <w:r w:rsidR="004C4670">
        <w:rPr>
          <w:rFonts w:ascii="Book Antiqua" w:hAnsi="Book Antiqua"/>
          <w:lang w:val="es-ES_tradnl"/>
        </w:rPr>
        <w:t xml:space="preserve"> </w:t>
      </w:r>
      <w:r w:rsidR="0020238A">
        <w:rPr>
          <w:rFonts w:ascii="Book Antiqua" w:hAnsi="Book Antiqua"/>
          <w:lang w:val="es-ES_tradnl"/>
        </w:rPr>
        <w:t xml:space="preserve">DE </w:t>
      </w:r>
      <w:r w:rsidR="00CF660B">
        <w:rPr>
          <w:rFonts w:ascii="Book Antiqua" w:hAnsi="Book Antiqua"/>
          <w:lang w:val="es-ES_tradnl"/>
        </w:rPr>
        <w:t>OCTUBRE</w:t>
      </w:r>
      <w:r w:rsidR="0020238A">
        <w:rPr>
          <w:rFonts w:ascii="Book Antiqua" w:hAnsi="Book Antiqua"/>
          <w:lang w:val="es-ES_tradnl"/>
        </w:rPr>
        <w:t xml:space="preserve"> </w:t>
      </w:r>
      <w:r w:rsidR="00EC2101">
        <w:rPr>
          <w:rFonts w:ascii="Book Antiqua" w:hAnsi="Book Antiqua"/>
          <w:lang w:val="es-ES_tradnl"/>
        </w:rPr>
        <w:t>D</w:t>
      </w:r>
      <w:r w:rsidR="0020238A">
        <w:rPr>
          <w:rFonts w:ascii="Book Antiqua" w:hAnsi="Book Antiqua"/>
          <w:lang w:val="es-ES_tradnl"/>
        </w:rPr>
        <w:t>E 20</w:t>
      </w:r>
      <w:r w:rsidR="0094724C">
        <w:rPr>
          <w:rFonts w:ascii="Book Antiqua" w:hAnsi="Book Antiqua"/>
          <w:lang w:val="es-ES_tradnl"/>
        </w:rPr>
        <w:t>2</w:t>
      </w:r>
      <w:r w:rsidR="00AC3930">
        <w:rPr>
          <w:rFonts w:ascii="Book Antiqua" w:hAnsi="Book Antiqua"/>
          <w:lang w:val="es-ES_tradnl"/>
        </w:rPr>
        <w:t>5</w:t>
      </w:r>
    </w:p>
    <w:p w14:paraId="1F72F224" w14:textId="77777777" w:rsidR="008F56E5" w:rsidRDefault="008F56E5" w:rsidP="008F56E5">
      <w:pPr>
        <w:jc w:val="center"/>
        <w:rPr>
          <w:rFonts w:ascii="Book Antiqua" w:hAnsi="Book Antiqua"/>
          <w:lang w:val="es-ES_tradnl"/>
        </w:rPr>
      </w:pPr>
    </w:p>
    <w:p w14:paraId="06274A2E" w14:textId="77777777" w:rsidR="005D6C4A" w:rsidRDefault="00262BA2" w:rsidP="008F56E5">
      <w:pPr>
        <w:jc w:val="center"/>
        <w:rPr>
          <w:rFonts w:ascii="Book Antiqua" w:hAnsi="Book Antiqua"/>
          <w:i/>
          <w:lang w:val="es-ES"/>
        </w:rPr>
      </w:pPr>
      <w:r w:rsidRPr="00262BA2">
        <w:rPr>
          <w:rFonts w:ascii="Book Antiqua" w:hAnsi="Book Antiqua"/>
          <w:lang w:val="es-ES"/>
        </w:rPr>
        <w:t xml:space="preserve">Presentada por </w:t>
      </w:r>
      <w:r w:rsidR="005D6C4A">
        <w:rPr>
          <w:rFonts w:ascii="Book Antiqua" w:hAnsi="Book Antiqua"/>
          <w:lang w:val="es-ES"/>
        </w:rPr>
        <w:t>e</w:t>
      </w:r>
      <w:r w:rsidRPr="00262BA2">
        <w:rPr>
          <w:rFonts w:ascii="Book Antiqua" w:hAnsi="Book Antiqua"/>
          <w:lang w:val="es-ES"/>
        </w:rPr>
        <w:t xml:space="preserve">l representante </w:t>
      </w:r>
      <w:r w:rsidRPr="00262BA2">
        <w:rPr>
          <w:rFonts w:ascii="Book Antiqua" w:hAnsi="Book Antiqua"/>
          <w:i/>
          <w:lang w:val="es-ES"/>
        </w:rPr>
        <w:t>Márquez Lebrón</w:t>
      </w:r>
      <w:r w:rsidR="005D6C4A">
        <w:rPr>
          <w:rFonts w:ascii="Book Antiqua" w:hAnsi="Book Antiqua"/>
          <w:i/>
          <w:lang w:val="es-ES"/>
        </w:rPr>
        <w:t xml:space="preserve"> </w:t>
      </w:r>
    </w:p>
    <w:p w14:paraId="17C020C1" w14:textId="19B9C0D4" w:rsidR="0020238A" w:rsidRPr="00262BA2" w:rsidRDefault="005D6C4A" w:rsidP="008F56E5">
      <w:pPr>
        <w:jc w:val="center"/>
        <w:rPr>
          <w:rFonts w:ascii="Book Antiqua" w:hAnsi="Book Antiqua"/>
          <w:i/>
          <w:lang w:val="es-ES"/>
        </w:rPr>
      </w:pPr>
      <w:r w:rsidRPr="005D6C4A">
        <w:rPr>
          <w:rFonts w:ascii="Book Antiqua" w:hAnsi="Book Antiqua"/>
          <w:iCs/>
          <w:lang w:val="es-ES"/>
        </w:rPr>
        <w:t>y</w:t>
      </w:r>
      <w:r>
        <w:rPr>
          <w:rFonts w:ascii="Book Antiqua" w:hAnsi="Book Antiqua"/>
          <w:iCs/>
          <w:lang w:val="es-ES"/>
        </w:rPr>
        <w:t xml:space="preserve"> las representantes</w:t>
      </w:r>
      <w:r w:rsidR="00262BA2" w:rsidRPr="00262BA2">
        <w:rPr>
          <w:rFonts w:ascii="Book Antiqua" w:hAnsi="Book Antiqua"/>
          <w:i/>
          <w:lang w:val="es-ES"/>
        </w:rPr>
        <w:t xml:space="preserve"> Gutiérrez Colon y Lebrón Robles</w:t>
      </w:r>
      <w:r w:rsidR="00E7720F">
        <w:rPr>
          <w:rFonts w:ascii="Book Antiqua" w:hAnsi="Book Antiqua"/>
          <w:i/>
          <w:lang w:val="es-ES"/>
        </w:rPr>
        <w:t>.</w:t>
      </w:r>
    </w:p>
    <w:p w14:paraId="40B53F24" w14:textId="77777777" w:rsidR="008F56E5" w:rsidRPr="00262BA2" w:rsidRDefault="008F56E5" w:rsidP="008F56E5">
      <w:pPr>
        <w:jc w:val="center"/>
        <w:rPr>
          <w:rFonts w:ascii="Book Antiqua" w:hAnsi="Book Antiqua"/>
          <w:lang w:val="es-ES"/>
        </w:rPr>
      </w:pPr>
    </w:p>
    <w:p w14:paraId="0444164F" w14:textId="4D74F2D8" w:rsidR="0020238A" w:rsidRDefault="0020238A" w:rsidP="005D6C4A">
      <w:pPr>
        <w:jc w:val="center"/>
        <w:rPr>
          <w:rFonts w:ascii="Book Antiqua" w:hAnsi="Book Antiqua"/>
          <w:lang w:val="es-ES_tradnl"/>
        </w:rPr>
      </w:pPr>
      <w:r>
        <w:rPr>
          <w:rFonts w:ascii="Book Antiqua" w:hAnsi="Book Antiqua"/>
          <w:lang w:val="es-ES_tradnl"/>
        </w:rPr>
        <w:t>Referida a</w:t>
      </w:r>
      <w:r w:rsidR="005D6C4A">
        <w:rPr>
          <w:rFonts w:ascii="Book Antiqua" w:hAnsi="Book Antiqua"/>
          <w:lang w:val="es-ES_tradnl"/>
        </w:rPr>
        <w:t xml:space="preserve"> la Comisión de Asuntos Internos</w:t>
      </w:r>
    </w:p>
    <w:p w14:paraId="43187A17" w14:textId="77777777" w:rsidR="0020238A" w:rsidRDefault="0020238A" w:rsidP="008F56E5">
      <w:pPr>
        <w:jc w:val="both"/>
        <w:rPr>
          <w:rFonts w:ascii="Book Antiqua" w:hAnsi="Book Antiqua"/>
          <w:lang w:val="es-ES_tradnl"/>
        </w:rPr>
      </w:pPr>
    </w:p>
    <w:p w14:paraId="1D109056" w14:textId="77777777" w:rsidR="0020238A" w:rsidRDefault="0020238A" w:rsidP="008F56E5">
      <w:pPr>
        <w:jc w:val="center"/>
        <w:rPr>
          <w:rFonts w:ascii="Book Antiqua" w:hAnsi="Book Antiqua"/>
          <w:b/>
          <w:sz w:val="28"/>
          <w:lang w:val="es-ES_tradnl"/>
        </w:rPr>
      </w:pPr>
      <w:r>
        <w:rPr>
          <w:rFonts w:ascii="Book Antiqua" w:hAnsi="Book Antiqua"/>
          <w:b/>
          <w:sz w:val="28"/>
          <w:lang w:val="es-ES_tradnl"/>
        </w:rPr>
        <w:t>RESOLUCIÓN CONCURRENTE</w:t>
      </w:r>
    </w:p>
    <w:p w14:paraId="1F7DEDC3" w14:textId="77777777" w:rsidR="0020238A" w:rsidRDefault="0020238A" w:rsidP="008F56E5">
      <w:pPr>
        <w:jc w:val="both"/>
        <w:rPr>
          <w:rFonts w:ascii="Book Antiqua" w:hAnsi="Book Antiqua"/>
          <w:lang w:val="es-ES_tradnl"/>
        </w:rPr>
      </w:pPr>
    </w:p>
    <w:p w14:paraId="3D17265C" w14:textId="14782BDC" w:rsidR="0020238A" w:rsidRDefault="009563A5" w:rsidP="005D6C4A">
      <w:pPr>
        <w:ind w:left="720" w:hanging="720"/>
        <w:jc w:val="both"/>
        <w:rPr>
          <w:rFonts w:ascii="Book Antiqua" w:hAnsi="Book Antiqua"/>
          <w:lang w:val="es-ES_tradnl"/>
        </w:rPr>
      </w:pPr>
      <w:r>
        <w:rPr>
          <w:rFonts w:ascii="Book Antiqua" w:hAnsi="Book Antiqua"/>
          <w:lang w:val="es-ES_tradnl"/>
        </w:rPr>
        <w:t xml:space="preserve">Para </w:t>
      </w:r>
      <w:r w:rsidR="00363CD5" w:rsidRPr="0067223F">
        <w:rPr>
          <w:rFonts w:ascii="Book Antiqua" w:hAnsi="Book Antiqua"/>
          <w:lang w:val="es-419"/>
        </w:rPr>
        <w:t>exig</w:t>
      </w:r>
      <w:r w:rsidR="00363CD5">
        <w:rPr>
          <w:rFonts w:ascii="Book Antiqua" w:hAnsi="Book Antiqua"/>
          <w:lang w:val="es-419"/>
        </w:rPr>
        <w:t>ir</w:t>
      </w:r>
      <w:r w:rsidR="00363CD5" w:rsidRPr="0067223F">
        <w:rPr>
          <w:rFonts w:ascii="Book Antiqua" w:hAnsi="Book Antiqua"/>
          <w:lang w:val="es-419"/>
        </w:rPr>
        <w:t xml:space="preserve"> </w:t>
      </w:r>
      <w:r w:rsidR="001068FD">
        <w:rPr>
          <w:rFonts w:ascii="Book Antiqua" w:hAnsi="Book Antiqua"/>
          <w:lang w:val="es-419"/>
        </w:rPr>
        <w:t>a</w:t>
      </w:r>
      <w:r w:rsidR="00363CD5" w:rsidRPr="0067223F">
        <w:rPr>
          <w:rFonts w:ascii="Book Antiqua" w:hAnsi="Book Antiqua"/>
          <w:lang w:val="es-419"/>
        </w:rPr>
        <w:t>l</w:t>
      </w:r>
      <w:r w:rsidR="001068FD">
        <w:rPr>
          <w:rFonts w:ascii="Book Antiqua" w:hAnsi="Book Antiqua"/>
          <w:lang w:val="es-419"/>
        </w:rPr>
        <w:t xml:space="preserve"> </w:t>
      </w:r>
      <w:r w:rsidR="00CF660B">
        <w:rPr>
          <w:rFonts w:ascii="Book Antiqua" w:hAnsi="Book Antiqua"/>
          <w:lang w:val="es-419"/>
        </w:rPr>
        <w:t>Gobierno de Puerto Rico y de Estados Unidos de América</w:t>
      </w:r>
      <w:r w:rsidR="00CF660B" w:rsidRPr="00CF660B">
        <w:rPr>
          <w:rFonts w:ascii="Book Antiqua" w:hAnsi="Book Antiqua"/>
          <w:lang w:val="es-419"/>
        </w:rPr>
        <w:t xml:space="preserve"> </w:t>
      </w:r>
      <w:r w:rsidR="00CF660B" w:rsidRPr="009E3954">
        <w:rPr>
          <w:rFonts w:ascii="Book Antiqua" w:hAnsi="Book Antiqua"/>
          <w:lang w:val="es-419"/>
        </w:rPr>
        <w:t>la protección y seguridad de los tripulantes de la Flotilla de la Libertad</w:t>
      </w:r>
      <w:r w:rsidR="00CF660B">
        <w:rPr>
          <w:rFonts w:ascii="Book Antiqua" w:hAnsi="Book Antiqua"/>
          <w:lang w:val="es-419"/>
        </w:rPr>
        <w:t xml:space="preserve"> y la toma de medidas concretas para detener el genocidio en Gaza. </w:t>
      </w:r>
    </w:p>
    <w:p w14:paraId="1EB71448" w14:textId="77777777" w:rsidR="00A04BBF" w:rsidRDefault="00A04BBF" w:rsidP="005D6C4A">
      <w:pPr>
        <w:ind w:left="360" w:hanging="360"/>
        <w:jc w:val="both"/>
        <w:rPr>
          <w:rFonts w:ascii="Book Antiqua" w:hAnsi="Book Antiqua"/>
          <w:lang w:val="es-ES_tradnl"/>
        </w:rPr>
      </w:pPr>
    </w:p>
    <w:p w14:paraId="6000C79A" w14:textId="0AAEEE4B" w:rsidR="008F56E5" w:rsidRDefault="0020238A" w:rsidP="005D6C4A">
      <w:pPr>
        <w:jc w:val="center"/>
        <w:rPr>
          <w:rFonts w:ascii="Book Antiqua" w:hAnsi="Book Antiqua"/>
          <w:lang w:val="es-ES_tradnl"/>
        </w:rPr>
      </w:pPr>
      <w:r>
        <w:rPr>
          <w:rFonts w:ascii="Book Antiqua" w:hAnsi="Book Antiqua"/>
          <w:lang w:val="es-ES_tradnl"/>
        </w:rPr>
        <w:t>EXPOSICIÓN DE MOTIVOS</w:t>
      </w:r>
    </w:p>
    <w:p w14:paraId="4E6F7A8A" w14:textId="77777777" w:rsidR="005D6C4A" w:rsidRDefault="005D6C4A" w:rsidP="005D6C4A">
      <w:pPr>
        <w:jc w:val="center"/>
        <w:rPr>
          <w:rFonts w:ascii="Book Antiqua" w:hAnsi="Book Antiqua"/>
          <w:lang w:val="es-ES_tradnl"/>
        </w:rPr>
      </w:pPr>
    </w:p>
    <w:p w14:paraId="16873F9E" w14:textId="77777777" w:rsidR="00A04BBF" w:rsidRDefault="00A04BBF" w:rsidP="005D6C4A">
      <w:pPr>
        <w:ind w:firstLine="720"/>
        <w:jc w:val="both"/>
        <w:rPr>
          <w:rFonts w:ascii="Book Antiqua" w:hAnsi="Book Antiqua"/>
          <w:lang w:val="es-ES_tradnl"/>
        </w:rPr>
      </w:pPr>
      <w:r w:rsidRPr="00A04BBF">
        <w:rPr>
          <w:rFonts w:ascii="Book Antiqua" w:hAnsi="Book Antiqua"/>
          <w:lang w:val="es-ES_tradnl"/>
        </w:rPr>
        <w:t xml:space="preserve">Cientos de personas civiles de sobre 40 países forman parte de la Flota Global </w:t>
      </w:r>
      <w:proofErr w:type="spellStart"/>
      <w:r w:rsidRPr="00A04BBF">
        <w:rPr>
          <w:rFonts w:ascii="Book Antiqua" w:hAnsi="Book Antiqua"/>
          <w:lang w:val="es-ES_tradnl"/>
        </w:rPr>
        <w:t>Sumud</w:t>
      </w:r>
      <w:proofErr w:type="spellEnd"/>
      <w:r w:rsidRPr="00A04BBF">
        <w:rPr>
          <w:rFonts w:ascii="Book Antiqua" w:hAnsi="Book Antiqua"/>
          <w:lang w:val="es-ES_tradnl"/>
        </w:rPr>
        <w:t xml:space="preserve"> (</w:t>
      </w:r>
      <w:r w:rsidRPr="00A04BBF">
        <w:rPr>
          <w:rFonts w:ascii="Book Antiqua" w:hAnsi="Book Antiqua"/>
          <w:i/>
          <w:iCs/>
          <w:lang w:val="es-ES_tradnl"/>
        </w:rPr>
        <w:t xml:space="preserve">Global </w:t>
      </w:r>
      <w:proofErr w:type="spellStart"/>
      <w:r w:rsidRPr="00A04BBF">
        <w:rPr>
          <w:rFonts w:ascii="Book Antiqua" w:hAnsi="Book Antiqua"/>
          <w:i/>
          <w:iCs/>
          <w:lang w:val="es-ES_tradnl"/>
        </w:rPr>
        <w:t>Sumud</w:t>
      </w:r>
      <w:proofErr w:type="spellEnd"/>
      <w:r w:rsidRPr="00A04BBF">
        <w:rPr>
          <w:rFonts w:ascii="Book Antiqua" w:hAnsi="Book Antiqua"/>
          <w:i/>
          <w:iCs/>
          <w:lang w:val="es-ES_tradnl"/>
        </w:rPr>
        <w:t xml:space="preserve"> Flotilla</w:t>
      </w:r>
      <w:r w:rsidRPr="00A04BBF">
        <w:rPr>
          <w:rFonts w:ascii="Book Antiqua" w:hAnsi="Book Antiqua"/>
          <w:lang w:val="es-ES_tradnl"/>
        </w:rPr>
        <w:t xml:space="preserve">) que se dirigía a Gaza, Palestina, para romper el bloqueo de Israel con el fin de llevar ayuda humanitaria a sus residentes. Una de estas personas es la puertorriqueña Zuleyka Morales Rivera. Nacida en Humacao y criada en Las Piedras, esta valiente mujer veterana se unió a la embarcación de veteranos de las Fuerzas Armadas de los Estados Unidos para denunciar y procurar llevar comida a una población víctima del crimen más atroz de la humanidad: genocidio. El 2 de octubre de 2025, las embarcaciones de la también conocida como la Flota de la Libertad, fueron interceptadas y sus tripulantes secuestrados por el cuerpo militar de Israel. Se desconoce el paradero y estado de muchas de estas personas, incluyendo el de la puertorriqueña. </w:t>
      </w:r>
    </w:p>
    <w:p w14:paraId="5C02431A" w14:textId="77777777" w:rsidR="005D6C4A" w:rsidRPr="00A04BBF" w:rsidRDefault="005D6C4A" w:rsidP="005D6C4A">
      <w:pPr>
        <w:ind w:firstLine="720"/>
        <w:jc w:val="both"/>
        <w:rPr>
          <w:rFonts w:ascii="Book Antiqua" w:hAnsi="Book Antiqua"/>
          <w:lang w:val="es-ES_tradnl"/>
        </w:rPr>
      </w:pPr>
    </w:p>
    <w:p w14:paraId="5DA03EED" w14:textId="77777777" w:rsidR="00A04BBF" w:rsidRDefault="00A04BBF" w:rsidP="005D6C4A">
      <w:pPr>
        <w:ind w:firstLine="720"/>
        <w:jc w:val="both"/>
        <w:rPr>
          <w:rFonts w:ascii="Book Antiqua" w:hAnsi="Book Antiqua"/>
          <w:lang w:val="es-ES_tradnl"/>
        </w:rPr>
      </w:pPr>
      <w:r w:rsidRPr="00A04BBF">
        <w:rPr>
          <w:rFonts w:ascii="Book Antiqua" w:hAnsi="Book Antiqua"/>
          <w:lang w:val="es-ES_tradnl"/>
        </w:rPr>
        <w:t xml:space="preserve">Esta Asamblea Legislativa no puede mostrarse indiferente a lo que ya las autoridades internacionales han catalogado como un genocidio que ha cobrado la vida de más de 60,000 ser humanos, en su mayoría niños, niñas y mujeres. Apenas hace un mes, una comisión internacional independiente de las Naciones Unidas determinó que el gobierno de Israel está cometiendo genocidio en Gaza y que el bloqueo de ayuda humanitaria que aún mantiene es para imponer de manera deliberada condiciones de </w:t>
      </w:r>
      <w:r w:rsidRPr="00A04BBF">
        <w:rPr>
          <w:rFonts w:ascii="Book Antiqua" w:hAnsi="Book Antiqua"/>
          <w:lang w:val="es-ES_tradnl"/>
        </w:rPr>
        <w:lastRenderedPageBreak/>
        <w:t>vida insostenibles con la intención de eliminar en parte o por completo a la población Palestina.</w:t>
      </w:r>
      <w:r w:rsidRPr="00A04BBF">
        <w:rPr>
          <w:rFonts w:ascii="Book Antiqua" w:hAnsi="Book Antiqua"/>
          <w:vertAlign w:val="superscript"/>
          <w:lang w:val="es-ES_tradnl"/>
        </w:rPr>
        <w:footnoteReference w:id="1"/>
      </w:r>
      <w:r w:rsidRPr="00A04BBF">
        <w:rPr>
          <w:rFonts w:ascii="Book Antiqua" w:hAnsi="Book Antiqua"/>
          <w:lang w:val="es-ES_tradnl"/>
        </w:rPr>
        <w:t xml:space="preserve"> Esto a pesar de que la Corte Internacional de Justicia le ordenó el año pasado a Israel cesar su agresión militar en Gaza y que permitiera la entrada de alimentos y demás ayuda humanitaria al pueblo Palestino.</w:t>
      </w:r>
      <w:r w:rsidRPr="00A04BBF">
        <w:rPr>
          <w:rFonts w:ascii="Book Antiqua" w:hAnsi="Book Antiqua"/>
          <w:vertAlign w:val="superscript"/>
          <w:lang w:val="es-ES_tradnl"/>
        </w:rPr>
        <w:footnoteReference w:id="2"/>
      </w:r>
      <w:r w:rsidRPr="00A04BBF">
        <w:rPr>
          <w:rFonts w:ascii="Book Antiqua" w:hAnsi="Book Antiqua"/>
          <w:lang w:val="es-ES_tradnl"/>
        </w:rPr>
        <w:t xml:space="preserve"> Las órdenes emitidas por la Corte Penal Internacional para el arresto del Primer Ministro y del Ministro de Defensa de Israel por crímenes de guerra y contra la humanidad tampoco han logrado aplacar la miseria y el sufrimiento de todo un pueblo. “Cada día que pasa, que no intentamos parar este genocidio, perdemos parte de nuestra humanidad colectiva”, dijo Zuleyka Morales Rivera en una entrevista realizada por el medio El Nuevo Día. </w:t>
      </w:r>
    </w:p>
    <w:p w14:paraId="154310EE" w14:textId="77777777" w:rsidR="005D6C4A" w:rsidRPr="00A04BBF" w:rsidRDefault="005D6C4A" w:rsidP="005D6C4A">
      <w:pPr>
        <w:ind w:firstLine="720"/>
        <w:jc w:val="both"/>
        <w:rPr>
          <w:rFonts w:ascii="Book Antiqua" w:hAnsi="Book Antiqua"/>
          <w:lang w:val="es-ES_tradnl"/>
        </w:rPr>
      </w:pPr>
    </w:p>
    <w:p w14:paraId="6708EA59" w14:textId="2775B89D" w:rsidR="007247F7" w:rsidRDefault="00A04BBF" w:rsidP="005D6C4A">
      <w:pPr>
        <w:ind w:firstLine="720"/>
        <w:jc w:val="both"/>
        <w:rPr>
          <w:rFonts w:ascii="Book Antiqua" w:hAnsi="Book Antiqua"/>
          <w:lang w:val="es-ES_tradnl"/>
        </w:rPr>
      </w:pPr>
      <w:r w:rsidRPr="00A04BBF">
        <w:rPr>
          <w:rFonts w:ascii="Book Antiqua" w:hAnsi="Book Antiqua"/>
          <w:lang w:val="es-ES_tradnl"/>
        </w:rPr>
        <w:t xml:space="preserve">La interceptación de una flota pacífica humanitaria y el secuestro de sus tripulantes por parte de Israel es una clara violación adicional al derecho internacional. El Gobierno de Puerto Rico y el de Estados Unidos tienen la obligación de proteger a sus ciudadanos de este ataque terrorista. Deben hacer todo lo que esté en su poder para asegurar la integridad de la flotilla y de sus pasajeros para que completen su misión humanitaria y pacífica de entregar la ayuda para salvar vidas de una población que está siendo víctima de genocidio ante la mirada de todo el mundo. </w:t>
      </w:r>
    </w:p>
    <w:p w14:paraId="2AC7F2BC" w14:textId="77777777" w:rsidR="005D6C4A" w:rsidRDefault="005D6C4A" w:rsidP="005D6C4A">
      <w:pPr>
        <w:ind w:firstLine="720"/>
        <w:jc w:val="both"/>
        <w:rPr>
          <w:rFonts w:ascii="Book Antiqua" w:hAnsi="Book Antiqua"/>
          <w:lang w:val="es-ES_tradnl"/>
        </w:rPr>
      </w:pPr>
    </w:p>
    <w:p w14:paraId="2D386146" w14:textId="3DDFBBE1" w:rsidR="0020238A" w:rsidRDefault="0020238A" w:rsidP="005D6C4A">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7AE6A793" w14:textId="77777777" w:rsidR="0020238A" w:rsidRDefault="0020238A" w:rsidP="0020238A">
      <w:pPr>
        <w:spacing w:line="480" w:lineRule="auto"/>
        <w:jc w:val="both"/>
        <w:rPr>
          <w:rFonts w:ascii="Book Antiqua" w:hAnsi="Book Antiqua"/>
          <w:lang w:val="es-ES_tradnl"/>
        </w:rPr>
        <w:sectPr w:rsidR="0020238A">
          <w:headerReference w:type="default" r:id="rId9"/>
          <w:type w:val="continuous"/>
          <w:pgSz w:w="12240" w:h="15840" w:code="1"/>
          <w:pgMar w:top="1440" w:right="1440" w:bottom="1440" w:left="1440" w:header="720" w:footer="720" w:gutter="0"/>
          <w:cols w:space="720"/>
          <w:titlePg/>
        </w:sectPr>
      </w:pPr>
    </w:p>
    <w:p w14:paraId="3E6B1E88" w14:textId="55C8BA4E" w:rsidR="001B6CBB" w:rsidRDefault="00286183" w:rsidP="00286183">
      <w:pPr>
        <w:spacing w:line="480" w:lineRule="auto"/>
        <w:ind w:firstLine="360"/>
        <w:jc w:val="both"/>
        <w:rPr>
          <w:rFonts w:ascii="Book Antiqua" w:hAnsi="Book Antiqua"/>
          <w:lang w:val="es-419"/>
        </w:rPr>
      </w:pPr>
      <w:r w:rsidRPr="0067223F">
        <w:rPr>
          <w:rFonts w:ascii="Book Antiqua" w:hAnsi="Book Antiqua"/>
          <w:szCs w:val="24"/>
          <w:lang w:val="es-419"/>
        </w:rPr>
        <w:t>Sección 1.</w:t>
      </w:r>
      <w:r>
        <w:rPr>
          <w:rFonts w:ascii="Book Antiqua" w:hAnsi="Book Antiqua"/>
          <w:szCs w:val="24"/>
          <w:lang w:val="es-419"/>
        </w:rPr>
        <w:t xml:space="preserve"> </w:t>
      </w:r>
      <w:r w:rsidRPr="0067223F">
        <w:rPr>
          <w:rFonts w:ascii="Book Antiqua" w:hAnsi="Book Antiqua"/>
          <w:lang w:val="es-419"/>
        </w:rPr>
        <w:t xml:space="preserve">- La Asamblea Legislativa de Puerto Rico exige </w:t>
      </w:r>
      <w:r w:rsidR="001068FD">
        <w:rPr>
          <w:rFonts w:ascii="Book Antiqua" w:hAnsi="Book Antiqua"/>
          <w:lang w:val="es-419"/>
        </w:rPr>
        <w:t>a</w:t>
      </w:r>
      <w:r w:rsidR="001068FD" w:rsidRPr="0067223F">
        <w:rPr>
          <w:rFonts w:ascii="Book Antiqua" w:hAnsi="Book Antiqua"/>
          <w:lang w:val="es-419"/>
        </w:rPr>
        <w:t>l</w:t>
      </w:r>
      <w:r w:rsidR="001068FD">
        <w:rPr>
          <w:rFonts w:ascii="Book Antiqua" w:hAnsi="Book Antiqua"/>
          <w:lang w:val="es-419"/>
        </w:rPr>
        <w:t xml:space="preserve"> </w:t>
      </w:r>
      <w:r w:rsidR="003D1BCA">
        <w:rPr>
          <w:rFonts w:ascii="Book Antiqua" w:hAnsi="Book Antiqua"/>
          <w:lang w:val="es-419"/>
        </w:rPr>
        <w:t xml:space="preserve">gobierno de </w:t>
      </w:r>
      <w:r w:rsidR="001B6CBB">
        <w:rPr>
          <w:rFonts w:ascii="Book Antiqua" w:hAnsi="Book Antiqua"/>
          <w:lang w:val="es-419"/>
        </w:rPr>
        <w:t xml:space="preserve">Puerto Rico y de </w:t>
      </w:r>
      <w:r w:rsidR="003D1BCA">
        <w:rPr>
          <w:rFonts w:ascii="Book Antiqua" w:hAnsi="Book Antiqua"/>
          <w:lang w:val="es-419"/>
        </w:rPr>
        <w:t>los Estados Unidos</w:t>
      </w:r>
      <w:r w:rsidR="000C4F7B">
        <w:rPr>
          <w:rFonts w:ascii="Book Antiqua" w:hAnsi="Book Antiqua"/>
          <w:lang w:val="es-419"/>
        </w:rPr>
        <w:t xml:space="preserve"> de América</w:t>
      </w:r>
      <w:r w:rsidR="001B6CBB">
        <w:rPr>
          <w:rFonts w:ascii="Book Antiqua" w:hAnsi="Book Antiqua"/>
          <w:lang w:val="es-419"/>
        </w:rPr>
        <w:t>, lo siguiente:</w:t>
      </w:r>
    </w:p>
    <w:p w14:paraId="149A5EC8" w14:textId="2713AE2B" w:rsidR="00A962B8" w:rsidRPr="009E3954" w:rsidRDefault="00A962B8" w:rsidP="009E3954">
      <w:pPr>
        <w:pStyle w:val="ListParagraph"/>
        <w:numPr>
          <w:ilvl w:val="0"/>
          <w:numId w:val="6"/>
        </w:numPr>
        <w:spacing w:line="480" w:lineRule="auto"/>
        <w:jc w:val="both"/>
        <w:rPr>
          <w:rFonts w:ascii="Book Antiqua" w:hAnsi="Book Antiqua"/>
          <w:lang w:val="es-419"/>
        </w:rPr>
      </w:pPr>
      <w:r w:rsidRPr="009E3954">
        <w:rPr>
          <w:rFonts w:ascii="Book Antiqua" w:hAnsi="Book Antiqua"/>
          <w:lang w:val="es-419"/>
        </w:rPr>
        <w:t xml:space="preserve">Asegurar la protección y seguridad de los tripulantes de la </w:t>
      </w:r>
      <w:r w:rsidR="000571CE">
        <w:rPr>
          <w:rFonts w:ascii="Book Antiqua" w:hAnsi="Book Antiqua"/>
          <w:lang w:val="es-ES_tradnl"/>
        </w:rPr>
        <w:t xml:space="preserve">Flota Global </w:t>
      </w:r>
      <w:proofErr w:type="spellStart"/>
      <w:r w:rsidR="000571CE">
        <w:rPr>
          <w:rFonts w:ascii="Book Antiqua" w:hAnsi="Book Antiqua"/>
          <w:lang w:val="es-ES_tradnl"/>
        </w:rPr>
        <w:t>Sumud</w:t>
      </w:r>
      <w:proofErr w:type="spellEnd"/>
      <w:r w:rsidRPr="009E3954">
        <w:rPr>
          <w:rFonts w:ascii="Book Antiqua" w:hAnsi="Book Antiqua"/>
          <w:lang w:val="es-419"/>
        </w:rPr>
        <w:t>, entre las que se encuentra la puertorriqueña Zuleyka Morales Rivera, y se exija su inmediata libertad incondicional.</w:t>
      </w:r>
    </w:p>
    <w:p w14:paraId="412F160E" w14:textId="1270E773" w:rsidR="00A962B8" w:rsidRPr="009E3954" w:rsidRDefault="00A962B8" w:rsidP="009E3954">
      <w:pPr>
        <w:pStyle w:val="ListParagraph"/>
        <w:numPr>
          <w:ilvl w:val="0"/>
          <w:numId w:val="6"/>
        </w:numPr>
        <w:spacing w:line="480" w:lineRule="auto"/>
        <w:jc w:val="both"/>
        <w:rPr>
          <w:rFonts w:ascii="Book Antiqua" w:hAnsi="Book Antiqua"/>
          <w:lang w:val="es-419"/>
        </w:rPr>
      </w:pPr>
      <w:r w:rsidRPr="009E3954">
        <w:rPr>
          <w:rFonts w:ascii="Book Antiqua" w:hAnsi="Book Antiqua"/>
          <w:lang w:val="es-419"/>
        </w:rPr>
        <w:t>Condenar</w:t>
      </w:r>
      <w:r w:rsidR="000571CE">
        <w:rPr>
          <w:rFonts w:ascii="Book Antiqua" w:hAnsi="Book Antiqua"/>
          <w:lang w:val="es-419"/>
        </w:rPr>
        <w:t xml:space="preserve"> públicamente</w:t>
      </w:r>
      <w:r w:rsidRPr="009E3954">
        <w:rPr>
          <w:rFonts w:ascii="Book Antiqua" w:hAnsi="Book Antiqua"/>
          <w:lang w:val="es-419"/>
        </w:rPr>
        <w:t xml:space="preserve"> el genocidio del pueblo Palestino cometido por Israel</w:t>
      </w:r>
      <w:r w:rsidR="009E3954">
        <w:rPr>
          <w:rFonts w:ascii="Book Antiqua" w:hAnsi="Book Antiqua"/>
          <w:lang w:val="es-419"/>
        </w:rPr>
        <w:t xml:space="preserve">. </w:t>
      </w:r>
    </w:p>
    <w:p w14:paraId="5D39B1FD" w14:textId="1F9F0114" w:rsidR="00A962B8" w:rsidRPr="009E3954" w:rsidRDefault="00A962B8" w:rsidP="009E3954">
      <w:pPr>
        <w:pStyle w:val="ListParagraph"/>
        <w:numPr>
          <w:ilvl w:val="0"/>
          <w:numId w:val="6"/>
        </w:numPr>
        <w:spacing w:line="480" w:lineRule="auto"/>
        <w:jc w:val="both"/>
        <w:rPr>
          <w:rFonts w:ascii="Book Antiqua" w:hAnsi="Book Antiqua"/>
          <w:lang w:val="es-419"/>
        </w:rPr>
      </w:pPr>
      <w:r w:rsidRPr="009E3954">
        <w:rPr>
          <w:rFonts w:ascii="Book Antiqua" w:hAnsi="Book Antiqua"/>
          <w:lang w:val="es-419"/>
        </w:rPr>
        <w:t>Exigir el cese inmediato de la agresión de Israel al pueblo Palestino y el bloqueo de la ayuda humanitaria en Gaza.</w:t>
      </w:r>
    </w:p>
    <w:p w14:paraId="3C7C7715" w14:textId="7619A6CE" w:rsidR="009E3954" w:rsidRPr="009E3954" w:rsidRDefault="00A962B8" w:rsidP="009E3954">
      <w:pPr>
        <w:pStyle w:val="ListParagraph"/>
        <w:numPr>
          <w:ilvl w:val="0"/>
          <w:numId w:val="6"/>
        </w:numPr>
        <w:spacing w:line="480" w:lineRule="auto"/>
        <w:jc w:val="both"/>
        <w:rPr>
          <w:rFonts w:ascii="Book Antiqua" w:hAnsi="Book Antiqua"/>
          <w:lang w:val="es-419"/>
        </w:rPr>
      </w:pPr>
      <w:r w:rsidRPr="009E3954">
        <w:rPr>
          <w:rFonts w:ascii="Book Antiqua" w:hAnsi="Book Antiqua"/>
          <w:lang w:val="es-419"/>
        </w:rPr>
        <w:lastRenderedPageBreak/>
        <w:t>Tomar medidas concretas</w:t>
      </w:r>
      <w:r w:rsidR="009E3954">
        <w:rPr>
          <w:rFonts w:ascii="Book Antiqua" w:hAnsi="Book Antiqua"/>
          <w:lang w:val="es-419"/>
        </w:rPr>
        <w:t xml:space="preserve"> para detener</w:t>
      </w:r>
      <w:r w:rsidR="00384EA9">
        <w:rPr>
          <w:rFonts w:ascii="Book Antiqua" w:hAnsi="Book Antiqua"/>
          <w:lang w:val="es-419"/>
        </w:rPr>
        <w:t xml:space="preserve"> la </w:t>
      </w:r>
      <w:r w:rsidR="009E3954">
        <w:rPr>
          <w:rFonts w:ascii="Book Antiqua" w:hAnsi="Book Antiqua"/>
          <w:lang w:val="es-419"/>
        </w:rPr>
        <w:t>agresión militar de Israel y la hambruna forzada en Gaza.</w:t>
      </w:r>
    </w:p>
    <w:p w14:paraId="6F70A272" w14:textId="2B35C64C" w:rsidR="00A962B8" w:rsidRDefault="009E3954" w:rsidP="009E3954">
      <w:pPr>
        <w:pStyle w:val="ListParagraph"/>
        <w:numPr>
          <w:ilvl w:val="0"/>
          <w:numId w:val="6"/>
        </w:numPr>
        <w:spacing w:line="480" w:lineRule="auto"/>
        <w:jc w:val="both"/>
        <w:rPr>
          <w:rFonts w:ascii="Book Antiqua" w:hAnsi="Book Antiqua"/>
          <w:lang w:val="es-419"/>
        </w:rPr>
      </w:pPr>
      <w:r>
        <w:rPr>
          <w:rFonts w:ascii="Book Antiqua" w:hAnsi="Book Antiqua"/>
          <w:lang w:val="es-419"/>
        </w:rPr>
        <w:t xml:space="preserve">Hacer cumplir el derecho internacional </w:t>
      </w:r>
      <w:r w:rsidR="00CF660B">
        <w:rPr>
          <w:rFonts w:ascii="Book Antiqua" w:hAnsi="Book Antiqua"/>
          <w:lang w:val="es-419"/>
        </w:rPr>
        <w:t xml:space="preserve">con la ejecución de las órdenes de arrestos emitidas por la Corte Penal Internacional en contra del </w:t>
      </w:r>
      <w:proofErr w:type="gramStart"/>
      <w:r w:rsidR="00CF660B">
        <w:rPr>
          <w:rFonts w:ascii="Book Antiqua" w:hAnsi="Book Antiqua"/>
          <w:lang w:val="es-419"/>
        </w:rPr>
        <w:t>Primer Ministro</w:t>
      </w:r>
      <w:proofErr w:type="gramEnd"/>
      <w:r w:rsidR="00CF660B">
        <w:rPr>
          <w:rFonts w:ascii="Book Antiqua" w:hAnsi="Book Antiqua"/>
          <w:lang w:val="es-419"/>
        </w:rPr>
        <w:t xml:space="preserve"> y </w:t>
      </w:r>
      <w:proofErr w:type="gramStart"/>
      <w:r w:rsidR="00CF660B">
        <w:rPr>
          <w:rFonts w:ascii="Book Antiqua" w:hAnsi="Book Antiqua"/>
          <w:lang w:val="es-419"/>
        </w:rPr>
        <w:t>Ministro</w:t>
      </w:r>
      <w:proofErr w:type="gramEnd"/>
      <w:r w:rsidR="00CF660B">
        <w:rPr>
          <w:rFonts w:ascii="Book Antiqua" w:hAnsi="Book Antiqua"/>
          <w:lang w:val="es-419"/>
        </w:rPr>
        <w:t xml:space="preserve"> de Defensa de</w:t>
      </w:r>
      <w:r w:rsidR="00524991">
        <w:rPr>
          <w:rFonts w:ascii="Book Antiqua" w:hAnsi="Book Antiqua"/>
          <w:lang w:val="es-419"/>
        </w:rPr>
        <w:t>l estado de</w:t>
      </w:r>
      <w:r w:rsidR="00CF660B">
        <w:rPr>
          <w:rFonts w:ascii="Book Antiqua" w:hAnsi="Book Antiqua"/>
          <w:lang w:val="es-419"/>
        </w:rPr>
        <w:t xml:space="preserve"> Israel</w:t>
      </w:r>
      <w:r w:rsidR="007210ED">
        <w:rPr>
          <w:rFonts w:ascii="Book Antiqua" w:hAnsi="Book Antiqua"/>
          <w:lang w:val="es-419"/>
        </w:rPr>
        <w:t>.</w:t>
      </w:r>
      <w:r w:rsidR="000571CE">
        <w:rPr>
          <w:rFonts w:ascii="Book Antiqua" w:hAnsi="Book Antiqua"/>
          <w:lang w:val="es-419"/>
        </w:rPr>
        <w:t xml:space="preserve"> </w:t>
      </w:r>
    </w:p>
    <w:p w14:paraId="2CF67BE6" w14:textId="539F34EA" w:rsidR="00E53C02" w:rsidRPr="009E3954" w:rsidRDefault="00E53C02" w:rsidP="009E3954">
      <w:pPr>
        <w:pStyle w:val="ListParagraph"/>
        <w:numPr>
          <w:ilvl w:val="0"/>
          <w:numId w:val="6"/>
        </w:numPr>
        <w:spacing w:line="480" w:lineRule="auto"/>
        <w:jc w:val="both"/>
        <w:rPr>
          <w:rFonts w:ascii="Book Antiqua" w:hAnsi="Book Antiqua"/>
          <w:lang w:val="es-419"/>
        </w:rPr>
      </w:pPr>
      <w:r>
        <w:rPr>
          <w:rFonts w:ascii="Book Antiqua" w:hAnsi="Book Antiqua"/>
          <w:lang w:val="es-419"/>
        </w:rPr>
        <w:t>Proveer el apoyo necesario a los familiares afectados</w:t>
      </w:r>
      <w:r w:rsidR="000571CE">
        <w:rPr>
          <w:rFonts w:ascii="Book Antiqua" w:hAnsi="Book Antiqua"/>
          <w:lang w:val="es-419"/>
        </w:rPr>
        <w:t xml:space="preserve"> por el secuestro de la tripulación de la</w:t>
      </w:r>
      <w:r w:rsidR="000571CE" w:rsidRPr="000571CE">
        <w:rPr>
          <w:rFonts w:ascii="Book Antiqua" w:hAnsi="Book Antiqua"/>
          <w:lang w:val="es-ES_tradnl"/>
        </w:rPr>
        <w:t xml:space="preserve"> </w:t>
      </w:r>
      <w:r w:rsidR="000571CE">
        <w:rPr>
          <w:rFonts w:ascii="Book Antiqua" w:hAnsi="Book Antiqua"/>
          <w:lang w:val="es-ES_tradnl"/>
        </w:rPr>
        <w:t xml:space="preserve">Flota Global </w:t>
      </w:r>
      <w:proofErr w:type="spellStart"/>
      <w:r w:rsidR="000571CE">
        <w:rPr>
          <w:rFonts w:ascii="Book Antiqua" w:hAnsi="Book Antiqua"/>
          <w:lang w:val="es-ES_tradnl"/>
        </w:rPr>
        <w:t>S</w:t>
      </w:r>
      <w:r w:rsidR="008B6F08">
        <w:rPr>
          <w:rFonts w:ascii="Book Antiqua" w:hAnsi="Book Antiqua"/>
          <w:lang w:val="es-ES_tradnl"/>
        </w:rPr>
        <w:t>u</w:t>
      </w:r>
      <w:r w:rsidR="00A04BBF">
        <w:rPr>
          <w:rFonts w:ascii="Book Antiqua" w:hAnsi="Book Antiqua"/>
          <w:lang w:val="es-ES_tradnl"/>
        </w:rPr>
        <w:t>mud</w:t>
      </w:r>
      <w:proofErr w:type="spellEnd"/>
      <w:r>
        <w:rPr>
          <w:rFonts w:ascii="Book Antiqua" w:hAnsi="Book Antiqua"/>
          <w:lang w:val="es-419"/>
        </w:rPr>
        <w:t>.</w:t>
      </w:r>
    </w:p>
    <w:p w14:paraId="4445EE8C" w14:textId="77777777" w:rsidR="008B6F08" w:rsidRDefault="008B6F08" w:rsidP="008B6F08">
      <w:pPr>
        <w:spacing w:line="480" w:lineRule="auto"/>
        <w:ind w:firstLine="360"/>
        <w:jc w:val="both"/>
        <w:rPr>
          <w:rFonts w:ascii="Book Antiqua" w:hAnsi="Book Antiqua"/>
          <w:lang w:val="es-419"/>
        </w:rPr>
      </w:pPr>
      <w:r w:rsidRPr="0067223F">
        <w:rPr>
          <w:rFonts w:ascii="Book Antiqua" w:hAnsi="Book Antiqua"/>
          <w:lang w:val="es-419"/>
        </w:rPr>
        <w:t xml:space="preserve">Sección 2.- Copia de esta Resolución Concurrente será </w:t>
      </w:r>
      <w:r>
        <w:rPr>
          <w:rFonts w:ascii="Book Antiqua" w:hAnsi="Book Antiqua"/>
          <w:lang w:val="es-419"/>
        </w:rPr>
        <w:t xml:space="preserve">enviada </w:t>
      </w:r>
      <w:r w:rsidRPr="0067223F">
        <w:rPr>
          <w:rFonts w:ascii="Book Antiqua" w:hAnsi="Book Antiqua"/>
          <w:lang w:val="es-419"/>
        </w:rPr>
        <w:t>a</w:t>
      </w:r>
      <w:r>
        <w:rPr>
          <w:rFonts w:ascii="Book Antiqua" w:hAnsi="Book Antiqua"/>
          <w:lang w:val="es-419"/>
        </w:rPr>
        <w:t xml:space="preserve"> la Gobernadora de Puerto Rico, Jennifer González Colón. </w:t>
      </w:r>
    </w:p>
    <w:p w14:paraId="49DD3E7C" w14:textId="77777777" w:rsidR="008B6F08" w:rsidRPr="0067223F" w:rsidRDefault="008B6F08" w:rsidP="008B6F08">
      <w:pPr>
        <w:spacing w:line="480" w:lineRule="auto"/>
        <w:ind w:firstLine="360"/>
        <w:jc w:val="both"/>
        <w:rPr>
          <w:rFonts w:ascii="Book Antiqua" w:hAnsi="Book Antiqua"/>
          <w:szCs w:val="24"/>
          <w:lang w:val="es-419"/>
        </w:rPr>
      </w:pPr>
      <w:r w:rsidRPr="0067223F">
        <w:rPr>
          <w:rFonts w:ascii="Book Antiqua" w:hAnsi="Book Antiqua"/>
          <w:lang w:val="es-419"/>
        </w:rPr>
        <w:t xml:space="preserve">Sección 3.- </w:t>
      </w:r>
      <w:r>
        <w:rPr>
          <w:rFonts w:ascii="Book Antiqua" w:hAnsi="Book Antiqua"/>
          <w:lang w:val="es-419"/>
        </w:rPr>
        <w:t>E</w:t>
      </w:r>
      <w:r w:rsidRPr="0067223F">
        <w:rPr>
          <w:rFonts w:ascii="Book Antiqua" w:hAnsi="Book Antiqua"/>
          <w:lang w:val="es-419"/>
        </w:rPr>
        <w:t xml:space="preserve">sta Resolución Concurrente </w:t>
      </w:r>
      <w:r>
        <w:rPr>
          <w:rFonts w:ascii="Book Antiqua" w:hAnsi="Book Antiqua"/>
          <w:lang w:val="es-419"/>
        </w:rPr>
        <w:t xml:space="preserve">será traducida al inglés y </w:t>
      </w:r>
      <w:r w:rsidRPr="0067223F">
        <w:rPr>
          <w:rFonts w:ascii="Book Antiqua" w:hAnsi="Book Antiqua"/>
          <w:lang w:val="es-419"/>
        </w:rPr>
        <w:t>enviada al presidente de los Estados Unidos, Donald J. Trump</w:t>
      </w:r>
      <w:r>
        <w:rPr>
          <w:rFonts w:ascii="Book Antiqua" w:hAnsi="Book Antiqua"/>
          <w:lang w:val="es-419"/>
        </w:rPr>
        <w:t xml:space="preserve">. </w:t>
      </w:r>
    </w:p>
    <w:p w14:paraId="2552C7ED" w14:textId="6BBFCFFB" w:rsidR="0020238A" w:rsidRPr="00C83AF9" w:rsidRDefault="008B6F08" w:rsidP="008B6F08">
      <w:pPr>
        <w:spacing w:line="480" w:lineRule="auto"/>
        <w:ind w:firstLine="360"/>
        <w:jc w:val="both"/>
        <w:rPr>
          <w:rFonts w:ascii="Book Antiqua" w:hAnsi="Book Antiqua"/>
          <w:lang w:val="es-PR"/>
        </w:rPr>
      </w:pPr>
      <w:r w:rsidRPr="0067223F">
        <w:rPr>
          <w:rFonts w:ascii="Book Antiqua" w:hAnsi="Book Antiqua"/>
          <w:lang w:val="es-419"/>
        </w:rPr>
        <w:t xml:space="preserve">Sección </w:t>
      </w:r>
      <w:r>
        <w:rPr>
          <w:rFonts w:ascii="Book Antiqua" w:hAnsi="Book Antiqua"/>
          <w:lang w:val="es-419"/>
        </w:rPr>
        <w:t>4</w:t>
      </w:r>
      <w:r w:rsidRPr="0067223F">
        <w:rPr>
          <w:rFonts w:ascii="Book Antiqua" w:hAnsi="Book Antiqua"/>
          <w:lang w:val="es-419"/>
        </w:rPr>
        <w:t xml:space="preserve">.- </w:t>
      </w:r>
      <w:r w:rsidRPr="0067223F">
        <w:rPr>
          <w:rFonts w:ascii="Book Antiqua" w:hAnsi="Book Antiqua"/>
          <w:szCs w:val="24"/>
          <w:lang w:val="es-419"/>
        </w:rPr>
        <w:t>Esta Resolución Concurrente entrará en vigor inmediatamente después de ser aprobada.</w:t>
      </w:r>
    </w:p>
    <w:sectPr w:rsidR="0020238A" w:rsidRPr="00C83AF9" w:rsidSect="002023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71ADC" w14:textId="77777777" w:rsidR="008802E4" w:rsidRDefault="008802E4">
      <w:r>
        <w:separator/>
      </w:r>
    </w:p>
  </w:endnote>
  <w:endnote w:type="continuationSeparator" w:id="0">
    <w:p w14:paraId="5792F278" w14:textId="77777777" w:rsidR="008802E4" w:rsidRDefault="00880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37ED3" w14:textId="77777777" w:rsidR="008802E4" w:rsidRDefault="008802E4">
      <w:r>
        <w:separator/>
      </w:r>
    </w:p>
  </w:footnote>
  <w:footnote w:type="continuationSeparator" w:id="0">
    <w:p w14:paraId="48A32F1B" w14:textId="77777777" w:rsidR="008802E4" w:rsidRDefault="008802E4">
      <w:r>
        <w:continuationSeparator/>
      </w:r>
    </w:p>
  </w:footnote>
  <w:footnote w:id="1">
    <w:p w14:paraId="40BEEAF7" w14:textId="77777777" w:rsidR="00A04BBF" w:rsidRPr="0039277A" w:rsidRDefault="00A04BBF" w:rsidP="00A04BBF">
      <w:pPr>
        <w:pStyle w:val="FootnoteText"/>
        <w:jc w:val="both"/>
        <w:rPr>
          <w:rFonts w:ascii="Book Antiqua" w:hAnsi="Book Antiqua"/>
          <w:sz w:val="18"/>
          <w:szCs w:val="18"/>
        </w:rPr>
      </w:pPr>
      <w:r>
        <w:rPr>
          <w:rFonts w:ascii="Book Antiqua" w:hAnsi="Book Antiqua"/>
          <w:sz w:val="18"/>
          <w:szCs w:val="18"/>
        </w:rPr>
        <w:t xml:space="preserve">  </w:t>
      </w:r>
      <w:r w:rsidRPr="0039277A">
        <w:rPr>
          <w:rStyle w:val="FootnoteReference"/>
          <w:rFonts w:ascii="Book Antiqua" w:hAnsi="Book Antiqua"/>
          <w:sz w:val="18"/>
          <w:szCs w:val="18"/>
        </w:rPr>
        <w:footnoteRef/>
      </w:r>
      <w:r w:rsidRPr="0039277A">
        <w:rPr>
          <w:rFonts w:ascii="Book Antiqua" w:hAnsi="Book Antiqua"/>
          <w:sz w:val="18"/>
          <w:szCs w:val="18"/>
        </w:rPr>
        <w:t xml:space="preserve"> “Legal analysis of the conduct of Irael in Gaza pursuant to the Convention on the Prevention and Punishment of the Crime of Genocide,” Independent Internacional Commission of Inquiry on the Occupied Palestinian Territory, including East Jerusalem and Israel, September 16, 2025.</w:t>
      </w:r>
    </w:p>
  </w:footnote>
  <w:footnote w:id="2">
    <w:p w14:paraId="7748E197" w14:textId="77777777" w:rsidR="00A04BBF" w:rsidRPr="0039277A" w:rsidRDefault="00A04BBF" w:rsidP="00A04BBF">
      <w:pPr>
        <w:pStyle w:val="FootnoteText"/>
        <w:jc w:val="both"/>
        <w:rPr>
          <w:rFonts w:ascii="Book Antiqua" w:hAnsi="Book Antiqua"/>
          <w:sz w:val="18"/>
          <w:szCs w:val="18"/>
        </w:rPr>
      </w:pPr>
      <w:r>
        <w:rPr>
          <w:rFonts w:ascii="Book Antiqua" w:hAnsi="Book Antiqua"/>
          <w:sz w:val="18"/>
          <w:szCs w:val="18"/>
        </w:rPr>
        <w:t xml:space="preserve">  </w:t>
      </w:r>
      <w:r w:rsidRPr="0039277A">
        <w:rPr>
          <w:rStyle w:val="FootnoteReference"/>
          <w:rFonts w:ascii="Book Antiqua" w:hAnsi="Book Antiqua"/>
          <w:sz w:val="18"/>
          <w:szCs w:val="18"/>
        </w:rPr>
        <w:footnoteRef/>
      </w:r>
      <w:r w:rsidRPr="0039277A">
        <w:rPr>
          <w:rFonts w:ascii="Book Antiqua" w:hAnsi="Book Antiqua"/>
          <w:sz w:val="18"/>
          <w:szCs w:val="18"/>
        </w:rPr>
        <w:t xml:space="preserve"> “192-Application of the Convention on the Prevention and Punishment of the Crime of Genocide in the Gaza Strip: Order of 24 May 2024,” (South Africa v. Israel) International Court of Justice, May 24, 2024, https://www.icj-cij.org/node/204091</w:t>
      </w:r>
      <w:r>
        <w:rPr>
          <w:rFonts w:ascii="Book Antiqua" w:hAnsi="Book Antiqua"/>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E3CF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0B6536">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4674C"/>
    <w:multiLevelType w:val="hybridMultilevel"/>
    <w:tmpl w:val="8BE8C9C2"/>
    <w:lvl w:ilvl="0" w:tplc="55D42DD4">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15:restartNumberingAfterBreak="0">
    <w:nsid w:val="18B45DCE"/>
    <w:multiLevelType w:val="hybridMultilevel"/>
    <w:tmpl w:val="F7C83FFC"/>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 w15:restartNumberingAfterBreak="0">
    <w:nsid w:val="1C440202"/>
    <w:multiLevelType w:val="hybridMultilevel"/>
    <w:tmpl w:val="20D2998E"/>
    <w:lvl w:ilvl="0" w:tplc="B4000B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B196B09"/>
    <w:multiLevelType w:val="hybridMultilevel"/>
    <w:tmpl w:val="2FC4D3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D735838"/>
    <w:multiLevelType w:val="hybridMultilevel"/>
    <w:tmpl w:val="69F0AACA"/>
    <w:lvl w:ilvl="0" w:tplc="C86A465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698B3660"/>
    <w:multiLevelType w:val="hybridMultilevel"/>
    <w:tmpl w:val="20D4EEEA"/>
    <w:lvl w:ilvl="0" w:tplc="BB9E412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16cid:durableId="551116781">
    <w:abstractNumId w:val="4"/>
  </w:num>
  <w:num w:numId="2" w16cid:durableId="1504272886">
    <w:abstractNumId w:val="2"/>
  </w:num>
  <w:num w:numId="3" w16cid:durableId="164563693">
    <w:abstractNumId w:val="1"/>
  </w:num>
  <w:num w:numId="4" w16cid:durableId="1595821154">
    <w:abstractNumId w:val="0"/>
  </w:num>
  <w:num w:numId="5" w16cid:durableId="1104689799">
    <w:abstractNumId w:val="5"/>
  </w:num>
  <w:num w:numId="6" w16cid:durableId="8412405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238A"/>
    <w:rsid w:val="00011C84"/>
    <w:rsid w:val="00012EE9"/>
    <w:rsid w:val="00020BBB"/>
    <w:rsid w:val="000440EF"/>
    <w:rsid w:val="00044BB9"/>
    <w:rsid w:val="00051FF5"/>
    <w:rsid w:val="00056024"/>
    <w:rsid w:val="000571CE"/>
    <w:rsid w:val="00065853"/>
    <w:rsid w:val="00095AE1"/>
    <w:rsid w:val="000A6B6C"/>
    <w:rsid w:val="000B0DBB"/>
    <w:rsid w:val="000B6536"/>
    <w:rsid w:val="000C3A22"/>
    <w:rsid w:val="000C4F7B"/>
    <w:rsid w:val="001068FD"/>
    <w:rsid w:val="00111E71"/>
    <w:rsid w:val="00127C6A"/>
    <w:rsid w:val="00134FCE"/>
    <w:rsid w:val="001363FE"/>
    <w:rsid w:val="00136DC6"/>
    <w:rsid w:val="001630E6"/>
    <w:rsid w:val="00167BA6"/>
    <w:rsid w:val="0017132B"/>
    <w:rsid w:val="00180E0C"/>
    <w:rsid w:val="001865A4"/>
    <w:rsid w:val="00197E34"/>
    <w:rsid w:val="001B6CBB"/>
    <w:rsid w:val="001D65CB"/>
    <w:rsid w:val="001D7031"/>
    <w:rsid w:val="001E338A"/>
    <w:rsid w:val="001F4814"/>
    <w:rsid w:val="001F4CA3"/>
    <w:rsid w:val="001F612A"/>
    <w:rsid w:val="0020238A"/>
    <w:rsid w:val="00204ED1"/>
    <w:rsid w:val="00210804"/>
    <w:rsid w:val="00211396"/>
    <w:rsid w:val="00226AE6"/>
    <w:rsid w:val="00245B34"/>
    <w:rsid w:val="00262BA2"/>
    <w:rsid w:val="00263355"/>
    <w:rsid w:val="00264450"/>
    <w:rsid w:val="00273792"/>
    <w:rsid w:val="002845BB"/>
    <w:rsid w:val="00286183"/>
    <w:rsid w:val="002A7CA9"/>
    <w:rsid w:val="002B5196"/>
    <w:rsid w:val="002D3F2D"/>
    <w:rsid w:val="002D4AC8"/>
    <w:rsid w:val="002E7928"/>
    <w:rsid w:val="002F7385"/>
    <w:rsid w:val="00320D78"/>
    <w:rsid w:val="00356219"/>
    <w:rsid w:val="00363CD5"/>
    <w:rsid w:val="003709A1"/>
    <w:rsid w:val="00380FE5"/>
    <w:rsid w:val="00381B58"/>
    <w:rsid w:val="00384EA9"/>
    <w:rsid w:val="003924DD"/>
    <w:rsid w:val="00394FCB"/>
    <w:rsid w:val="003963F4"/>
    <w:rsid w:val="003B5254"/>
    <w:rsid w:val="003B75A6"/>
    <w:rsid w:val="003C50CE"/>
    <w:rsid w:val="003D1BCA"/>
    <w:rsid w:val="003D4DD4"/>
    <w:rsid w:val="004061CA"/>
    <w:rsid w:val="00415689"/>
    <w:rsid w:val="004245DF"/>
    <w:rsid w:val="00437302"/>
    <w:rsid w:val="004440CB"/>
    <w:rsid w:val="00452332"/>
    <w:rsid w:val="00452F32"/>
    <w:rsid w:val="00455960"/>
    <w:rsid w:val="004713D2"/>
    <w:rsid w:val="00473872"/>
    <w:rsid w:val="00473ED6"/>
    <w:rsid w:val="004B003B"/>
    <w:rsid w:val="004C4670"/>
    <w:rsid w:val="004D5B69"/>
    <w:rsid w:val="004E4555"/>
    <w:rsid w:val="005037B1"/>
    <w:rsid w:val="00521639"/>
    <w:rsid w:val="00524991"/>
    <w:rsid w:val="00532BB7"/>
    <w:rsid w:val="005332E4"/>
    <w:rsid w:val="0053550C"/>
    <w:rsid w:val="0055368B"/>
    <w:rsid w:val="00555018"/>
    <w:rsid w:val="005723DC"/>
    <w:rsid w:val="00586DAB"/>
    <w:rsid w:val="005A2B54"/>
    <w:rsid w:val="005B265D"/>
    <w:rsid w:val="005B5B3C"/>
    <w:rsid w:val="005C2E81"/>
    <w:rsid w:val="005D4F3A"/>
    <w:rsid w:val="005D6C4A"/>
    <w:rsid w:val="006018E5"/>
    <w:rsid w:val="00615717"/>
    <w:rsid w:val="0061793E"/>
    <w:rsid w:val="006210DC"/>
    <w:rsid w:val="00636525"/>
    <w:rsid w:val="0064349D"/>
    <w:rsid w:val="00644046"/>
    <w:rsid w:val="00661396"/>
    <w:rsid w:val="00667986"/>
    <w:rsid w:val="00685549"/>
    <w:rsid w:val="006B6AAA"/>
    <w:rsid w:val="006B7365"/>
    <w:rsid w:val="006C2D81"/>
    <w:rsid w:val="006C53AC"/>
    <w:rsid w:val="006C7DF8"/>
    <w:rsid w:val="007210ED"/>
    <w:rsid w:val="007247F7"/>
    <w:rsid w:val="00750FC8"/>
    <w:rsid w:val="007533D0"/>
    <w:rsid w:val="00755069"/>
    <w:rsid w:val="00755AAB"/>
    <w:rsid w:val="007A7D1B"/>
    <w:rsid w:val="007B0660"/>
    <w:rsid w:val="007B54D1"/>
    <w:rsid w:val="007C5350"/>
    <w:rsid w:val="007E3868"/>
    <w:rsid w:val="00820C41"/>
    <w:rsid w:val="00843781"/>
    <w:rsid w:val="00850256"/>
    <w:rsid w:val="00861762"/>
    <w:rsid w:val="00877CA1"/>
    <w:rsid w:val="008802E4"/>
    <w:rsid w:val="008A2101"/>
    <w:rsid w:val="008B5584"/>
    <w:rsid w:val="008B6F08"/>
    <w:rsid w:val="008F56E5"/>
    <w:rsid w:val="009271FD"/>
    <w:rsid w:val="0093686F"/>
    <w:rsid w:val="0094168B"/>
    <w:rsid w:val="00942FD4"/>
    <w:rsid w:val="0094724C"/>
    <w:rsid w:val="00951997"/>
    <w:rsid w:val="009563A5"/>
    <w:rsid w:val="009650A8"/>
    <w:rsid w:val="00980AE6"/>
    <w:rsid w:val="00981474"/>
    <w:rsid w:val="00983F0C"/>
    <w:rsid w:val="00990352"/>
    <w:rsid w:val="009D21B7"/>
    <w:rsid w:val="009E3954"/>
    <w:rsid w:val="009F1740"/>
    <w:rsid w:val="00A001EA"/>
    <w:rsid w:val="00A03405"/>
    <w:rsid w:val="00A04BBF"/>
    <w:rsid w:val="00A1528A"/>
    <w:rsid w:val="00A33918"/>
    <w:rsid w:val="00A37BA3"/>
    <w:rsid w:val="00A43FC7"/>
    <w:rsid w:val="00A66E5D"/>
    <w:rsid w:val="00A7629F"/>
    <w:rsid w:val="00A962B8"/>
    <w:rsid w:val="00AB351A"/>
    <w:rsid w:val="00AC3930"/>
    <w:rsid w:val="00AF0CEE"/>
    <w:rsid w:val="00B17F96"/>
    <w:rsid w:val="00B24B94"/>
    <w:rsid w:val="00B3257C"/>
    <w:rsid w:val="00B419E8"/>
    <w:rsid w:val="00B42785"/>
    <w:rsid w:val="00B667AD"/>
    <w:rsid w:val="00B84C38"/>
    <w:rsid w:val="00B86C00"/>
    <w:rsid w:val="00B947F6"/>
    <w:rsid w:val="00BB2B02"/>
    <w:rsid w:val="00BC4FF8"/>
    <w:rsid w:val="00BD2322"/>
    <w:rsid w:val="00BF16AA"/>
    <w:rsid w:val="00BF18A2"/>
    <w:rsid w:val="00C03222"/>
    <w:rsid w:val="00C30041"/>
    <w:rsid w:val="00C354B8"/>
    <w:rsid w:val="00C42FFF"/>
    <w:rsid w:val="00C52517"/>
    <w:rsid w:val="00C547C7"/>
    <w:rsid w:val="00C600CC"/>
    <w:rsid w:val="00C60921"/>
    <w:rsid w:val="00C62936"/>
    <w:rsid w:val="00C653F2"/>
    <w:rsid w:val="00C679E6"/>
    <w:rsid w:val="00C7285E"/>
    <w:rsid w:val="00C761BF"/>
    <w:rsid w:val="00C83AF9"/>
    <w:rsid w:val="00C86C4E"/>
    <w:rsid w:val="00C908F9"/>
    <w:rsid w:val="00CA0917"/>
    <w:rsid w:val="00CA1099"/>
    <w:rsid w:val="00CB05B8"/>
    <w:rsid w:val="00CB5C5C"/>
    <w:rsid w:val="00CE6E8E"/>
    <w:rsid w:val="00CF1130"/>
    <w:rsid w:val="00CF660B"/>
    <w:rsid w:val="00D22152"/>
    <w:rsid w:val="00D26A5D"/>
    <w:rsid w:val="00D417C2"/>
    <w:rsid w:val="00D60936"/>
    <w:rsid w:val="00D64CD6"/>
    <w:rsid w:val="00D709EB"/>
    <w:rsid w:val="00D74714"/>
    <w:rsid w:val="00D82F3F"/>
    <w:rsid w:val="00D832F6"/>
    <w:rsid w:val="00D921C6"/>
    <w:rsid w:val="00D958C2"/>
    <w:rsid w:val="00D95E35"/>
    <w:rsid w:val="00DA1BA0"/>
    <w:rsid w:val="00DB68E0"/>
    <w:rsid w:val="00DC3990"/>
    <w:rsid w:val="00DD1C4B"/>
    <w:rsid w:val="00E04AB5"/>
    <w:rsid w:val="00E36281"/>
    <w:rsid w:val="00E37EA2"/>
    <w:rsid w:val="00E50129"/>
    <w:rsid w:val="00E50EEA"/>
    <w:rsid w:val="00E52F58"/>
    <w:rsid w:val="00E53C02"/>
    <w:rsid w:val="00E65623"/>
    <w:rsid w:val="00E7720F"/>
    <w:rsid w:val="00EC2101"/>
    <w:rsid w:val="00EC26AA"/>
    <w:rsid w:val="00ED0072"/>
    <w:rsid w:val="00ED7A53"/>
    <w:rsid w:val="00EE4273"/>
    <w:rsid w:val="00EF4F0F"/>
    <w:rsid w:val="00F02004"/>
    <w:rsid w:val="00F042CB"/>
    <w:rsid w:val="00F04BB4"/>
    <w:rsid w:val="00F15D90"/>
    <w:rsid w:val="00F253ED"/>
    <w:rsid w:val="00F26A3B"/>
    <w:rsid w:val="00F468CF"/>
    <w:rsid w:val="00F55287"/>
    <w:rsid w:val="00F5554C"/>
    <w:rsid w:val="00F61A53"/>
    <w:rsid w:val="00F85A4E"/>
    <w:rsid w:val="00F963FB"/>
    <w:rsid w:val="00FB1C6C"/>
    <w:rsid w:val="00FC0A95"/>
    <w:rsid w:val="00FC3D9C"/>
    <w:rsid w:val="00FC4A7E"/>
    <w:rsid w:val="00FE5A08"/>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6F11C3"/>
  <w15:chartTrackingRefBased/>
  <w15:docId w15:val="{513DA116-08CC-4793-A092-6ABA6E83B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9F1740"/>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9F1740"/>
    <w:rPr>
      <w:rFonts w:ascii="Segoe UI" w:hAnsi="Segoe UI" w:cs="Segoe UI"/>
      <w:sz w:val="18"/>
      <w:szCs w:val="18"/>
      <w:lang w:val="en-US" w:eastAsia="en-US"/>
    </w:rPr>
  </w:style>
  <w:style w:type="paragraph" w:styleId="ListParagraph">
    <w:name w:val="List Paragraph"/>
    <w:basedOn w:val="Normal"/>
    <w:uiPriority w:val="34"/>
    <w:qFormat/>
    <w:rsid w:val="00877CA1"/>
    <w:pPr>
      <w:ind w:left="720"/>
      <w:contextualSpacing/>
    </w:pPr>
  </w:style>
  <w:style w:type="paragraph" w:styleId="NormalWeb">
    <w:name w:val="Normal (Web)"/>
    <w:basedOn w:val="Normal"/>
    <w:uiPriority w:val="99"/>
    <w:semiHidden/>
    <w:unhideWhenUsed/>
    <w:rsid w:val="00286183"/>
    <w:rPr>
      <w:szCs w:val="24"/>
    </w:rPr>
  </w:style>
  <w:style w:type="character" w:styleId="Hyperlink">
    <w:name w:val="Hyperlink"/>
    <w:uiPriority w:val="99"/>
    <w:unhideWhenUsed/>
    <w:rsid w:val="00286183"/>
    <w:rPr>
      <w:color w:val="0000FF"/>
      <w:u w:val="single"/>
    </w:rPr>
  </w:style>
  <w:style w:type="paragraph" w:styleId="FootnoteText">
    <w:name w:val="footnote text"/>
    <w:basedOn w:val="Normal"/>
    <w:link w:val="FootnoteTextChar"/>
    <w:uiPriority w:val="99"/>
    <w:semiHidden/>
    <w:unhideWhenUsed/>
    <w:rsid w:val="00286183"/>
    <w:rPr>
      <w:sz w:val="20"/>
    </w:rPr>
  </w:style>
  <w:style w:type="character" w:customStyle="1" w:styleId="FootnoteTextChar">
    <w:name w:val="Footnote Text Char"/>
    <w:basedOn w:val="DefaultParagraphFont"/>
    <w:link w:val="FootnoteText"/>
    <w:uiPriority w:val="99"/>
    <w:semiHidden/>
    <w:rsid w:val="00286183"/>
    <w:rPr>
      <w:lang w:val="en-US" w:eastAsia="en-US"/>
    </w:rPr>
  </w:style>
  <w:style w:type="character" w:styleId="FootnoteReference">
    <w:name w:val="footnote reference"/>
    <w:uiPriority w:val="99"/>
    <w:semiHidden/>
    <w:unhideWhenUsed/>
    <w:rsid w:val="00286183"/>
    <w:rPr>
      <w:vertAlign w:val="superscript"/>
    </w:rPr>
  </w:style>
  <w:style w:type="character" w:styleId="UnresolvedMention">
    <w:name w:val="Unresolved Mention"/>
    <w:basedOn w:val="DefaultParagraphFont"/>
    <w:uiPriority w:val="99"/>
    <w:semiHidden/>
    <w:unhideWhenUsed/>
    <w:rsid w:val="00CF11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D01DC78-75E3-4E2F-B0FE-2F70959B133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749</Words>
  <Characters>3808</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3</cp:revision>
  <cp:lastPrinted>2025-10-03T17:32:00Z</cp:lastPrinted>
  <dcterms:created xsi:type="dcterms:W3CDTF">2025-10-03T17:55:00Z</dcterms:created>
  <dcterms:modified xsi:type="dcterms:W3CDTF">2025-10-06T13:18:00Z</dcterms:modified>
</cp:coreProperties>
</file>