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2D749" w14:textId="77777777" w:rsidR="005600B5" w:rsidRPr="00905CB1" w:rsidRDefault="005600B5" w:rsidP="005600B5">
      <w:pPr>
        <w:spacing w:after="0" w:line="259" w:lineRule="auto"/>
        <w:jc w:val="center"/>
        <w:rPr>
          <w:rFonts w:ascii="Book Antiqua" w:eastAsia="Calibri" w:hAnsi="Book Antiqua" w:cs="Times New Roman"/>
          <w:kern w:val="0"/>
          <w:sz w:val="36"/>
          <w:szCs w:val="22"/>
          <w14:ligatures w14:val="none"/>
        </w:rPr>
      </w:pPr>
      <w:r w:rsidRPr="00905CB1">
        <w:rPr>
          <w:rFonts w:ascii="Book Antiqua" w:eastAsia="Calibri" w:hAnsi="Book Antiqua" w:cs="Times New Roman"/>
          <w:kern w:val="0"/>
          <w:sz w:val="36"/>
          <w:szCs w:val="22"/>
          <w14:ligatures w14:val="none"/>
        </w:rPr>
        <w:t>GOBIERNO DE PUERTO RICO</w:t>
      </w:r>
    </w:p>
    <w:p w14:paraId="6409B8ED" w14:textId="77777777" w:rsidR="005600B5" w:rsidRPr="00905CB1" w:rsidRDefault="005600B5" w:rsidP="005600B5">
      <w:pPr>
        <w:spacing w:after="0" w:line="259" w:lineRule="auto"/>
        <w:jc w:val="center"/>
        <w:rPr>
          <w:rFonts w:ascii="Book Antiqua" w:eastAsia="Calibri" w:hAnsi="Book Antiqua" w:cs="Times New Roman"/>
          <w:kern w:val="0"/>
          <w:sz w:val="36"/>
          <w:szCs w:val="22"/>
          <w14:ligatures w14:val="none"/>
        </w:rPr>
      </w:pPr>
    </w:p>
    <w:p w14:paraId="640838C8" w14:textId="3EA200DC" w:rsidR="005600B5" w:rsidRPr="00905CB1" w:rsidRDefault="005600B5" w:rsidP="005600B5">
      <w:pPr>
        <w:tabs>
          <w:tab w:val="left" w:pos="648"/>
          <w:tab w:val="right" w:pos="7776"/>
          <w:tab w:val="left" w:pos="7848"/>
        </w:tabs>
        <w:spacing w:after="0" w:line="240" w:lineRule="auto"/>
        <w:rPr>
          <w:rFonts w:ascii="Book Antiqua" w:eastAsia="Times New Roman" w:hAnsi="Book Antiqua" w:cs="Times New Roman"/>
          <w:kern w:val="0"/>
          <w:szCs w:val="20"/>
          <w14:ligatures w14:val="none"/>
        </w:rPr>
      </w:pPr>
      <w:r w:rsidRPr="00905CB1">
        <w:rPr>
          <w:rFonts w:ascii="Book Antiqua" w:eastAsia="Times New Roman" w:hAnsi="Book Antiqua" w:cs="Times New Roman"/>
          <w:kern w:val="0"/>
          <w:szCs w:val="20"/>
          <w14:ligatures w14:val="none"/>
        </w:rPr>
        <w:t>20</w:t>
      </w:r>
      <w:r w:rsidR="000119CC">
        <w:rPr>
          <w:rFonts w:ascii="Book Antiqua" w:eastAsia="Times New Roman" w:hAnsi="Book Antiqua" w:cs="Times New Roman"/>
          <w:kern w:val="0"/>
          <w:szCs w:val="20"/>
          <w:vertAlign w:val="superscript"/>
          <w14:ligatures w14:val="none"/>
        </w:rPr>
        <w:t>.</w:t>
      </w:r>
      <w:r w:rsidRPr="00905CB1">
        <w:rPr>
          <w:rFonts w:ascii="Book Antiqua" w:eastAsia="Times New Roman" w:hAnsi="Book Antiqua" w:cs="Times New Roman"/>
          <w:kern w:val="0"/>
          <w:szCs w:val="20"/>
          <w:vertAlign w:val="superscript"/>
          <w14:ligatures w14:val="none"/>
        </w:rPr>
        <w:t>a</w:t>
      </w:r>
      <w:r w:rsidRPr="00905CB1">
        <w:rPr>
          <w:rFonts w:ascii="Book Antiqua" w:eastAsia="Times New Roman" w:hAnsi="Book Antiqua" w:cs="Times New Roman"/>
          <w:kern w:val="0"/>
          <w:szCs w:val="20"/>
          <w14:ligatures w14:val="none"/>
        </w:rPr>
        <w:tab/>
        <w:t>Asamblea</w:t>
      </w:r>
      <w:r w:rsidRPr="00905CB1">
        <w:rPr>
          <w:rFonts w:ascii="Book Antiqua" w:eastAsia="Times New Roman" w:hAnsi="Book Antiqua" w:cs="Times New Roman"/>
          <w:kern w:val="0"/>
          <w:szCs w:val="20"/>
          <w14:ligatures w14:val="none"/>
        </w:rPr>
        <w:tab/>
      </w:r>
      <w:r w:rsidR="00B45017" w:rsidRPr="00905CB1">
        <w:rPr>
          <w:rFonts w:ascii="Book Antiqua" w:eastAsia="Times New Roman" w:hAnsi="Book Antiqua" w:cs="Times New Roman"/>
          <w:kern w:val="0"/>
          <w:szCs w:val="20"/>
          <w14:ligatures w14:val="none"/>
        </w:rPr>
        <w:t>3</w:t>
      </w:r>
      <w:r w:rsidR="000119CC">
        <w:rPr>
          <w:rFonts w:ascii="Book Antiqua" w:eastAsia="Times New Roman" w:hAnsi="Book Antiqua" w:cs="Times New Roman"/>
          <w:kern w:val="0"/>
          <w:szCs w:val="20"/>
          <w:vertAlign w:val="superscript"/>
          <w14:ligatures w14:val="none"/>
        </w:rPr>
        <w:t>.</w:t>
      </w:r>
      <w:r w:rsidR="00B45017" w:rsidRPr="00905CB1">
        <w:rPr>
          <w:rFonts w:ascii="Book Antiqua" w:eastAsia="Times New Roman" w:hAnsi="Book Antiqua" w:cs="Times New Roman"/>
          <w:kern w:val="0"/>
          <w:szCs w:val="20"/>
          <w:vertAlign w:val="superscript"/>
          <w14:ligatures w14:val="none"/>
        </w:rPr>
        <w:t>a</w:t>
      </w:r>
      <w:r w:rsidRPr="00905CB1">
        <w:rPr>
          <w:rFonts w:ascii="Book Antiqua" w:eastAsia="Times New Roman" w:hAnsi="Book Antiqua" w:cs="Times New Roman"/>
          <w:kern w:val="0"/>
          <w:szCs w:val="20"/>
          <w14:ligatures w14:val="none"/>
        </w:rPr>
        <w:tab/>
        <w:t>Sesión</w:t>
      </w:r>
    </w:p>
    <w:p w14:paraId="2A7744F2" w14:textId="77777777" w:rsidR="005600B5" w:rsidRPr="00905CB1" w:rsidRDefault="005600B5" w:rsidP="005600B5">
      <w:pPr>
        <w:tabs>
          <w:tab w:val="left" w:pos="648"/>
          <w:tab w:val="right" w:pos="7776"/>
          <w:tab w:val="left" w:pos="7848"/>
        </w:tabs>
        <w:spacing w:after="0" w:line="240" w:lineRule="auto"/>
        <w:rPr>
          <w:rFonts w:ascii="Book Antiqua" w:eastAsia="Times New Roman" w:hAnsi="Book Antiqua" w:cs="Times New Roman"/>
          <w:kern w:val="0"/>
          <w:szCs w:val="20"/>
          <w14:ligatures w14:val="none"/>
        </w:rPr>
      </w:pPr>
      <w:r w:rsidRPr="00905CB1">
        <w:rPr>
          <w:rFonts w:ascii="Book Antiqua" w:eastAsia="Times New Roman" w:hAnsi="Book Antiqua" w:cs="Times New Roman"/>
          <w:kern w:val="0"/>
          <w:szCs w:val="20"/>
          <w14:ligatures w14:val="none"/>
        </w:rPr>
        <w:tab/>
        <w:t>Legislativa</w:t>
      </w:r>
      <w:r w:rsidRPr="00905CB1">
        <w:rPr>
          <w:rFonts w:ascii="Book Antiqua" w:eastAsia="Times New Roman" w:hAnsi="Book Antiqua" w:cs="Times New Roman"/>
          <w:kern w:val="0"/>
          <w:szCs w:val="20"/>
          <w14:ligatures w14:val="none"/>
        </w:rPr>
        <w:tab/>
      </w:r>
      <w:r w:rsidRPr="00905CB1">
        <w:rPr>
          <w:rFonts w:ascii="Book Antiqua" w:eastAsia="Times New Roman" w:hAnsi="Book Antiqua" w:cs="Times New Roman"/>
          <w:kern w:val="0"/>
          <w:szCs w:val="20"/>
          <w14:ligatures w14:val="none"/>
        </w:rPr>
        <w:tab/>
        <w:t>Ordinaria</w:t>
      </w:r>
    </w:p>
    <w:p w14:paraId="3C9CCE28" w14:textId="77777777" w:rsidR="005600B5" w:rsidRPr="00905CB1" w:rsidRDefault="005600B5" w:rsidP="005600B5">
      <w:pPr>
        <w:spacing w:after="0" w:line="259" w:lineRule="auto"/>
        <w:rPr>
          <w:rFonts w:ascii="Calibri" w:eastAsia="Calibri" w:hAnsi="Calibri" w:cs="Times New Roman"/>
          <w:kern w:val="0"/>
          <w:sz w:val="22"/>
          <w:szCs w:val="22"/>
          <w14:ligatures w14:val="none"/>
        </w:rPr>
      </w:pPr>
    </w:p>
    <w:p w14:paraId="669DB0FE" w14:textId="27D50AB7" w:rsidR="005600B5" w:rsidRPr="00905CB1" w:rsidRDefault="00FF6B3F" w:rsidP="005600B5">
      <w:pPr>
        <w:spacing w:after="0" w:line="360" w:lineRule="auto"/>
        <w:jc w:val="center"/>
        <w:rPr>
          <w:rStyle w:val="Strong"/>
          <w:rFonts w:ascii="Book Antiqua" w:eastAsia="Calibri" w:hAnsi="Book Antiqua" w:cs="Times New Roman"/>
          <w:bCs w:val="0"/>
          <w:kern w:val="0"/>
          <w:sz w:val="36"/>
          <w:szCs w:val="22"/>
          <w14:ligatures w14:val="none"/>
        </w:rPr>
      </w:pPr>
      <w:r w:rsidRPr="00905CB1">
        <w:rPr>
          <w:rFonts w:ascii="Book Antiqua" w:eastAsia="Calibri" w:hAnsi="Book Antiqua" w:cs="Times New Roman"/>
          <w:b/>
          <w:kern w:val="0"/>
          <w:sz w:val="36"/>
          <w:szCs w:val="22"/>
          <w14:ligatures w14:val="none"/>
        </w:rPr>
        <w:t xml:space="preserve">CÁMARA DE REPRESENTANTES </w:t>
      </w:r>
    </w:p>
    <w:p w14:paraId="4A9BDFA8" w14:textId="7B0FB98A" w:rsidR="005600B5" w:rsidRPr="00905CB1" w:rsidRDefault="005600B5" w:rsidP="005600B5">
      <w:pPr>
        <w:pStyle w:val="NormalWeb"/>
        <w:jc w:val="center"/>
        <w:rPr>
          <w:rFonts w:ascii="Book Antiqua" w:hAnsi="Book Antiqua"/>
          <w:sz w:val="52"/>
          <w:szCs w:val="52"/>
          <w:lang w:val="es-PR"/>
        </w:rPr>
      </w:pPr>
      <w:r w:rsidRPr="00905CB1">
        <w:rPr>
          <w:rStyle w:val="Strong"/>
          <w:rFonts w:ascii="Book Antiqua" w:eastAsiaTheme="majorEastAsia" w:hAnsi="Book Antiqua"/>
          <w:sz w:val="52"/>
          <w:szCs w:val="52"/>
          <w:lang w:val="es-PR"/>
        </w:rPr>
        <w:t xml:space="preserve">P. del S. </w:t>
      </w:r>
      <w:r w:rsidR="000D346E" w:rsidRPr="00905CB1">
        <w:rPr>
          <w:rStyle w:val="Strong"/>
          <w:rFonts w:ascii="Book Antiqua" w:eastAsiaTheme="majorEastAsia" w:hAnsi="Book Antiqua"/>
          <w:sz w:val="52"/>
          <w:szCs w:val="52"/>
          <w:lang w:val="es-PR"/>
        </w:rPr>
        <w:t>765</w:t>
      </w:r>
    </w:p>
    <w:p w14:paraId="58E012A3" w14:textId="403743D1" w:rsidR="005600B5" w:rsidRPr="009E2229" w:rsidRDefault="005600B5" w:rsidP="005600B5">
      <w:pPr>
        <w:pStyle w:val="NormalWeb"/>
        <w:jc w:val="center"/>
        <w:rPr>
          <w:rFonts w:ascii="Book Antiqua" w:hAnsi="Book Antiqua"/>
          <w:b/>
          <w:bCs/>
          <w:spacing w:val="12"/>
          <w:lang w:val="es-PR"/>
        </w:rPr>
      </w:pPr>
      <w:r w:rsidRPr="009E2229">
        <w:rPr>
          <w:rStyle w:val="Strong"/>
          <w:rFonts w:ascii="Book Antiqua" w:eastAsiaTheme="majorEastAsia" w:hAnsi="Book Antiqua"/>
          <w:b w:val="0"/>
          <w:bCs w:val="0"/>
          <w:spacing w:val="12"/>
          <w:lang w:val="es-PR"/>
        </w:rPr>
        <w:t>INFORME POSITIVO</w:t>
      </w:r>
    </w:p>
    <w:p w14:paraId="2737D28E" w14:textId="6EFB1DC0" w:rsidR="005600B5" w:rsidRPr="00905CB1" w:rsidRDefault="00601A84" w:rsidP="005600B5">
      <w:pPr>
        <w:pStyle w:val="NormalWeb"/>
        <w:jc w:val="center"/>
        <w:rPr>
          <w:rStyle w:val="Strong"/>
          <w:rFonts w:ascii="Book Antiqua" w:eastAsiaTheme="majorEastAsia" w:hAnsi="Book Antiqua"/>
          <w:b w:val="0"/>
          <w:bCs w:val="0"/>
          <w:lang w:val="es-PR"/>
        </w:rPr>
      </w:pPr>
      <w:r>
        <w:rPr>
          <w:rFonts w:ascii="Book Antiqua" w:hAnsi="Book Antiqua"/>
          <w:lang w:val="es-PR"/>
        </w:rPr>
        <w:t>15</w:t>
      </w:r>
      <w:r w:rsidR="005600B5" w:rsidRPr="00905CB1">
        <w:rPr>
          <w:rFonts w:ascii="Book Antiqua" w:hAnsi="Book Antiqua"/>
          <w:lang w:val="es-PR"/>
        </w:rPr>
        <w:t xml:space="preserve"> de</w:t>
      </w:r>
      <w:r w:rsidR="00184557" w:rsidRPr="00905CB1">
        <w:rPr>
          <w:rFonts w:ascii="Book Antiqua" w:hAnsi="Book Antiqua"/>
          <w:lang w:val="es-PR"/>
        </w:rPr>
        <w:t xml:space="preserve"> </w:t>
      </w:r>
      <w:r w:rsidR="000D346E" w:rsidRPr="00905CB1">
        <w:rPr>
          <w:rFonts w:ascii="Book Antiqua" w:hAnsi="Book Antiqua"/>
          <w:lang w:val="es-PR"/>
        </w:rPr>
        <w:t>mayo</w:t>
      </w:r>
      <w:r w:rsidR="005600B5" w:rsidRPr="00905CB1">
        <w:rPr>
          <w:rFonts w:ascii="Book Antiqua" w:hAnsi="Book Antiqua"/>
          <w:lang w:val="es-PR"/>
        </w:rPr>
        <w:t xml:space="preserve"> de 202</w:t>
      </w:r>
      <w:r w:rsidR="000D346E" w:rsidRPr="00905CB1">
        <w:rPr>
          <w:rFonts w:ascii="Book Antiqua" w:hAnsi="Book Antiqua"/>
          <w:lang w:val="es-PR"/>
        </w:rPr>
        <w:t>6</w:t>
      </w:r>
    </w:p>
    <w:p w14:paraId="165D7CAD" w14:textId="7F20896E" w:rsidR="008944CA" w:rsidRPr="000119CC" w:rsidRDefault="005600B5" w:rsidP="008944CA">
      <w:pPr>
        <w:pStyle w:val="NormalWeb"/>
        <w:jc w:val="both"/>
        <w:rPr>
          <w:rFonts w:ascii="Book Antiqua" w:hAnsi="Book Antiqua"/>
          <w:b/>
          <w:bCs/>
          <w:spacing w:val="12"/>
          <w:lang w:val="es-PR"/>
        </w:rPr>
      </w:pPr>
      <w:r w:rsidRPr="000119CC">
        <w:rPr>
          <w:rStyle w:val="Strong"/>
          <w:rFonts w:ascii="Book Antiqua" w:eastAsiaTheme="majorEastAsia" w:hAnsi="Book Antiqua"/>
          <w:b w:val="0"/>
          <w:bCs w:val="0"/>
          <w:spacing w:val="12"/>
          <w:lang w:val="es-PR"/>
        </w:rPr>
        <w:t>A</w:t>
      </w:r>
      <w:r w:rsidR="00223530" w:rsidRPr="000119CC">
        <w:rPr>
          <w:rStyle w:val="Strong"/>
          <w:rFonts w:ascii="Book Antiqua" w:eastAsiaTheme="majorEastAsia" w:hAnsi="Book Antiqua"/>
          <w:b w:val="0"/>
          <w:bCs w:val="0"/>
          <w:spacing w:val="12"/>
          <w:lang w:val="es-PR"/>
        </w:rPr>
        <w:t xml:space="preserve"> </w:t>
      </w:r>
      <w:r w:rsidRPr="000119CC">
        <w:rPr>
          <w:rStyle w:val="Strong"/>
          <w:rFonts w:ascii="Book Antiqua" w:eastAsiaTheme="majorEastAsia" w:hAnsi="Book Antiqua"/>
          <w:b w:val="0"/>
          <w:bCs w:val="0"/>
          <w:spacing w:val="12"/>
          <w:lang w:val="es-PR"/>
        </w:rPr>
        <w:t>L</w:t>
      </w:r>
      <w:r w:rsidR="00223530" w:rsidRPr="000119CC">
        <w:rPr>
          <w:rStyle w:val="Strong"/>
          <w:rFonts w:ascii="Book Antiqua" w:eastAsiaTheme="majorEastAsia" w:hAnsi="Book Antiqua"/>
          <w:b w:val="0"/>
          <w:bCs w:val="0"/>
          <w:spacing w:val="12"/>
          <w:lang w:val="es-PR"/>
        </w:rPr>
        <w:t xml:space="preserve">A CÁMARA DE REPRESENTANTES </w:t>
      </w:r>
      <w:r w:rsidRPr="000119CC">
        <w:rPr>
          <w:rStyle w:val="Strong"/>
          <w:rFonts w:ascii="Book Antiqua" w:eastAsiaTheme="majorEastAsia" w:hAnsi="Book Antiqua"/>
          <w:b w:val="0"/>
          <w:bCs w:val="0"/>
          <w:spacing w:val="12"/>
          <w:lang w:val="es-PR"/>
        </w:rPr>
        <w:t>DE PUERTO RICO</w:t>
      </w:r>
    </w:p>
    <w:p w14:paraId="6944B8D1" w14:textId="15D10E99" w:rsidR="005600B5" w:rsidRPr="00905CB1" w:rsidRDefault="00D62853" w:rsidP="004B02B0">
      <w:pPr>
        <w:spacing w:after="0" w:line="288" w:lineRule="auto"/>
        <w:ind w:firstLine="720"/>
        <w:jc w:val="both"/>
        <w:rPr>
          <w:rFonts w:ascii="Book Antiqua" w:eastAsia="Calibri" w:hAnsi="Book Antiqua" w:cs="Times New Roman"/>
          <w:color w:val="0D0D0D"/>
          <w:kern w:val="0"/>
          <w14:ligatures w14:val="none"/>
        </w:rPr>
      </w:pPr>
      <w:r>
        <w:rPr>
          <w:rFonts w:ascii="Book Antiqua" w:eastAsia="Calibri" w:hAnsi="Book Antiqua" w:cs="Times New Roman"/>
          <w:kern w:val="0"/>
          <w14:ligatures w14:val="none"/>
        </w:rPr>
        <w:t>P</w:t>
      </w:r>
      <w:r w:rsidR="008944CA" w:rsidRPr="00905CB1">
        <w:rPr>
          <w:rFonts w:ascii="Book Antiqua" w:eastAsia="Calibri" w:hAnsi="Book Antiqua" w:cs="Times New Roman"/>
          <w:kern w:val="0"/>
          <w14:ligatures w14:val="none"/>
        </w:rPr>
        <w:t xml:space="preserve">revio estudio y consideración del </w:t>
      </w:r>
      <w:r w:rsidR="00223530" w:rsidRPr="00905CB1">
        <w:rPr>
          <w:rFonts w:ascii="Book Antiqua" w:eastAsia="Calibri" w:hAnsi="Book Antiqua" w:cs="Times New Roman"/>
          <w:bCs/>
          <w:kern w:val="0"/>
          <w14:ligatures w14:val="none"/>
        </w:rPr>
        <w:t>Proyecto del Senado</w:t>
      </w:r>
      <w:r w:rsidR="00B45017" w:rsidRPr="00905CB1">
        <w:rPr>
          <w:rFonts w:ascii="Book Antiqua" w:eastAsia="Calibri" w:hAnsi="Book Antiqua" w:cs="Times New Roman"/>
          <w:bCs/>
          <w:kern w:val="0"/>
          <w14:ligatures w14:val="none"/>
        </w:rPr>
        <w:t xml:space="preserve"> </w:t>
      </w:r>
      <w:r w:rsidR="000D346E" w:rsidRPr="00905CB1">
        <w:rPr>
          <w:rFonts w:ascii="Book Antiqua" w:eastAsia="Calibri" w:hAnsi="Book Antiqua" w:cs="Times New Roman"/>
          <w:bCs/>
          <w:kern w:val="0"/>
          <w14:ligatures w14:val="none"/>
        </w:rPr>
        <w:t>765</w:t>
      </w:r>
      <w:r>
        <w:rPr>
          <w:rFonts w:ascii="Book Antiqua" w:eastAsia="Calibri" w:hAnsi="Book Antiqua" w:cs="Times New Roman"/>
          <w:bCs/>
          <w:kern w:val="0"/>
          <w14:ligatures w14:val="none"/>
        </w:rPr>
        <w:t xml:space="preserve"> (P. del S. 765)</w:t>
      </w:r>
      <w:r w:rsidR="008944CA" w:rsidRPr="00905CB1">
        <w:rPr>
          <w:rFonts w:ascii="Book Antiqua" w:eastAsia="Calibri" w:hAnsi="Book Antiqua" w:cs="Times New Roman"/>
          <w:kern w:val="0"/>
          <w14:ligatures w14:val="none"/>
        </w:rPr>
        <w:t xml:space="preserve">, </w:t>
      </w:r>
      <w:r>
        <w:rPr>
          <w:rFonts w:ascii="Book Antiqua" w:eastAsia="Calibri" w:hAnsi="Book Antiqua" w:cs="Times New Roman"/>
          <w:kern w:val="0"/>
          <w14:ligatures w14:val="none"/>
        </w:rPr>
        <w:t xml:space="preserve">la </w:t>
      </w:r>
      <w:r w:rsidRPr="00905CB1">
        <w:rPr>
          <w:rFonts w:ascii="Book Antiqua" w:eastAsia="Calibri" w:hAnsi="Book Antiqua" w:cs="Times New Roman"/>
          <w:bCs/>
          <w:kern w:val="0"/>
          <w14:ligatures w14:val="none"/>
        </w:rPr>
        <w:t>Comisión de lo Jurídico</w:t>
      </w:r>
      <w:r w:rsidRPr="00905CB1">
        <w:rPr>
          <w:rFonts w:ascii="Book Antiqua" w:eastAsia="Calibri" w:hAnsi="Book Antiqua" w:cs="Times New Roman"/>
          <w:kern w:val="0"/>
          <w14:ligatures w14:val="none"/>
        </w:rPr>
        <w:t xml:space="preserve"> </w:t>
      </w:r>
      <w:r w:rsidR="008944CA" w:rsidRPr="00905CB1">
        <w:rPr>
          <w:rFonts w:ascii="Book Antiqua" w:eastAsia="Calibri" w:hAnsi="Book Antiqua" w:cs="Times New Roman"/>
          <w:color w:val="000000" w:themeColor="text1"/>
          <w:kern w:val="0"/>
          <w14:ligatures w14:val="none"/>
        </w:rPr>
        <w:t>recomiend</w:t>
      </w:r>
      <w:r w:rsidR="00FA18AC" w:rsidRPr="00905CB1">
        <w:rPr>
          <w:rFonts w:ascii="Book Antiqua" w:eastAsia="Calibri" w:hAnsi="Book Antiqua" w:cs="Times New Roman"/>
          <w:color w:val="000000" w:themeColor="text1"/>
          <w:kern w:val="0"/>
          <w14:ligatures w14:val="none"/>
        </w:rPr>
        <w:t xml:space="preserve">a </w:t>
      </w:r>
      <w:r w:rsidR="002438BA">
        <w:rPr>
          <w:rFonts w:ascii="Book Antiqua" w:eastAsia="Calibri" w:hAnsi="Book Antiqua" w:cs="Times New Roman"/>
          <w:color w:val="000000" w:themeColor="text1"/>
          <w:kern w:val="0"/>
          <w14:ligatures w14:val="none"/>
        </w:rPr>
        <w:t xml:space="preserve">que </w:t>
      </w:r>
      <w:r w:rsidR="008944CA" w:rsidRPr="00905CB1">
        <w:rPr>
          <w:rFonts w:ascii="Book Antiqua" w:eastAsia="Calibri" w:hAnsi="Book Antiqua" w:cs="Times New Roman"/>
          <w:color w:val="000000" w:themeColor="text1"/>
          <w:kern w:val="0"/>
          <w14:ligatures w14:val="none"/>
        </w:rPr>
        <w:t>s</w:t>
      </w:r>
      <w:r w:rsidR="002438BA">
        <w:rPr>
          <w:rFonts w:ascii="Book Antiqua" w:eastAsia="Calibri" w:hAnsi="Book Antiqua" w:cs="Times New Roman"/>
          <w:color w:val="000000" w:themeColor="text1"/>
          <w:kern w:val="0"/>
          <w14:ligatures w14:val="none"/>
        </w:rPr>
        <w:t>e</w:t>
      </w:r>
      <w:r w:rsidR="008944CA" w:rsidRPr="00905CB1">
        <w:rPr>
          <w:rFonts w:ascii="Book Antiqua" w:eastAsia="Calibri" w:hAnsi="Book Antiqua" w:cs="Times New Roman"/>
          <w:color w:val="000000" w:themeColor="text1"/>
          <w:kern w:val="0"/>
          <w14:ligatures w14:val="none"/>
        </w:rPr>
        <w:t xml:space="preserve"> apr</w:t>
      </w:r>
      <w:r w:rsidR="002438BA">
        <w:rPr>
          <w:rFonts w:ascii="Book Antiqua" w:eastAsia="Calibri" w:hAnsi="Book Antiqua" w:cs="Times New Roman"/>
          <w:color w:val="000000" w:themeColor="text1"/>
          <w:kern w:val="0"/>
          <w14:ligatures w14:val="none"/>
        </w:rPr>
        <w:t>uebe</w:t>
      </w:r>
      <w:r w:rsidR="008944CA" w:rsidRPr="00905CB1">
        <w:rPr>
          <w:rFonts w:ascii="Book Antiqua" w:eastAsia="Calibri" w:hAnsi="Book Antiqua" w:cs="Times New Roman"/>
          <w:color w:val="000000" w:themeColor="text1"/>
          <w:kern w:val="0"/>
          <w14:ligatures w14:val="none"/>
        </w:rPr>
        <w:t xml:space="preserve"> </w:t>
      </w:r>
      <w:r w:rsidR="000D346E" w:rsidRPr="00905CB1">
        <w:rPr>
          <w:rFonts w:ascii="Book Antiqua" w:eastAsia="Calibri" w:hAnsi="Book Antiqua" w:cs="Times New Roman"/>
          <w:color w:val="000000" w:themeColor="text1"/>
          <w:kern w:val="0"/>
          <w14:ligatures w14:val="none"/>
        </w:rPr>
        <w:t xml:space="preserve">con las enmiendas en el </w:t>
      </w:r>
      <w:proofErr w:type="spellStart"/>
      <w:r w:rsidR="000D346E" w:rsidRPr="00905CB1">
        <w:rPr>
          <w:rFonts w:ascii="Book Antiqua" w:eastAsia="Calibri" w:hAnsi="Book Antiqua" w:cs="Times New Roman"/>
          <w:color w:val="000000" w:themeColor="text1"/>
          <w:kern w:val="0"/>
          <w14:ligatures w14:val="none"/>
        </w:rPr>
        <w:t>entirillado</w:t>
      </w:r>
      <w:proofErr w:type="spellEnd"/>
      <w:r w:rsidR="000D346E" w:rsidRPr="00905CB1">
        <w:rPr>
          <w:rFonts w:ascii="Book Antiqua" w:eastAsia="Calibri" w:hAnsi="Book Antiqua" w:cs="Times New Roman"/>
          <w:color w:val="000000" w:themeColor="text1"/>
          <w:kern w:val="0"/>
          <w14:ligatures w14:val="none"/>
        </w:rPr>
        <w:t xml:space="preserve"> electrónico</w:t>
      </w:r>
      <w:r w:rsidR="002438BA">
        <w:rPr>
          <w:rFonts w:ascii="Book Antiqua" w:eastAsia="Calibri" w:hAnsi="Book Antiqua" w:cs="Times New Roman"/>
          <w:color w:val="000000" w:themeColor="text1"/>
          <w:kern w:val="0"/>
          <w14:ligatures w14:val="none"/>
        </w:rPr>
        <w:t xml:space="preserve"> adjunto</w:t>
      </w:r>
      <w:r w:rsidR="008944CA" w:rsidRPr="00905CB1">
        <w:rPr>
          <w:rFonts w:ascii="Book Antiqua" w:eastAsia="Calibri" w:hAnsi="Book Antiqua" w:cs="Times New Roman"/>
          <w:color w:val="000000" w:themeColor="text1"/>
          <w:kern w:val="0"/>
          <w14:ligatures w14:val="none"/>
        </w:rPr>
        <w:t>.</w:t>
      </w:r>
      <w:r w:rsidR="00FA18AC" w:rsidRPr="00905CB1">
        <w:rPr>
          <w:rFonts w:ascii="Book Antiqua" w:eastAsia="Calibri" w:hAnsi="Book Antiqua" w:cs="Times New Roman"/>
          <w:color w:val="000000" w:themeColor="text1"/>
          <w:kern w:val="0"/>
          <w14:ligatures w14:val="none"/>
        </w:rPr>
        <w:t xml:space="preserve"> </w:t>
      </w:r>
    </w:p>
    <w:p w14:paraId="56F8B727" w14:textId="77777777" w:rsidR="005600B5" w:rsidRPr="002438BA" w:rsidRDefault="005600B5" w:rsidP="005600B5">
      <w:pPr>
        <w:spacing w:before="100" w:beforeAutospacing="1" w:after="100" w:afterAutospacing="1" w:line="240" w:lineRule="auto"/>
        <w:jc w:val="center"/>
        <w:outlineLvl w:val="2"/>
        <w:rPr>
          <w:rFonts w:ascii="Book Antiqua" w:eastAsia="Times New Roman" w:hAnsi="Book Antiqua" w:cs="Times New Roman"/>
          <w:spacing w:val="12"/>
          <w:kern w:val="0"/>
          <w14:ligatures w14:val="none"/>
        </w:rPr>
      </w:pPr>
      <w:r w:rsidRPr="002438BA">
        <w:rPr>
          <w:rFonts w:ascii="Book Antiqua" w:eastAsia="Times New Roman" w:hAnsi="Book Antiqua" w:cs="Times New Roman"/>
          <w:spacing w:val="12"/>
          <w:kern w:val="0"/>
          <w14:ligatures w14:val="none"/>
        </w:rPr>
        <w:t>ALCANCE DE LA MEDIDA</w:t>
      </w:r>
    </w:p>
    <w:p w14:paraId="61DC4093" w14:textId="77777777" w:rsidR="00B34708" w:rsidRDefault="006B0738" w:rsidP="00B34708">
      <w:pPr>
        <w:spacing w:before="100" w:beforeAutospacing="1" w:after="100" w:afterAutospacing="1" w:line="288" w:lineRule="auto"/>
        <w:ind w:firstLine="720"/>
        <w:jc w:val="both"/>
        <w:rPr>
          <w:rFonts w:ascii="Book Antiqua" w:eastAsia="Times New Roman" w:hAnsi="Book Antiqua" w:cs="Times New Roman"/>
          <w:kern w:val="0"/>
          <w14:ligatures w14:val="none"/>
        </w:rPr>
      </w:pPr>
      <w:r w:rsidRPr="00905CB1">
        <w:rPr>
          <w:rFonts w:ascii="Book Antiqua" w:eastAsia="Times New Roman" w:hAnsi="Book Antiqua" w:cs="Times New Roman"/>
          <w:kern w:val="0"/>
          <w14:ligatures w14:val="none"/>
        </w:rPr>
        <w:t xml:space="preserve">El </w:t>
      </w:r>
      <w:r w:rsidR="00FA18AC" w:rsidRPr="00905CB1">
        <w:rPr>
          <w:rFonts w:ascii="Book Antiqua" w:eastAsia="Times New Roman" w:hAnsi="Book Antiqua" w:cs="Times New Roman"/>
          <w:kern w:val="0"/>
          <w14:ligatures w14:val="none"/>
        </w:rPr>
        <w:t xml:space="preserve">P. del S. </w:t>
      </w:r>
      <w:r w:rsidR="000D346E" w:rsidRPr="00905CB1">
        <w:rPr>
          <w:rFonts w:ascii="Book Antiqua" w:eastAsia="Times New Roman" w:hAnsi="Book Antiqua" w:cs="Times New Roman"/>
          <w:kern w:val="0"/>
          <w14:ligatures w14:val="none"/>
        </w:rPr>
        <w:t>765</w:t>
      </w:r>
      <w:r w:rsidRPr="00905CB1">
        <w:rPr>
          <w:rFonts w:ascii="Book Antiqua" w:eastAsia="Times New Roman" w:hAnsi="Book Antiqua" w:cs="Times New Roman"/>
          <w:kern w:val="0"/>
          <w14:ligatures w14:val="none"/>
        </w:rPr>
        <w:t xml:space="preserve"> </w:t>
      </w:r>
      <w:r w:rsidR="00A91737" w:rsidRPr="00905CB1">
        <w:rPr>
          <w:rFonts w:ascii="Book Antiqua" w:eastAsia="Times New Roman" w:hAnsi="Book Antiqua" w:cs="Times New Roman"/>
          <w:kern w:val="0"/>
          <w14:ligatures w14:val="none"/>
        </w:rPr>
        <w:t xml:space="preserve">propone </w:t>
      </w:r>
      <w:r w:rsidR="000D346E" w:rsidRPr="00905CB1">
        <w:rPr>
          <w:rFonts w:ascii="Book Antiqua" w:hAnsi="Book Antiqua"/>
        </w:rPr>
        <w:t>enmendar las Reglas 25.2 y 40.6 de las Reglas de Procedimiento Civil de 2009, según enmendadas, a fin de establecer un mecanismo más eficiente para la citación de personas testigos que se encuentran fuera de la jurisdicción de Puerto Rico, pero dentro de otra jurisdicción de los Estados Unidos de América</w:t>
      </w:r>
      <w:r w:rsidR="00184557" w:rsidRPr="00905CB1">
        <w:rPr>
          <w:rFonts w:ascii="Book Antiqua" w:eastAsia="Times New Roman" w:hAnsi="Book Antiqua" w:cs="Times New Roman"/>
          <w:kern w:val="0"/>
          <w14:ligatures w14:val="none"/>
        </w:rPr>
        <w:t>.</w:t>
      </w:r>
      <w:r w:rsidR="00194C6D" w:rsidRPr="00905CB1">
        <w:rPr>
          <w:rStyle w:val="FootnoteReference"/>
          <w:rFonts w:ascii="Book Antiqua" w:eastAsia="Times New Roman" w:hAnsi="Book Antiqua" w:cs="Times New Roman"/>
          <w:kern w:val="0"/>
          <w14:ligatures w14:val="none"/>
        </w:rPr>
        <w:footnoteReference w:id="1"/>
      </w:r>
    </w:p>
    <w:p w14:paraId="70207FA2" w14:textId="77777777" w:rsidR="00B34708" w:rsidRDefault="00B34708" w:rsidP="00B34708">
      <w:pPr>
        <w:spacing w:before="100" w:beforeAutospacing="1" w:after="100" w:afterAutospacing="1" w:line="288" w:lineRule="auto"/>
        <w:ind w:firstLine="720"/>
        <w:jc w:val="both"/>
        <w:rPr>
          <w:rFonts w:ascii="Book Antiqua" w:eastAsia="Times New Roman" w:hAnsi="Book Antiqua" w:cs="Times New Roman"/>
          <w:kern w:val="0"/>
          <w14:ligatures w14:val="none"/>
        </w:rPr>
      </w:pPr>
    </w:p>
    <w:p w14:paraId="476D7837" w14:textId="77777777" w:rsidR="00B34708" w:rsidRDefault="00B34708" w:rsidP="00B34708">
      <w:pPr>
        <w:spacing w:before="100" w:beforeAutospacing="1" w:after="100" w:afterAutospacing="1" w:line="288" w:lineRule="auto"/>
        <w:ind w:firstLine="720"/>
        <w:jc w:val="both"/>
        <w:rPr>
          <w:rFonts w:ascii="Book Antiqua" w:eastAsia="Times New Roman" w:hAnsi="Book Antiqua" w:cs="Times New Roman"/>
          <w:kern w:val="0"/>
          <w14:ligatures w14:val="none"/>
        </w:rPr>
      </w:pPr>
    </w:p>
    <w:p w14:paraId="7FA015EB" w14:textId="77777777" w:rsidR="00B34708" w:rsidRDefault="00B34708" w:rsidP="00B34708">
      <w:pPr>
        <w:spacing w:before="100" w:beforeAutospacing="1" w:after="100" w:afterAutospacing="1" w:line="288" w:lineRule="auto"/>
        <w:ind w:firstLine="720"/>
        <w:jc w:val="both"/>
        <w:rPr>
          <w:rFonts w:ascii="Book Antiqua" w:eastAsia="Times New Roman" w:hAnsi="Book Antiqua" w:cs="Times New Roman"/>
          <w:kern w:val="0"/>
          <w14:ligatures w14:val="none"/>
        </w:rPr>
      </w:pPr>
    </w:p>
    <w:p w14:paraId="718E470E" w14:textId="77777777" w:rsidR="00851C37" w:rsidRDefault="00851C37" w:rsidP="00DC2356">
      <w:pPr>
        <w:spacing w:before="100" w:beforeAutospacing="1" w:after="0" w:line="288" w:lineRule="auto"/>
        <w:ind w:firstLine="720"/>
        <w:jc w:val="both"/>
        <w:rPr>
          <w:rFonts w:ascii="Book Antiqua" w:hAnsi="Book Antiqua"/>
        </w:rPr>
      </w:pPr>
    </w:p>
    <w:p w14:paraId="31131B20" w14:textId="2105497A" w:rsidR="000E435D" w:rsidRPr="00905CB1" w:rsidRDefault="00851C37" w:rsidP="00DC2356">
      <w:pPr>
        <w:spacing w:before="100" w:beforeAutospacing="1" w:after="0" w:line="288" w:lineRule="auto"/>
        <w:ind w:firstLine="720"/>
        <w:jc w:val="both"/>
        <w:rPr>
          <w:rFonts w:ascii="Book Antiqua" w:hAnsi="Book Antiqua"/>
        </w:rPr>
      </w:pPr>
      <w:r>
        <w:rPr>
          <w:rFonts w:ascii="Book Antiqua" w:hAnsi="Book Antiqua"/>
        </w:rPr>
        <w:lastRenderedPageBreak/>
        <w:t>E</w:t>
      </w:r>
      <w:r w:rsidRPr="00905CB1">
        <w:rPr>
          <w:rFonts w:ascii="Book Antiqua" w:hAnsi="Book Antiqua"/>
        </w:rPr>
        <w:t>n la práctica,</w:t>
      </w:r>
      <w:r>
        <w:rPr>
          <w:rFonts w:ascii="Book Antiqua" w:hAnsi="Book Antiqua"/>
        </w:rPr>
        <w:t xml:space="preserve"> </w:t>
      </w:r>
      <w:r w:rsidR="004269ED">
        <w:rPr>
          <w:rFonts w:ascii="Book Antiqua" w:hAnsi="Book Antiqua"/>
        </w:rPr>
        <w:t xml:space="preserve">la </w:t>
      </w:r>
      <w:r w:rsidR="000E435D" w:rsidRPr="00905CB1">
        <w:rPr>
          <w:rFonts w:ascii="Book Antiqua" w:hAnsi="Book Antiqua"/>
        </w:rPr>
        <w:t>citación se rige por el mecanismo de cartas rogatorias que ha demostrado ser oneroso e ineficiente.  Según plantea la exposición de motivos de este proyecto de ley:</w:t>
      </w:r>
    </w:p>
    <w:p w14:paraId="45046554" w14:textId="77777777" w:rsidR="000E435D" w:rsidRPr="00DC2356" w:rsidRDefault="000E435D" w:rsidP="00905CB1">
      <w:pPr>
        <w:spacing w:before="120" w:after="120" w:line="240" w:lineRule="auto"/>
        <w:ind w:left="720"/>
        <w:jc w:val="both"/>
        <w:rPr>
          <w:rFonts w:ascii="Book Antiqua" w:hAnsi="Book Antiqua"/>
        </w:rPr>
      </w:pPr>
      <w:r w:rsidRPr="00DC2356">
        <w:rPr>
          <w:rFonts w:ascii="Book Antiqua" w:hAnsi="Book Antiqua"/>
        </w:rPr>
        <w:t xml:space="preserve">La mayoría de las jurisdicciones en Estados Unidos han adoptado la Ley Uniforme de Citaciones y Descubrimiento Interestatal (UIDDA) propuesta en 2007 por la Conferencia Nacional de Comisionados sobre Leyes Uniformes.  Por lo que, a través de esta enmienda, se incorporan las disposiciones de la UIDDA al ordenamiento civil puertorriqueño, abandonando el modelo actual de citación de testigos para la toma de deposiciones fuera de la jurisdicción de Puerto Rico. </w:t>
      </w:r>
    </w:p>
    <w:p w14:paraId="56A353BF" w14:textId="76812E4D" w:rsidR="005B777C" w:rsidRPr="00DC2356" w:rsidRDefault="000E435D" w:rsidP="00905CB1">
      <w:pPr>
        <w:spacing w:before="100" w:beforeAutospacing="1" w:after="100" w:afterAutospacing="1" w:line="240" w:lineRule="auto"/>
        <w:ind w:left="720"/>
        <w:jc w:val="both"/>
        <w:rPr>
          <w:rFonts w:ascii="Book Antiqua" w:eastAsia="Times New Roman" w:hAnsi="Book Antiqua" w:cs="Times New Roman"/>
          <w:color w:val="000000" w:themeColor="text1"/>
          <w:kern w:val="0"/>
          <w14:ligatures w14:val="none"/>
        </w:rPr>
      </w:pPr>
      <w:r w:rsidRPr="00DC2356">
        <w:rPr>
          <w:rFonts w:ascii="Book Antiqua" w:hAnsi="Book Antiqua"/>
        </w:rPr>
        <w:t xml:space="preserve">Destacamos que, para agosto de 2025, cuarenta y ocho (48) de los estados en Estados Unidos, el Distrito de Columbia y las Islas Vírgenes estadounidenses, han aprobado este modelo.  Solo dos (2) estados, </w:t>
      </w:r>
      <w:proofErr w:type="spellStart"/>
      <w:r w:rsidRPr="00DC2356">
        <w:rPr>
          <w:rFonts w:ascii="Book Antiqua" w:hAnsi="Book Antiqua"/>
        </w:rPr>
        <w:t>Massachusse</w:t>
      </w:r>
      <w:r w:rsidR="00B42064">
        <w:rPr>
          <w:rFonts w:ascii="Book Antiqua" w:hAnsi="Book Antiqua"/>
        </w:rPr>
        <w:t>t</w:t>
      </w:r>
      <w:r w:rsidRPr="00DC2356">
        <w:rPr>
          <w:rFonts w:ascii="Book Antiqua" w:hAnsi="Book Antiqua"/>
        </w:rPr>
        <w:t>ts</w:t>
      </w:r>
      <w:proofErr w:type="spellEnd"/>
      <w:r w:rsidRPr="00DC2356">
        <w:rPr>
          <w:rFonts w:ascii="Book Antiqua" w:hAnsi="Book Antiqua"/>
        </w:rPr>
        <w:t xml:space="preserve"> y </w:t>
      </w:r>
      <w:proofErr w:type="gramStart"/>
      <w:r w:rsidRPr="00DC2356">
        <w:rPr>
          <w:rFonts w:ascii="Book Antiqua" w:hAnsi="Book Antiqua"/>
        </w:rPr>
        <w:t>New Hampshire</w:t>
      </w:r>
      <w:proofErr w:type="gramEnd"/>
      <w:r w:rsidRPr="00DC2356">
        <w:rPr>
          <w:rFonts w:ascii="Book Antiqua" w:hAnsi="Book Antiqua"/>
        </w:rPr>
        <w:t xml:space="preserve">, no han incorporado el mecanismo de citación uniforme. Sin embargo, en ambas jurisdicciones existen proyectos legislativos en trámite que proponen su adopción.  </w:t>
      </w:r>
    </w:p>
    <w:p w14:paraId="100BE591" w14:textId="7A240548" w:rsidR="000E435D" w:rsidRDefault="000E435D" w:rsidP="00D4511D">
      <w:pPr>
        <w:spacing w:before="120" w:after="120" w:line="288" w:lineRule="auto"/>
        <w:ind w:firstLine="720"/>
        <w:jc w:val="both"/>
        <w:rPr>
          <w:rFonts w:ascii="Book Antiqua" w:hAnsi="Book Antiqua"/>
        </w:rPr>
      </w:pPr>
      <w:r w:rsidRPr="00905CB1">
        <w:rPr>
          <w:rFonts w:ascii="Book Antiqua" w:eastAsia="Times New Roman" w:hAnsi="Book Antiqua" w:cs="Times New Roman"/>
          <w:kern w:val="0"/>
          <w14:ligatures w14:val="none"/>
        </w:rPr>
        <w:t xml:space="preserve">Además de lo anterior, el P. del S. 765 </w:t>
      </w:r>
      <w:r w:rsidRPr="00905CB1">
        <w:rPr>
          <w:rFonts w:ascii="Book Antiqua" w:hAnsi="Book Antiqua"/>
        </w:rPr>
        <w:t xml:space="preserve">no impide que una parte formule solicitudes ante el tribunal </w:t>
      </w:r>
      <w:r w:rsidR="003D44E5">
        <w:rPr>
          <w:rFonts w:ascii="Book Antiqua" w:hAnsi="Book Antiqua"/>
        </w:rPr>
        <w:t xml:space="preserve">con </w:t>
      </w:r>
      <w:r w:rsidRPr="00905CB1">
        <w:rPr>
          <w:rFonts w:ascii="Book Antiqua" w:hAnsi="Book Antiqua"/>
        </w:rPr>
        <w:t>jurisdicción origina</w:t>
      </w:r>
      <w:r w:rsidR="003D44E5">
        <w:rPr>
          <w:rFonts w:ascii="Book Antiqua" w:hAnsi="Book Antiqua"/>
        </w:rPr>
        <w:t>l</w:t>
      </w:r>
      <w:r w:rsidRPr="00905CB1">
        <w:rPr>
          <w:rFonts w:ascii="Book Antiqua" w:hAnsi="Book Antiqua"/>
        </w:rPr>
        <w:t xml:space="preserve"> en aspectos del descubrimiento de prueba que afecten únicamente a las partes del litigio. Por ejemplo, una moción para impedir una deposición fuera del estado por razones de pertinencia puede presentarse en el tribunal de origen antes de tramitar la citación en la jurisdicción externa. Este proyecto tampoco altera los requisitos que rigen la comparecencia de abogados en jurisdicciones fuera de Puerto Rico. Si una parte desea presentar o responder a una solicitud en la jurisdicción donde se efectúa el descubrimiento, deberá cumplir con las normas de admisión </w:t>
      </w:r>
      <w:r w:rsidRPr="00905CB1">
        <w:rPr>
          <w:rFonts w:ascii="Book Antiqua" w:hAnsi="Book Antiqua"/>
          <w:i/>
          <w:iCs/>
        </w:rPr>
        <w:t>pro hac vice</w:t>
      </w:r>
      <w:r w:rsidRPr="00905CB1">
        <w:rPr>
          <w:rFonts w:ascii="Book Antiqua" w:hAnsi="Book Antiqua"/>
        </w:rPr>
        <w:t xml:space="preserve"> o cualesquiera otras reglas aplicables para ejercer la abogacía en esa jurisdicción.</w:t>
      </w:r>
    </w:p>
    <w:p w14:paraId="1019624F" w14:textId="551CA2BA" w:rsidR="0032132D" w:rsidRPr="00D4511D" w:rsidRDefault="0032132D" w:rsidP="00E72369">
      <w:pPr>
        <w:spacing w:before="100" w:beforeAutospacing="1" w:after="100" w:afterAutospacing="1" w:line="288" w:lineRule="auto"/>
        <w:ind w:firstLine="720"/>
        <w:jc w:val="center"/>
        <w:rPr>
          <w:rFonts w:ascii="Book Antiqua" w:eastAsia="Times New Roman" w:hAnsi="Book Antiqua" w:cs="Times New Roman"/>
          <w:spacing w:val="12"/>
          <w:kern w:val="0"/>
          <w14:ligatures w14:val="none"/>
        </w:rPr>
      </w:pPr>
      <w:r w:rsidRPr="00D4511D">
        <w:rPr>
          <w:rFonts w:ascii="Book Antiqua" w:eastAsia="Times New Roman" w:hAnsi="Book Antiqua" w:cs="Times New Roman"/>
          <w:spacing w:val="12"/>
          <w:kern w:val="0"/>
          <w14:ligatures w14:val="none"/>
        </w:rPr>
        <w:t>ANÁLISIS DE LA MEDIDA</w:t>
      </w:r>
    </w:p>
    <w:p w14:paraId="2311ACE7" w14:textId="30176742" w:rsidR="003F0737" w:rsidRDefault="00956196" w:rsidP="00E72369">
      <w:pPr>
        <w:spacing w:before="100" w:beforeAutospacing="1" w:after="100" w:afterAutospacing="1" w:line="288" w:lineRule="auto"/>
        <w:ind w:firstLine="720"/>
        <w:jc w:val="both"/>
        <w:rPr>
          <w:rFonts w:ascii="Book Antiqua" w:eastAsia="Times New Roman" w:hAnsi="Book Antiqua" w:cs="Times New Roman"/>
          <w:kern w:val="0"/>
          <w14:ligatures w14:val="none"/>
        </w:rPr>
      </w:pPr>
      <w:r>
        <w:rPr>
          <w:rFonts w:ascii="Book Antiqua" w:eastAsia="Times New Roman" w:hAnsi="Book Antiqua" w:cs="Times New Roman"/>
          <w:kern w:val="0"/>
          <w14:ligatures w14:val="none"/>
        </w:rPr>
        <w:t>Esta</w:t>
      </w:r>
      <w:r w:rsidR="003F0737" w:rsidRPr="00905CB1">
        <w:rPr>
          <w:rFonts w:ascii="Book Antiqua" w:eastAsia="Times New Roman" w:hAnsi="Book Antiqua" w:cs="Times New Roman"/>
          <w:kern w:val="0"/>
          <w14:ligatures w14:val="none"/>
        </w:rPr>
        <w:t xml:space="preserve"> </w:t>
      </w:r>
      <w:r>
        <w:rPr>
          <w:rFonts w:ascii="Book Antiqua" w:eastAsia="Times New Roman" w:hAnsi="Book Antiqua" w:cs="Times New Roman"/>
          <w:kern w:val="0"/>
          <w14:ligatures w14:val="none"/>
        </w:rPr>
        <w:t>c</w:t>
      </w:r>
      <w:r w:rsidR="003F0737" w:rsidRPr="00905CB1">
        <w:rPr>
          <w:rFonts w:ascii="Book Antiqua" w:eastAsia="Times New Roman" w:hAnsi="Book Antiqua" w:cs="Times New Roman"/>
          <w:kern w:val="0"/>
          <w14:ligatures w14:val="none"/>
        </w:rPr>
        <w:t xml:space="preserve">omisión </w:t>
      </w:r>
      <w:r w:rsidR="00814E8F" w:rsidRPr="00905CB1">
        <w:rPr>
          <w:rFonts w:ascii="Book Antiqua" w:eastAsia="Times New Roman" w:hAnsi="Book Antiqua" w:cs="Times New Roman"/>
          <w:kern w:val="0"/>
          <w14:ligatures w14:val="none"/>
        </w:rPr>
        <w:t>consideró los</w:t>
      </w:r>
      <w:r w:rsidR="004A4966" w:rsidRPr="00905CB1">
        <w:rPr>
          <w:rFonts w:ascii="Book Antiqua" w:eastAsia="Times New Roman" w:hAnsi="Book Antiqua" w:cs="Times New Roman"/>
          <w:kern w:val="0"/>
          <w14:ligatures w14:val="none"/>
        </w:rPr>
        <w:t xml:space="preserve"> memoriales</w:t>
      </w:r>
      <w:r w:rsidR="0022774A" w:rsidRPr="00905CB1">
        <w:rPr>
          <w:rFonts w:ascii="Book Antiqua" w:eastAsia="Times New Roman" w:hAnsi="Book Antiqua" w:cs="Times New Roman"/>
          <w:kern w:val="0"/>
          <w14:ligatures w14:val="none"/>
        </w:rPr>
        <w:t xml:space="preserve"> explicativos </w:t>
      </w:r>
      <w:r w:rsidR="008D55C5">
        <w:rPr>
          <w:rFonts w:ascii="Book Antiqua" w:eastAsia="Times New Roman" w:hAnsi="Book Antiqua" w:cs="Times New Roman"/>
          <w:kern w:val="0"/>
          <w14:ligatures w14:val="none"/>
        </w:rPr>
        <w:t>de</w:t>
      </w:r>
      <w:r w:rsidR="003F0737" w:rsidRPr="00905CB1">
        <w:rPr>
          <w:rFonts w:ascii="Book Antiqua" w:eastAsia="Times New Roman" w:hAnsi="Book Antiqua" w:cs="Times New Roman"/>
          <w:kern w:val="0"/>
          <w14:ligatures w14:val="none"/>
        </w:rPr>
        <w:t xml:space="preserve"> las siguientes entidades</w:t>
      </w:r>
      <w:r w:rsidR="004A4966" w:rsidRPr="00905CB1">
        <w:rPr>
          <w:rFonts w:ascii="Book Antiqua" w:eastAsia="Times New Roman" w:hAnsi="Book Antiqua" w:cs="Times New Roman"/>
          <w:kern w:val="0"/>
          <w14:ligatures w14:val="none"/>
        </w:rPr>
        <w:t>:</w:t>
      </w:r>
      <w:r w:rsidR="00A174F1" w:rsidRPr="00905CB1">
        <w:rPr>
          <w:rFonts w:ascii="Book Antiqua" w:eastAsia="Times New Roman" w:hAnsi="Book Antiqua" w:cs="Times New Roman"/>
          <w:kern w:val="0"/>
          <w14:ligatures w14:val="none"/>
        </w:rPr>
        <w:t xml:space="preserve"> </w:t>
      </w:r>
      <w:r w:rsidR="004A4966" w:rsidRPr="00905CB1">
        <w:rPr>
          <w:rFonts w:ascii="Book Antiqua" w:eastAsia="Times New Roman" w:hAnsi="Book Antiqua" w:cs="Times New Roman"/>
          <w:kern w:val="0"/>
          <w14:ligatures w14:val="none"/>
        </w:rPr>
        <w:t xml:space="preserve">(1) </w:t>
      </w:r>
      <w:r w:rsidR="000E435D" w:rsidRPr="00905CB1">
        <w:rPr>
          <w:rFonts w:ascii="Book Antiqua" w:hAnsi="Book Antiqua"/>
        </w:rPr>
        <w:t>Oficina de Administración de los Tribunales</w:t>
      </w:r>
      <w:r w:rsidR="00A174F1" w:rsidRPr="00905CB1">
        <w:rPr>
          <w:rFonts w:ascii="Book Antiqua" w:hAnsi="Book Antiqua"/>
        </w:rPr>
        <w:t xml:space="preserve">, </w:t>
      </w:r>
      <w:r w:rsidR="004A4966" w:rsidRPr="00905CB1">
        <w:rPr>
          <w:rFonts w:ascii="Book Antiqua" w:hAnsi="Book Antiqua"/>
        </w:rPr>
        <w:t xml:space="preserve">(2) </w:t>
      </w:r>
      <w:r w:rsidR="000E435D" w:rsidRPr="00905CB1">
        <w:rPr>
          <w:rFonts w:ascii="Book Antiqua" w:hAnsi="Book Antiqua"/>
        </w:rPr>
        <w:t>Oficina de Servicios Legislativos</w:t>
      </w:r>
      <w:r w:rsidR="00A174F1" w:rsidRPr="00905CB1">
        <w:rPr>
          <w:rFonts w:ascii="Book Antiqua" w:hAnsi="Book Antiqua"/>
        </w:rPr>
        <w:t>,</w:t>
      </w:r>
      <w:r w:rsidR="004A4966" w:rsidRPr="00905CB1">
        <w:rPr>
          <w:rFonts w:ascii="Book Antiqua" w:hAnsi="Book Antiqua"/>
        </w:rPr>
        <w:t xml:space="preserve"> y (3) </w:t>
      </w:r>
      <w:r w:rsidR="00AB646A" w:rsidRPr="00905CB1">
        <w:rPr>
          <w:rFonts w:ascii="Book Antiqua" w:eastAsia="Times New Roman" w:hAnsi="Book Antiqua" w:cs="Times New Roman"/>
          <w:kern w:val="0"/>
          <w14:ligatures w14:val="none"/>
        </w:rPr>
        <w:t xml:space="preserve">la </w:t>
      </w:r>
      <w:r w:rsidR="000E435D" w:rsidRPr="00905CB1">
        <w:rPr>
          <w:rFonts w:ascii="Book Antiqua" w:eastAsia="Times New Roman" w:hAnsi="Book Antiqua" w:cs="Times New Roman"/>
          <w:kern w:val="0"/>
          <w14:ligatures w14:val="none"/>
        </w:rPr>
        <w:t>Academia Puertorriqueña de Jurisprudencia y Legislación</w:t>
      </w:r>
      <w:r w:rsidR="00AB646A" w:rsidRPr="00905CB1">
        <w:rPr>
          <w:rFonts w:ascii="Book Antiqua" w:eastAsia="Times New Roman" w:hAnsi="Book Antiqua" w:cs="Times New Roman"/>
          <w:kern w:val="0"/>
          <w14:ligatures w14:val="none"/>
        </w:rPr>
        <w:t>.</w:t>
      </w:r>
      <w:r w:rsidR="003F0737" w:rsidRPr="00905CB1">
        <w:rPr>
          <w:rFonts w:ascii="Book Antiqua" w:eastAsia="Times New Roman" w:hAnsi="Book Antiqua" w:cs="Times New Roman"/>
          <w:kern w:val="0"/>
          <w14:ligatures w14:val="none"/>
        </w:rPr>
        <w:t xml:space="preserve"> </w:t>
      </w:r>
      <w:r w:rsidR="00494824" w:rsidRPr="00905CB1">
        <w:rPr>
          <w:rFonts w:ascii="Book Antiqua" w:eastAsia="Times New Roman" w:hAnsi="Book Antiqua" w:cs="Times New Roman"/>
          <w:kern w:val="0"/>
          <w14:ligatures w14:val="none"/>
        </w:rPr>
        <w:t>A</w:t>
      </w:r>
      <w:r w:rsidR="003F0737" w:rsidRPr="00905CB1">
        <w:rPr>
          <w:rFonts w:ascii="Book Antiqua" w:eastAsia="Times New Roman" w:hAnsi="Book Antiqua" w:cs="Times New Roman"/>
          <w:kern w:val="0"/>
          <w14:ligatures w14:val="none"/>
        </w:rPr>
        <w:t xml:space="preserve"> </w:t>
      </w:r>
      <w:r w:rsidR="008D55C5" w:rsidRPr="00905CB1">
        <w:rPr>
          <w:rFonts w:ascii="Book Antiqua" w:eastAsia="Times New Roman" w:hAnsi="Book Antiqua" w:cs="Times New Roman"/>
          <w:kern w:val="0"/>
          <w14:ligatures w14:val="none"/>
        </w:rPr>
        <w:t>continuación,</w:t>
      </w:r>
      <w:r w:rsidR="00494824" w:rsidRPr="00905CB1">
        <w:rPr>
          <w:rFonts w:ascii="Book Antiqua" w:eastAsia="Times New Roman" w:hAnsi="Book Antiqua" w:cs="Times New Roman"/>
          <w:kern w:val="0"/>
          <w14:ligatures w14:val="none"/>
        </w:rPr>
        <w:t xml:space="preserve"> </w:t>
      </w:r>
      <w:r w:rsidR="00F73649" w:rsidRPr="00905CB1">
        <w:rPr>
          <w:rFonts w:ascii="Book Antiqua" w:eastAsia="Times New Roman" w:hAnsi="Book Antiqua" w:cs="Times New Roman"/>
          <w:kern w:val="0"/>
          <w14:ligatures w14:val="none"/>
        </w:rPr>
        <w:t xml:space="preserve">un </w:t>
      </w:r>
      <w:r w:rsidR="00494824" w:rsidRPr="00905CB1">
        <w:rPr>
          <w:rFonts w:ascii="Book Antiqua" w:eastAsia="Times New Roman" w:hAnsi="Book Antiqua" w:cs="Times New Roman"/>
          <w:kern w:val="0"/>
          <w14:ligatures w14:val="none"/>
        </w:rPr>
        <w:t xml:space="preserve">resumen de los comentarios vertidos por las referidas </w:t>
      </w:r>
      <w:r w:rsidR="008D55C5">
        <w:rPr>
          <w:rFonts w:ascii="Book Antiqua" w:eastAsia="Times New Roman" w:hAnsi="Book Antiqua" w:cs="Times New Roman"/>
          <w:kern w:val="0"/>
          <w14:ligatures w14:val="none"/>
        </w:rPr>
        <w:t>entidades</w:t>
      </w:r>
      <w:r w:rsidR="00494824" w:rsidRPr="00905CB1">
        <w:rPr>
          <w:rFonts w:ascii="Book Antiqua" w:eastAsia="Times New Roman" w:hAnsi="Book Antiqua" w:cs="Times New Roman"/>
          <w:kern w:val="0"/>
          <w14:ligatures w14:val="none"/>
        </w:rPr>
        <w:t>.</w:t>
      </w:r>
    </w:p>
    <w:p w14:paraId="6FC4D035" w14:textId="77777777" w:rsidR="004269ED" w:rsidRDefault="004269ED" w:rsidP="00E72369">
      <w:pPr>
        <w:spacing w:before="100" w:beforeAutospacing="1" w:after="100" w:afterAutospacing="1" w:line="288" w:lineRule="auto"/>
        <w:ind w:firstLine="720"/>
        <w:jc w:val="both"/>
        <w:rPr>
          <w:rFonts w:ascii="Book Antiqua" w:eastAsia="Times New Roman" w:hAnsi="Book Antiqua" w:cs="Times New Roman"/>
          <w:kern w:val="0"/>
          <w14:ligatures w14:val="none"/>
        </w:rPr>
      </w:pPr>
    </w:p>
    <w:p w14:paraId="4D327044" w14:textId="77777777" w:rsidR="004269ED" w:rsidRDefault="004269ED" w:rsidP="00E72369">
      <w:pPr>
        <w:spacing w:before="100" w:beforeAutospacing="1" w:after="100" w:afterAutospacing="1" w:line="288" w:lineRule="auto"/>
        <w:ind w:firstLine="720"/>
        <w:jc w:val="both"/>
        <w:rPr>
          <w:rFonts w:ascii="Book Antiqua" w:eastAsia="Times New Roman" w:hAnsi="Book Antiqua" w:cs="Times New Roman"/>
          <w:kern w:val="0"/>
          <w14:ligatures w14:val="none"/>
        </w:rPr>
      </w:pPr>
    </w:p>
    <w:p w14:paraId="3FFACDD2" w14:textId="16F4FB24" w:rsidR="00D952BD" w:rsidRPr="00905CB1" w:rsidRDefault="00261B7B" w:rsidP="00E72369">
      <w:pPr>
        <w:spacing w:after="0" w:line="288" w:lineRule="auto"/>
        <w:ind w:firstLine="720"/>
        <w:jc w:val="both"/>
        <w:rPr>
          <w:rFonts w:ascii="Book Antiqua" w:eastAsia="Times New Roman" w:hAnsi="Book Antiqua" w:cs="Times New Roman"/>
          <w:kern w:val="0"/>
          <w14:ligatures w14:val="none"/>
        </w:rPr>
      </w:pPr>
      <w:r w:rsidRPr="00905CB1">
        <w:rPr>
          <w:rFonts w:ascii="Book Antiqua" w:eastAsia="Times New Roman" w:hAnsi="Book Antiqua" w:cs="Times New Roman"/>
          <w:kern w:val="0"/>
          <w14:ligatures w14:val="none"/>
        </w:rPr>
        <w:lastRenderedPageBreak/>
        <w:t xml:space="preserve">La </w:t>
      </w:r>
      <w:r w:rsidRPr="00E72369">
        <w:rPr>
          <w:rFonts w:ascii="Book Antiqua" w:eastAsia="Times New Roman" w:hAnsi="Book Antiqua" w:cs="Times New Roman"/>
          <w:b/>
          <w:bCs/>
          <w:kern w:val="0"/>
          <w14:ligatures w14:val="none"/>
        </w:rPr>
        <w:t xml:space="preserve">Oficina de </w:t>
      </w:r>
      <w:r w:rsidR="00D952BD" w:rsidRPr="00E72369">
        <w:rPr>
          <w:rFonts w:ascii="Book Antiqua" w:eastAsia="Times New Roman" w:hAnsi="Book Antiqua" w:cs="Times New Roman"/>
          <w:b/>
          <w:bCs/>
          <w:kern w:val="0"/>
          <w14:ligatures w14:val="none"/>
        </w:rPr>
        <w:t>Administración de los Tribunales</w:t>
      </w:r>
      <w:r w:rsidR="00D952BD" w:rsidRPr="00905CB1">
        <w:rPr>
          <w:rFonts w:ascii="Book Antiqua" w:eastAsia="Times New Roman" w:hAnsi="Book Antiqua" w:cs="Times New Roman"/>
          <w:kern w:val="0"/>
          <w14:ligatures w14:val="none"/>
        </w:rPr>
        <w:t xml:space="preserve"> (OAT)</w:t>
      </w:r>
      <w:r w:rsidR="0081089E" w:rsidRPr="00905CB1">
        <w:rPr>
          <w:rFonts w:ascii="Book Antiqua" w:eastAsia="Times New Roman" w:hAnsi="Book Antiqua" w:cs="Times New Roman"/>
          <w:kern w:val="0"/>
          <w14:ligatures w14:val="none"/>
        </w:rPr>
        <w:t xml:space="preserve"> </w:t>
      </w:r>
      <w:r w:rsidR="001B4741">
        <w:rPr>
          <w:rFonts w:ascii="Book Antiqua" w:eastAsia="Times New Roman" w:hAnsi="Book Antiqua" w:cs="Times New Roman"/>
          <w:kern w:val="0"/>
          <w14:ligatures w14:val="none"/>
        </w:rPr>
        <w:t xml:space="preserve">alertó sobre </w:t>
      </w:r>
      <w:r w:rsidR="00D952BD" w:rsidRPr="00905CB1">
        <w:rPr>
          <w:rFonts w:ascii="Book Antiqua" w:eastAsia="Times New Roman" w:hAnsi="Book Antiqua" w:cs="Times New Roman"/>
          <w:kern w:val="0"/>
          <w14:ligatures w14:val="none"/>
        </w:rPr>
        <w:t>“algunas contradicciones identificadas entre el texto de la medida y el contenido de la Ley Uniforme que aquella pretende incorporar; así como destacamos algunos aspectos que plantea la propuesta de adhesión al sistema de la Ley Uniforme por vía del referido proyecto que inciden sobre aspectos operacionales medulares de nuestros tribunales.”</w:t>
      </w:r>
      <w:r w:rsidR="00D952BD" w:rsidRPr="00905CB1">
        <w:rPr>
          <w:rStyle w:val="FootnoteReference"/>
          <w:rFonts w:ascii="Book Antiqua" w:eastAsia="Times New Roman" w:hAnsi="Book Antiqua" w:cs="Times New Roman"/>
          <w:kern w:val="0"/>
          <w14:ligatures w14:val="none"/>
        </w:rPr>
        <w:footnoteReference w:id="2"/>
      </w:r>
    </w:p>
    <w:p w14:paraId="67EBD387" w14:textId="3C9464BC" w:rsidR="00D952BD" w:rsidRPr="00905CB1" w:rsidRDefault="00FD4D84" w:rsidP="00E72369">
      <w:pPr>
        <w:spacing w:after="0" w:line="288" w:lineRule="auto"/>
        <w:ind w:firstLine="720"/>
        <w:jc w:val="both"/>
        <w:rPr>
          <w:rFonts w:ascii="Book Antiqua" w:eastAsia="Times New Roman" w:hAnsi="Book Antiqua" w:cs="Times New Roman"/>
          <w:kern w:val="0"/>
          <w14:ligatures w14:val="none"/>
        </w:rPr>
      </w:pPr>
      <w:r w:rsidRPr="00905CB1">
        <w:rPr>
          <w:rFonts w:ascii="Book Antiqua" w:eastAsia="Times New Roman" w:hAnsi="Book Antiqua" w:cs="Times New Roman"/>
          <w:kern w:val="0"/>
          <w14:ligatures w14:val="none"/>
        </w:rPr>
        <w:t xml:space="preserve">OAT resume su interpretación de las normas propuestas de la siguiente manera: </w:t>
      </w:r>
    </w:p>
    <w:p w14:paraId="25D5A83A" w14:textId="433119E4" w:rsidR="00FD4D84" w:rsidRPr="00E72369" w:rsidRDefault="00FD4D84" w:rsidP="00A97431">
      <w:pPr>
        <w:spacing w:line="240" w:lineRule="auto"/>
        <w:ind w:left="720"/>
        <w:jc w:val="both"/>
        <w:rPr>
          <w:rFonts w:ascii="Book Antiqua" w:eastAsia="Times New Roman" w:hAnsi="Book Antiqua" w:cs="Times New Roman"/>
          <w:kern w:val="0"/>
          <w14:ligatures w14:val="none"/>
        </w:rPr>
      </w:pPr>
      <w:r w:rsidRPr="00E72369">
        <w:rPr>
          <w:rFonts w:ascii="Book Antiqua" w:eastAsia="Times New Roman" w:hAnsi="Book Antiqua" w:cs="Times New Roman"/>
          <w:kern w:val="0"/>
          <w14:ligatures w14:val="none"/>
        </w:rPr>
        <w:t xml:space="preserve">Así, el esquema que informa a este procedimiento se caracteriza por dos jurisdicciones intervinientes, a saber, la jurisdicción donde tiene lugar el proceso judicial y con sujeción al cual se hace la citación a un testigo o recabo de información, lo que en los comentarios a las disposiciones de la Ley Uniforme se designa como la jurisdicción del litigio (trial state);y la otra, que es donde ubica el testigo o la información que se persigue descubrir, lo que en el estatuto se reconoce como la jurisdicción del descubrimiento (Discovery state). Desde un punto de vista general y conceptual, bajo este diseño la secretaría de la jurisdicción del litigio emite la </w:t>
      </w:r>
      <w:r w:rsidRPr="00E72369">
        <w:rPr>
          <w:rFonts w:ascii="Book Antiqua" w:eastAsia="Times New Roman" w:hAnsi="Book Antiqua" w:cs="Times New Roman"/>
          <w:i/>
          <w:iCs/>
          <w:kern w:val="0"/>
          <w14:ligatures w14:val="none"/>
        </w:rPr>
        <w:t>subpoena</w:t>
      </w:r>
      <w:r w:rsidRPr="00E72369">
        <w:rPr>
          <w:rFonts w:ascii="Book Antiqua" w:eastAsia="Times New Roman" w:hAnsi="Book Antiqua" w:cs="Times New Roman"/>
          <w:kern w:val="0"/>
          <w14:ligatures w14:val="none"/>
        </w:rPr>
        <w:t xml:space="preserve"> que le ha facilitado la representación legal de la parte litigante, y es con base en dicha citación formalizada que entonces la representación acude a la secretaría judicial de la jurisdicción foránea del descubrimiento para que esta expida la citación al testigo local al cual iba dirigida la </w:t>
      </w:r>
      <w:proofErr w:type="spellStart"/>
      <w:r w:rsidRPr="00E72369">
        <w:rPr>
          <w:rFonts w:ascii="Book Antiqua" w:eastAsia="Times New Roman" w:hAnsi="Book Antiqua" w:cs="Times New Roman"/>
          <w:i/>
          <w:iCs/>
          <w:kern w:val="0"/>
          <w14:ligatures w14:val="none"/>
        </w:rPr>
        <w:t>subpoena</w:t>
      </w:r>
      <w:proofErr w:type="spellEnd"/>
      <w:r w:rsidRPr="00E72369">
        <w:rPr>
          <w:rFonts w:ascii="Book Antiqua" w:eastAsia="Times New Roman" w:hAnsi="Book Antiqua" w:cs="Times New Roman"/>
          <w:kern w:val="0"/>
          <w14:ligatures w14:val="none"/>
        </w:rPr>
        <w:t xml:space="preserve"> original.</w:t>
      </w:r>
      <w:r w:rsidR="004030B6">
        <w:rPr>
          <w:rStyle w:val="FootnoteReference"/>
          <w:rFonts w:ascii="Book Antiqua" w:eastAsia="Times New Roman" w:hAnsi="Book Antiqua" w:cs="Times New Roman"/>
          <w:kern w:val="0"/>
          <w14:ligatures w14:val="none"/>
        </w:rPr>
        <w:footnoteReference w:id="3"/>
      </w:r>
      <w:r w:rsidRPr="00E72369">
        <w:rPr>
          <w:rFonts w:ascii="Book Antiqua" w:eastAsia="Times New Roman" w:hAnsi="Book Antiqua" w:cs="Times New Roman"/>
          <w:kern w:val="0"/>
          <w14:ligatures w14:val="none"/>
        </w:rPr>
        <w:t xml:space="preserve"> </w:t>
      </w:r>
    </w:p>
    <w:p w14:paraId="663EAB4D" w14:textId="00FABA31" w:rsidR="009A7B8F" w:rsidRDefault="009A7B8F" w:rsidP="00E91E97">
      <w:pPr>
        <w:spacing w:after="0" w:line="288" w:lineRule="auto"/>
        <w:ind w:firstLine="720"/>
        <w:jc w:val="both"/>
        <w:rPr>
          <w:rFonts w:ascii="Book Antiqua" w:hAnsi="Book Antiqua"/>
        </w:rPr>
      </w:pPr>
      <w:r w:rsidRPr="00905CB1">
        <w:rPr>
          <w:rFonts w:ascii="Book Antiqua" w:eastAsia="Times New Roman" w:hAnsi="Book Antiqua" w:cs="Times New Roman"/>
          <w:kern w:val="0"/>
          <w14:ligatures w14:val="none"/>
        </w:rPr>
        <w:t xml:space="preserve">Sin embargo, OAT presenta dos preocupaciones. Primero, entiende que la legislación propuesta no atiende el supuesto en que una parte de un pleito fuera de la jurisdicción de Puerto Rico </w:t>
      </w:r>
      <w:r w:rsidR="007D6655">
        <w:rPr>
          <w:rFonts w:ascii="Book Antiqua" w:eastAsia="Times New Roman" w:hAnsi="Book Antiqua" w:cs="Times New Roman"/>
          <w:kern w:val="0"/>
          <w14:ligatures w14:val="none"/>
        </w:rPr>
        <w:t>—</w:t>
      </w:r>
      <w:r w:rsidRPr="00905CB1">
        <w:rPr>
          <w:rFonts w:ascii="Book Antiqua" w:eastAsia="Times New Roman" w:hAnsi="Book Antiqua" w:cs="Times New Roman"/>
          <w:kern w:val="0"/>
          <w14:ligatures w14:val="none"/>
        </w:rPr>
        <w:t xml:space="preserve">pero que haya adoptado la </w:t>
      </w:r>
      <w:r w:rsidRPr="00905CB1">
        <w:rPr>
          <w:rFonts w:ascii="Book Antiqua" w:hAnsi="Book Antiqua"/>
        </w:rPr>
        <w:t>UIDDA</w:t>
      </w:r>
      <w:r w:rsidR="007D6655">
        <w:rPr>
          <w:rFonts w:ascii="Book Antiqua" w:hAnsi="Book Antiqua"/>
        </w:rPr>
        <w:t>—</w:t>
      </w:r>
      <w:r w:rsidR="00B0455D">
        <w:rPr>
          <w:rFonts w:ascii="Book Antiqua" w:hAnsi="Book Antiqua"/>
        </w:rPr>
        <w:t xml:space="preserve"> presente </w:t>
      </w:r>
      <w:r w:rsidRPr="00905CB1">
        <w:rPr>
          <w:rFonts w:ascii="Book Antiqua" w:hAnsi="Book Antiqua"/>
        </w:rPr>
        <w:t xml:space="preserve">una solicitud de citación a una persona </w:t>
      </w:r>
      <w:r w:rsidR="00B0455D">
        <w:rPr>
          <w:rFonts w:ascii="Book Antiqua" w:hAnsi="Book Antiqua"/>
        </w:rPr>
        <w:t xml:space="preserve">en esta </w:t>
      </w:r>
      <w:r w:rsidRPr="00905CB1">
        <w:rPr>
          <w:rFonts w:ascii="Book Antiqua" w:hAnsi="Book Antiqua"/>
        </w:rPr>
        <w:t xml:space="preserve">jurisdicción. </w:t>
      </w:r>
      <w:r w:rsidR="001B0E20" w:rsidRPr="00905CB1">
        <w:rPr>
          <w:rFonts w:ascii="Book Antiqua" w:hAnsi="Book Antiqua"/>
        </w:rPr>
        <w:t>La interrogante específica que levanta es qué pasaría si alguna de las secretarías de nuestros tribunales fueran las que recibieran una petición para deponer testigos o descubrir documentos en esta jurisdicción conforme al proceso antes descrito, y los pasos concretos que estas deberían observar para tramitar la misma.</w:t>
      </w:r>
    </w:p>
    <w:p w14:paraId="26AB7B8E" w14:textId="77777777" w:rsidR="001B4741" w:rsidRDefault="001B4741" w:rsidP="00E91E97">
      <w:pPr>
        <w:spacing w:after="0" w:line="288" w:lineRule="auto"/>
        <w:ind w:firstLine="720"/>
        <w:jc w:val="both"/>
        <w:rPr>
          <w:rFonts w:ascii="Book Antiqua" w:hAnsi="Book Antiqua"/>
        </w:rPr>
      </w:pPr>
    </w:p>
    <w:p w14:paraId="42DBC5A8" w14:textId="77777777" w:rsidR="001B4741" w:rsidRDefault="001B4741" w:rsidP="00E91E97">
      <w:pPr>
        <w:spacing w:after="0" w:line="288" w:lineRule="auto"/>
        <w:ind w:firstLine="720"/>
        <w:jc w:val="both"/>
        <w:rPr>
          <w:rFonts w:ascii="Book Antiqua" w:hAnsi="Book Antiqua"/>
        </w:rPr>
      </w:pPr>
    </w:p>
    <w:p w14:paraId="5617E0BC" w14:textId="77777777" w:rsidR="001B4741" w:rsidRDefault="001B4741" w:rsidP="00E91E97">
      <w:pPr>
        <w:spacing w:after="0" w:line="288" w:lineRule="auto"/>
        <w:ind w:firstLine="720"/>
        <w:jc w:val="both"/>
        <w:rPr>
          <w:rFonts w:ascii="Book Antiqua" w:hAnsi="Book Antiqua"/>
        </w:rPr>
      </w:pPr>
    </w:p>
    <w:p w14:paraId="6BE77CC2" w14:textId="77777777" w:rsidR="001B4741" w:rsidRDefault="001B4741" w:rsidP="00E91E97">
      <w:pPr>
        <w:spacing w:after="0" w:line="288" w:lineRule="auto"/>
        <w:ind w:firstLine="720"/>
        <w:jc w:val="both"/>
        <w:rPr>
          <w:rFonts w:ascii="Book Antiqua" w:hAnsi="Book Antiqua"/>
        </w:rPr>
      </w:pPr>
    </w:p>
    <w:p w14:paraId="5A96347D" w14:textId="77777777" w:rsidR="00B16369" w:rsidRDefault="00B16369" w:rsidP="00E91E97">
      <w:pPr>
        <w:spacing w:after="0" w:line="288" w:lineRule="auto"/>
        <w:ind w:firstLine="720"/>
        <w:jc w:val="both"/>
        <w:rPr>
          <w:rFonts w:ascii="Book Antiqua" w:hAnsi="Book Antiqua"/>
        </w:rPr>
      </w:pPr>
    </w:p>
    <w:p w14:paraId="5980ED6F" w14:textId="77777777" w:rsidR="00B16369" w:rsidRPr="00905CB1" w:rsidRDefault="00B16369" w:rsidP="00E91E97">
      <w:pPr>
        <w:spacing w:after="0" w:line="288" w:lineRule="auto"/>
        <w:ind w:firstLine="720"/>
        <w:jc w:val="both"/>
        <w:rPr>
          <w:rFonts w:ascii="Book Antiqua" w:hAnsi="Book Antiqua"/>
        </w:rPr>
      </w:pPr>
    </w:p>
    <w:p w14:paraId="671BA5B2" w14:textId="21500BE4" w:rsidR="001B0E20" w:rsidRPr="00905CB1" w:rsidRDefault="001B0E20" w:rsidP="00E91E97">
      <w:pPr>
        <w:spacing w:after="0" w:line="288" w:lineRule="auto"/>
        <w:ind w:firstLine="720"/>
        <w:jc w:val="both"/>
        <w:rPr>
          <w:rFonts w:ascii="Book Antiqua" w:eastAsia="Times New Roman" w:hAnsi="Book Antiqua" w:cs="Times New Roman"/>
          <w:kern w:val="0"/>
          <w14:ligatures w14:val="none"/>
        </w:rPr>
      </w:pPr>
      <w:r w:rsidRPr="00905CB1">
        <w:rPr>
          <w:rFonts w:ascii="Book Antiqua" w:hAnsi="Book Antiqua"/>
        </w:rPr>
        <w:lastRenderedPageBreak/>
        <w:t>En segundo lugar</w:t>
      </w:r>
      <w:r w:rsidR="00B16369">
        <w:rPr>
          <w:rFonts w:ascii="Book Antiqua" w:hAnsi="Book Antiqua"/>
        </w:rPr>
        <w:t>,</w:t>
      </w:r>
      <w:r w:rsidRPr="00905CB1">
        <w:rPr>
          <w:rFonts w:ascii="Book Antiqua" w:hAnsi="Book Antiqua"/>
        </w:rPr>
        <w:t xml:space="preserve"> </w:t>
      </w:r>
      <w:r w:rsidR="00B16369">
        <w:rPr>
          <w:rFonts w:ascii="Book Antiqua" w:hAnsi="Book Antiqua"/>
        </w:rPr>
        <w:t xml:space="preserve">OAT </w:t>
      </w:r>
      <w:r w:rsidRPr="00905CB1">
        <w:rPr>
          <w:rFonts w:ascii="Book Antiqua" w:hAnsi="Book Antiqua"/>
        </w:rPr>
        <w:t xml:space="preserve">señala una preocupación procesal sobre el diligenciamiento de las citaciones para testigos o información que se encuentra fuera de </w:t>
      </w:r>
      <w:r w:rsidR="00373A81">
        <w:rPr>
          <w:rFonts w:ascii="Book Antiqua" w:hAnsi="Book Antiqua"/>
        </w:rPr>
        <w:t>esta</w:t>
      </w:r>
      <w:r w:rsidRPr="00905CB1">
        <w:rPr>
          <w:rFonts w:ascii="Book Antiqua" w:hAnsi="Book Antiqua"/>
        </w:rPr>
        <w:t xml:space="preserve"> </w:t>
      </w:r>
      <w:r w:rsidR="000A67D4" w:rsidRPr="00905CB1">
        <w:rPr>
          <w:rFonts w:ascii="Book Antiqua" w:hAnsi="Book Antiqua"/>
        </w:rPr>
        <w:t>jurisdicción,</w:t>
      </w:r>
      <w:r w:rsidRPr="00905CB1">
        <w:rPr>
          <w:rFonts w:ascii="Book Antiqua" w:hAnsi="Book Antiqua"/>
        </w:rPr>
        <w:t xml:space="preserve"> pero en una jurisdicción de Estados Unidos </w:t>
      </w:r>
      <w:r w:rsidRPr="00905CB1">
        <w:rPr>
          <w:rFonts w:ascii="Book Antiqua" w:eastAsia="Times New Roman" w:hAnsi="Book Antiqua" w:cs="Times New Roman"/>
          <w:kern w:val="0"/>
          <w14:ligatures w14:val="none"/>
        </w:rPr>
        <w:t xml:space="preserve">que haya adoptado la </w:t>
      </w:r>
      <w:r w:rsidRPr="00905CB1">
        <w:rPr>
          <w:rFonts w:ascii="Book Antiqua" w:hAnsi="Book Antiqua"/>
        </w:rPr>
        <w:t xml:space="preserve">UIDDA.  </w:t>
      </w:r>
      <w:r w:rsidR="000A67D4">
        <w:rPr>
          <w:rFonts w:ascii="Book Antiqua" w:hAnsi="Book Antiqua"/>
        </w:rPr>
        <w:t xml:space="preserve">Tal estatuto </w:t>
      </w:r>
      <w:r w:rsidRPr="00905CB1">
        <w:rPr>
          <w:rFonts w:ascii="Book Antiqua" w:hAnsi="Book Antiqua"/>
        </w:rPr>
        <w:t>concibe el diligenciamiento de este tipo de citación foránea como un trámite privado cuya ejecución le corresponde gestionar y sufragar a la parte interesada o a su representación legal</w:t>
      </w:r>
      <w:r w:rsidR="00A551F2">
        <w:rPr>
          <w:rFonts w:ascii="Book Antiqua" w:hAnsi="Book Antiqua"/>
        </w:rPr>
        <w:t>. Esto,</w:t>
      </w:r>
      <w:r w:rsidRPr="00905CB1">
        <w:rPr>
          <w:rFonts w:ascii="Book Antiqua" w:hAnsi="Book Antiqua"/>
        </w:rPr>
        <w:t xml:space="preserve"> como expresión de la naturaleza económica, flexible y extrajudicial del procedimiento del que forma parte. Por lo tanto</w:t>
      </w:r>
      <w:r w:rsidR="00A551F2">
        <w:rPr>
          <w:rFonts w:ascii="Book Antiqua" w:hAnsi="Book Antiqua"/>
        </w:rPr>
        <w:t>,</w:t>
      </w:r>
      <w:r w:rsidRPr="00905CB1">
        <w:rPr>
          <w:rFonts w:ascii="Book Antiqua" w:hAnsi="Book Antiqua"/>
        </w:rPr>
        <w:t xml:space="preserve"> de instaurarse en su día el sistema de la </w:t>
      </w:r>
      <w:r w:rsidR="00A551F2">
        <w:rPr>
          <w:rFonts w:ascii="Book Antiqua" w:hAnsi="Book Antiqua"/>
        </w:rPr>
        <w:t>UIDDA</w:t>
      </w:r>
      <w:r w:rsidRPr="00905CB1">
        <w:rPr>
          <w:rFonts w:ascii="Book Antiqua" w:hAnsi="Book Antiqua"/>
        </w:rPr>
        <w:t xml:space="preserve"> en esta jurisdicción, no podría descansarse en</w:t>
      </w:r>
      <w:r w:rsidR="00A52F66">
        <w:rPr>
          <w:rFonts w:ascii="Book Antiqua" w:hAnsi="Book Antiqua"/>
        </w:rPr>
        <w:t xml:space="preserve"> los alguaciles</w:t>
      </w:r>
      <w:r w:rsidRPr="00905CB1">
        <w:rPr>
          <w:rFonts w:ascii="Book Antiqua" w:hAnsi="Book Antiqua"/>
        </w:rPr>
        <w:t>.</w:t>
      </w:r>
    </w:p>
    <w:p w14:paraId="41716044" w14:textId="230FAFB9" w:rsidR="009A7B8F" w:rsidRDefault="009A7B8F" w:rsidP="00A52F66">
      <w:pPr>
        <w:spacing w:after="240" w:line="288" w:lineRule="auto"/>
        <w:jc w:val="both"/>
        <w:rPr>
          <w:rFonts w:ascii="Book Antiqua" w:eastAsia="Times New Roman" w:hAnsi="Book Antiqua" w:cs="Times New Roman"/>
          <w:kern w:val="0"/>
          <w14:ligatures w14:val="none"/>
        </w:rPr>
      </w:pPr>
      <w:r w:rsidRPr="00905CB1">
        <w:rPr>
          <w:rFonts w:ascii="Book Antiqua" w:eastAsia="Times New Roman" w:hAnsi="Book Antiqua" w:cs="Times New Roman"/>
          <w:kern w:val="0"/>
          <w14:ligatures w14:val="none"/>
        </w:rPr>
        <w:tab/>
      </w:r>
      <w:r w:rsidR="00A52F66">
        <w:rPr>
          <w:rFonts w:ascii="Book Antiqua" w:eastAsia="Times New Roman" w:hAnsi="Book Antiqua" w:cs="Times New Roman"/>
          <w:kern w:val="0"/>
          <w14:ligatures w14:val="none"/>
        </w:rPr>
        <w:t>E</w:t>
      </w:r>
      <w:r w:rsidRPr="00905CB1">
        <w:rPr>
          <w:rFonts w:ascii="Book Antiqua" w:eastAsia="Times New Roman" w:hAnsi="Book Antiqua" w:cs="Times New Roman"/>
          <w:kern w:val="0"/>
          <w14:ligatures w14:val="none"/>
        </w:rPr>
        <w:t xml:space="preserve">stas preocupaciones </w:t>
      </w:r>
      <w:r w:rsidR="005C3114" w:rsidRPr="00905CB1">
        <w:rPr>
          <w:rFonts w:ascii="Book Antiqua" w:eastAsia="Times New Roman" w:hAnsi="Book Antiqua" w:cs="Times New Roman"/>
          <w:kern w:val="0"/>
          <w14:ligatures w14:val="none"/>
        </w:rPr>
        <w:t xml:space="preserve">de la OAT </w:t>
      </w:r>
      <w:r w:rsidRPr="00905CB1">
        <w:rPr>
          <w:rFonts w:ascii="Book Antiqua" w:eastAsia="Times New Roman" w:hAnsi="Book Antiqua" w:cs="Times New Roman"/>
          <w:kern w:val="0"/>
          <w14:ligatures w14:val="none"/>
        </w:rPr>
        <w:t xml:space="preserve">son muy genuinas y legítimas, por lo que </w:t>
      </w:r>
      <w:r w:rsidR="00A52F66">
        <w:rPr>
          <w:rFonts w:ascii="Book Antiqua" w:eastAsia="Times New Roman" w:hAnsi="Book Antiqua" w:cs="Times New Roman"/>
          <w:kern w:val="0"/>
          <w14:ligatures w14:val="none"/>
        </w:rPr>
        <w:t xml:space="preserve">se </w:t>
      </w:r>
      <w:r w:rsidRPr="00905CB1">
        <w:rPr>
          <w:rFonts w:ascii="Book Antiqua" w:eastAsia="Times New Roman" w:hAnsi="Book Antiqua" w:cs="Times New Roman"/>
          <w:kern w:val="0"/>
          <w14:ligatures w14:val="none"/>
        </w:rPr>
        <w:t xml:space="preserve">propone lenguaje que las atienda, como parte del </w:t>
      </w:r>
      <w:proofErr w:type="spellStart"/>
      <w:r w:rsidRPr="00905CB1">
        <w:rPr>
          <w:rFonts w:ascii="Book Antiqua" w:eastAsia="Times New Roman" w:hAnsi="Book Antiqua" w:cs="Times New Roman"/>
          <w:kern w:val="0"/>
          <w14:ligatures w14:val="none"/>
        </w:rPr>
        <w:t>entirillado</w:t>
      </w:r>
      <w:proofErr w:type="spellEnd"/>
      <w:r w:rsidRPr="00905CB1">
        <w:rPr>
          <w:rFonts w:ascii="Book Antiqua" w:eastAsia="Times New Roman" w:hAnsi="Book Antiqua" w:cs="Times New Roman"/>
          <w:kern w:val="0"/>
          <w14:ligatures w14:val="none"/>
        </w:rPr>
        <w:t xml:space="preserve"> electrónico</w:t>
      </w:r>
      <w:r w:rsidR="00A52F66">
        <w:rPr>
          <w:rFonts w:ascii="Book Antiqua" w:eastAsia="Times New Roman" w:hAnsi="Book Antiqua" w:cs="Times New Roman"/>
          <w:kern w:val="0"/>
          <w14:ligatures w14:val="none"/>
        </w:rPr>
        <w:t xml:space="preserve"> adjunto</w:t>
      </w:r>
      <w:r w:rsidR="00E91E97">
        <w:rPr>
          <w:rFonts w:ascii="Book Antiqua" w:eastAsia="Times New Roman" w:hAnsi="Book Antiqua" w:cs="Times New Roman"/>
          <w:kern w:val="0"/>
          <w14:ligatures w14:val="none"/>
        </w:rPr>
        <w:t>.</w:t>
      </w:r>
      <w:r w:rsidR="00A97431" w:rsidRPr="00905CB1">
        <w:rPr>
          <w:rStyle w:val="FootnoteReference"/>
          <w:rFonts w:ascii="Book Antiqua" w:eastAsia="Times New Roman" w:hAnsi="Book Antiqua" w:cs="Times New Roman"/>
          <w:kern w:val="0"/>
          <w14:ligatures w14:val="none"/>
        </w:rPr>
        <w:footnoteReference w:id="4"/>
      </w:r>
    </w:p>
    <w:p w14:paraId="6AC5590E" w14:textId="456AE188" w:rsidR="00DE48D2" w:rsidRDefault="00FD1A4E" w:rsidP="00A52F66">
      <w:pPr>
        <w:spacing w:after="0" w:line="288" w:lineRule="auto"/>
        <w:ind w:firstLine="720"/>
        <w:jc w:val="both"/>
        <w:rPr>
          <w:rFonts w:ascii="Book Antiqua" w:hAnsi="Book Antiqua"/>
        </w:rPr>
      </w:pPr>
      <w:r w:rsidRPr="00905CB1">
        <w:rPr>
          <w:rFonts w:ascii="Book Antiqua" w:hAnsi="Book Antiqua"/>
        </w:rPr>
        <w:t>El memorial explicativo de</w:t>
      </w:r>
      <w:r w:rsidR="0072473E">
        <w:rPr>
          <w:rFonts w:ascii="Book Antiqua" w:hAnsi="Book Antiqua"/>
        </w:rPr>
        <w:t xml:space="preserve"> </w:t>
      </w:r>
      <w:r w:rsidRPr="00905CB1">
        <w:rPr>
          <w:rFonts w:ascii="Book Antiqua" w:hAnsi="Book Antiqua"/>
        </w:rPr>
        <w:t>l</w:t>
      </w:r>
      <w:r w:rsidR="0072473E">
        <w:rPr>
          <w:rFonts w:ascii="Book Antiqua" w:hAnsi="Book Antiqua"/>
        </w:rPr>
        <w:t>a</w:t>
      </w:r>
      <w:r w:rsidRPr="00905CB1">
        <w:rPr>
          <w:rFonts w:ascii="Book Antiqua" w:hAnsi="Book Antiqua"/>
        </w:rPr>
        <w:t xml:space="preserve"> </w:t>
      </w:r>
      <w:r w:rsidR="00DE48D2" w:rsidRPr="0072473E">
        <w:rPr>
          <w:rFonts w:ascii="Book Antiqua" w:hAnsi="Book Antiqua"/>
          <w:b/>
          <w:bCs/>
        </w:rPr>
        <w:t>Oficina de Servicios Legislativos</w:t>
      </w:r>
      <w:r w:rsidR="001C02AB" w:rsidRPr="00905CB1">
        <w:rPr>
          <w:rFonts w:ascii="Book Antiqua" w:hAnsi="Book Antiqua"/>
        </w:rPr>
        <w:t xml:space="preserve"> (OSL)</w:t>
      </w:r>
      <w:r w:rsidR="00DE48D2" w:rsidRPr="00905CB1">
        <w:rPr>
          <w:rFonts w:ascii="Book Antiqua" w:hAnsi="Book Antiqua"/>
        </w:rPr>
        <w:t xml:space="preserve"> </w:t>
      </w:r>
      <w:r w:rsidR="0072473E">
        <w:rPr>
          <w:rFonts w:ascii="Book Antiqua" w:hAnsi="Book Antiqua"/>
        </w:rPr>
        <w:t xml:space="preserve">favorece </w:t>
      </w:r>
      <w:r w:rsidR="00DE48D2" w:rsidRPr="00905CB1">
        <w:rPr>
          <w:rFonts w:ascii="Book Antiqua" w:hAnsi="Book Antiqua"/>
        </w:rPr>
        <w:t xml:space="preserve">el P. del S. 765. </w:t>
      </w:r>
      <w:r w:rsidR="001C02AB" w:rsidRPr="00905CB1">
        <w:rPr>
          <w:rFonts w:ascii="Book Antiqua" w:hAnsi="Book Antiqua"/>
        </w:rPr>
        <w:t>En un extenso documento</w:t>
      </w:r>
      <w:r w:rsidR="001C02AB" w:rsidRPr="00905CB1">
        <w:rPr>
          <w:rStyle w:val="FootnoteReference"/>
          <w:rFonts w:ascii="Book Antiqua" w:hAnsi="Book Antiqua"/>
        </w:rPr>
        <w:footnoteReference w:id="5"/>
      </w:r>
      <w:r w:rsidR="001C02AB" w:rsidRPr="00905CB1">
        <w:rPr>
          <w:rFonts w:ascii="Book Antiqua" w:hAnsi="Book Antiqua"/>
        </w:rPr>
        <w:t xml:space="preserve"> la OSL ilustra sobre las razones </w:t>
      </w:r>
      <w:r w:rsidR="003C75B7">
        <w:rPr>
          <w:rFonts w:ascii="Book Antiqua" w:hAnsi="Book Antiqua"/>
        </w:rPr>
        <w:t>para</w:t>
      </w:r>
      <w:r w:rsidR="001C02AB" w:rsidRPr="00905CB1">
        <w:rPr>
          <w:rFonts w:ascii="Book Antiqua" w:hAnsi="Book Antiqua"/>
        </w:rPr>
        <w:t xml:space="preserve"> aproba</w:t>
      </w:r>
      <w:r w:rsidR="003C75B7">
        <w:rPr>
          <w:rFonts w:ascii="Book Antiqua" w:hAnsi="Book Antiqua"/>
        </w:rPr>
        <w:t>r UIDDA</w:t>
      </w:r>
      <w:r w:rsidR="001C02AB" w:rsidRPr="00905CB1">
        <w:rPr>
          <w:rFonts w:ascii="Book Antiqua" w:hAnsi="Book Antiqua"/>
        </w:rPr>
        <w:t xml:space="preserve">, así como la adopción de </w:t>
      </w:r>
      <w:r w:rsidR="00317DBE">
        <w:rPr>
          <w:rFonts w:ascii="Book Antiqua" w:hAnsi="Book Antiqua"/>
        </w:rPr>
        <w:t xml:space="preserve">las </w:t>
      </w:r>
      <w:r w:rsidR="001C02AB" w:rsidRPr="00905CB1">
        <w:rPr>
          <w:rFonts w:ascii="Book Antiqua" w:hAnsi="Book Antiqua"/>
        </w:rPr>
        <w:t xml:space="preserve">Reglas de Procedimiento Civil de 2009. Según su opinión, </w:t>
      </w:r>
      <w:r w:rsidR="00317DBE">
        <w:rPr>
          <w:rFonts w:ascii="Book Antiqua" w:hAnsi="Book Antiqua"/>
        </w:rPr>
        <w:t>estas</w:t>
      </w:r>
      <w:r w:rsidR="001C02AB" w:rsidRPr="00905CB1">
        <w:rPr>
          <w:rFonts w:ascii="Book Antiqua" w:hAnsi="Book Antiqua"/>
        </w:rPr>
        <w:t xml:space="preserve"> son formas de</w:t>
      </w:r>
      <w:r w:rsidR="005C3114" w:rsidRPr="00905CB1">
        <w:rPr>
          <w:rFonts w:ascii="Book Antiqua" w:hAnsi="Book Antiqua"/>
        </w:rPr>
        <w:t xml:space="preserve"> hacer vale</w:t>
      </w:r>
      <w:r w:rsidR="006D40BD" w:rsidRPr="00905CB1">
        <w:rPr>
          <w:rFonts w:ascii="Book Antiqua" w:hAnsi="Book Antiqua"/>
        </w:rPr>
        <w:t xml:space="preserve">r los derechos constitucionales sobre debido proceso de ley. </w:t>
      </w:r>
      <w:r w:rsidR="00693A2D">
        <w:rPr>
          <w:rFonts w:ascii="Book Antiqua" w:hAnsi="Book Antiqua"/>
        </w:rPr>
        <w:t xml:space="preserve">OSL </w:t>
      </w:r>
      <w:r w:rsidR="006D40BD" w:rsidRPr="00905CB1">
        <w:rPr>
          <w:rFonts w:ascii="Book Antiqua" w:hAnsi="Book Antiqua"/>
        </w:rPr>
        <w:t>resum</w:t>
      </w:r>
      <w:r w:rsidR="00294A1C">
        <w:rPr>
          <w:rFonts w:ascii="Book Antiqua" w:hAnsi="Book Antiqua"/>
        </w:rPr>
        <w:t>ió</w:t>
      </w:r>
      <w:r w:rsidR="006D40BD" w:rsidRPr="00905CB1">
        <w:rPr>
          <w:rFonts w:ascii="Book Antiqua" w:hAnsi="Book Antiqua"/>
        </w:rPr>
        <w:t xml:space="preserve"> las normas procesales actuales </w:t>
      </w:r>
      <w:r w:rsidR="00294A1C">
        <w:rPr>
          <w:rFonts w:ascii="Book Antiqua" w:hAnsi="Book Antiqua"/>
        </w:rPr>
        <w:t xml:space="preserve">que </w:t>
      </w:r>
      <w:r w:rsidR="006D40BD" w:rsidRPr="00905CB1">
        <w:rPr>
          <w:rFonts w:ascii="Book Antiqua" w:hAnsi="Book Antiqua"/>
        </w:rPr>
        <w:t>permit</w:t>
      </w:r>
      <w:r w:rsidR="00294A1C">
        <w:rPr>
          <w:rFonts w:ascii="Book Antiqua" w:hAnsi="Book Antiqua"/>
        </w:rPr>
        <w:t>en</w:t>
      </w:r>
      <w:r w:rsidR="006D40BD" w:rsidRPr="00905CB1">
        <w:rPr>
          <w:rFonts w:ascii="Book Antiqua" w:hAnsi="Book Antiqua"/>
        </w:rPr>
        <w:t xml:space="preserve"> el descubrimiento de prueba</w:t>
      </w:r>
      <w:r w:rsidR="00F1589C" w:rsidRPr="00905CB1">
        <w:rPr>
          <w:rFonts w:ascii="Book Antiqua" w:hAnsi="Book Antiqua"/>
        </w:rPr>
        <w:t xml:space="preserve">, la citación de testigos y la producción de documentos e información. </w:t>
      </w:r>
      <w:r w:rsidR="00A75793">
        <w:rPr>
          <w:rFonts w:ascii="Book Antiqua" w:hAnsi="Book Antiqua"/>
        </w:rPr>
        <w:t>Aunque tales</w:t>
      </w:r>
      <w:r w:rsidR="00F1589C" w:rsidRPr="00905CB1">
        <w:rPr>
          <w:rFonts w:ascii="Book Antiqua" w:hAnsi="Book Antiqua"/>
        </w:rPr>
        <w:t xml:space="preserve"> normas permiten la citación de personas, </w:t>
      </w:r>
      <w:r w:rsidR="00A75793">
        <w:rPr>
          <w:rFonts w:ascii="Book Antiqua" w:hAnsi="Book Antiqua"/>
        </w:rPr>
        <w:t xml:space="preserve">el </w:t>
      </w:r>
      <w:r w:rsidR="00F1589C" w:rsidRPr="00905CB1">
        <w:rPr>
          <w:rFonts w:ascii="Book Antiqua" w:hAnsi="Book Antiqua"/>
        </w:rPr>
        <w:t>procedimiento está sujeto a la “comisión o suplicatoria dirigida a la autoridad competente del lugar donde se encuentre el testigo.”</w:t>
      </w:r>
    </w:p>
    <w:p w14:paraId="231D66CB" w14:textId="4606ED88" w:rsidR="00B87CDB" w:rsidRDefault="00F1589C" w:rsidP="00A52F66">
      <w:pPr>
        <w:spacing w:after="0" w:line="288" w:lineRule="auto"/>
        <w:ind w:firstLine="720"/>
        <w:jc w:val="both"/>
        <w:rPr>
          <w:rFonts w:ascii="Book Antiqua" w:hAnsi="Book Antiqua"/>
        </w:rPr>
      </w:pPr>
      <w:r w:rsidRPr="00905CB1">
        <w:rPr>
          <w:rFonts w:ascii="Book Antiqua" w:hAnsi="Book Antiqua"/>
        </w:rPr>
        <w:t xml:space="preserve">En el debido proceso de ley que busca garantizar </w:t>
      </w:r>
      <w:r w:rsidR="005343A7" w:rsidRPr="005343A7">
        <w:rPr>
          <w:rFonts w:ascii="Book Antiqua" w:hAnsi="Book Antiqua"/>
        </w:rPr>
        <w:t>UIDDA</w:t>
      </w:r>
      <w:r w:rsidR="005343A7" w:rsidRPr="00905CB1">
        <w:rPr>
          <w:rFonts w:ascii="Book Antiqua" w:hAnsi="Book Antiqua"/>
        </w:rPr>
        <w:t xml:space="preserve"> </w:t>
      </w:r>
      <w:r w:rsidRPr="00905CB1">
        <w:rPr>
          <w:rFonts w:ascii="Book Antiqua" w:hAnsi="Book Antiqua"/>
        </w:rPr>
        <w:t>se tiene como intención facilitar un modelo de andamiaje uniforme para la toma de deposiciones y el descubrimiento de prueba entre las distintas jurisdicciones estatales</w:t>
      </w:r>
      <w:r w:rsidR="005343A7">
        <w:rPr>
          <w:rFonts w:ascii="Book Antiqua" w:hAnsi="Book Antiqua"/>
        </w:rPr>
        <w:t>.</w:t>
      </w:r>
      <w:r w:rsidRPr="00905CB1">
        <w:rPr>
          <w:rFonts w:ascii="Book Antiqua" w:hAnsi="Book Antiqua"/>
        </w:rPr>
        <w:t xml:space="preserve"> </w:t>
      </w:r>
      <w:r w:rsidR="005343A7">
        <w:rPr>
          <w:rFonts w:ascii="Book Antiqua" w:hAnsi="Book Antiqua"/>
        </w:rPr>
        <w:t xml:space="preserve">Se </w:t>
      </w:r>
      <w:r w:rsidRPr="00905CB1">
        <w:rPr>
          <w:rFonts w:ascii="Book Antiqua" w:hAnsi="Book Antiqua"/>
        </w:rPr>
        <w:t>prom</w:t>
      </w:r>
      <w:r w:rsidR="005343A7">
        <w:rPr>
          <w:rFonts w:ascii="Book Antiqua" w:hAnsi="Book Antiqua"/>
        </w:rPr>
        <w:t>ueve</w:t>
      </w:r>
      <w:r w:rsidRPr="00905CB1">
        <w:rPr>
          <w:rFonts w:ascii="Book Antiqua" w:hAnsi="Book Antiqua"/>
        </w:rPr>
        <w:t xml:space="preserve"> la cooperación judicial y la eficiencia procesal. </w:t>
      </w:r>
      <w:r w:rsidR="00B87CDB">
        <w:rPr>
          <w:rFonts w:ascii="Book Antiqua" w:hAnsi="Book Antiqua"/>
        </w:rPr>
        <w:t xml:space="preserve">Así, parece que la postura de la OSL </w:t>
      </w:r>
      <w:r w:rsidR="003623BC" w:rsidRPr="00905CB1">
        <w:rPr>
          <w:rFonts w:ascii="Book Antiqua" w:hAnsi="Book Antiqua"/>
        </w:rPr>
        <w:t>es que el procedimiento no está</w:t>
      </w:r>
      <w:r w:rsidR="00B87CDB">
        <w:rPr>
          <w:rFonts w:ascii="Book Antiqua" w:hAnsi="Book Antiqua"/>
        </w:rPr>
        <w:t xml:space="preserve"> ni</w:t>
      </w:r>
      <w:r w:rsidR="003623BC" w:rsidRPr="00905CB1">
        <w:rPr>
          <w:rFonts w:ascii="Book Antiqua" w:hAnsi="Book Antiqua"/>
        </w:rPr>
        <w:t xml:space="preserve"> estará disponible para deposiciones y producción de información en los tribunales federales.</w:t>
      </w:r>
    </w:p>
    <w:p w14:paraId="0E680A47" w14:textId="77777777" w:rsidR="00B87CDB" w:rsidRDefault="00B87CDB" w:rsidP="00A52F66">
      <w:pPr>
        <w:spacing w:after="0" w:line="288" w:lineRule="auto"/>
        <w:ind w:firstLine="720"/>
        <w:jc w:val="both"/>
        <w:rPr>
          <w:rFonts w:ascii="Book Antiqua" w:hAnsi="Book Antiqua"/>
        </w:rPr>
      </w:pPr>
    </w:p>
    <w:p w14:paraId="3FA9EF15" w14:textId="77777777" w:rsidR="005343A7" w:rsidRDefault="005343A7" w:rsidP="00A52F66">
      <w:pPr>
        <w:spacing w:after="0" w:line="288" w:lineRule="auto"/>
        <w:ind w:firstLine="720"/>
        <w:jc w:val="both"/>
        <w:rPr>
          <w:rFonts w:ascii="Book Antiqua" w:hAnsi="Book Antiqua"/>
        </w:rPr>
      </w:pPr>
    </w:p>
    <w:p w14:paraId="4500A381" w14:textId="5B8BF406" w:rsidR="00F1589C" w:rsidRPr="00905CB1" w:rsidRDefault="003623BC" w:rsidP="00A52F66">
      <w:pPr>
        <w:spacing w:after="0" w:line="288" w:lineRule="auto"/>
        <w:ind w:firstLine="720"/>
        <w:jc w:val="both"/>
        <w:rPr>
          <w:rFonts w:ascii="Book Antiqua" w:hAnsi="Book Antiqua"/>
        </w:rPr>
      </w:pPr>
      <w:r w:rsidRPr="00905CB1">
        <w:rPr>
          <w:rFonts w:ascii="Book Antiqua" w:hAnsi="Book Antiqua"/>
        </w:rPr>
        <w:t xml:space="preserve"> </w:t>
      </w:r>
    </w:p>
    <w:p w14:paraId="599E9295" w14:textId="727D9CE7" w:rsidR="00F1589C" w:rsidRPr="00905CB1" w:rsidRDefault="00F1589C" w:rsidP="00CC52EF">
      <w:pPr>
        <w:spacing w:after="120" w:line="288" w:lineRule="auto"/>
        <w:ind w:firstLine="720"/>
        <w:jc w:val="both"/>
        <w:rPr>
          <w:rFonts w:ascii="Book Antiqua" w:hAnsi="Book Antiqua"/>
        </w:rPr>
      </w:pPr>
      <w:r w:rsidRPr="00905CB1">
        <w:rPr>
          <w:rFonts w:ascii="Book Antiqua" w:hAnsi="Book Antiqua"/>
        </w:rPr>
        <w:lastRenderedPageBreak/>
        <w:t>La OSL informa que UIDDA</w:t>
      </w:r>
      <w:r w:rsidR="003623BC" w:rsidRPr="00905CB1">
        <w:rPr>
          <w:rFonts w:ascii="Book Antiqua" w:hAnsi="Book Antiqua"/>
        </w:rPr>
        <w:t xml:space="preserve"> tiene ventajas que resultan claras y que buscan aumentar las protecciones del debido proceso de ley: tanto para las partes en el pleito en la jurisdicción local, como para las personas a quienes se cite u ordene producir documentos en la jurisdicción fuera de Puerto Rico. </w:t>
      </w:r>
      <w:r w:rsidR="00A14B8D">
        <w:rPr>
          <w:rFonts w:ascii="Book Antiqua" w:hAnsi="Book Antiqua"/>
        </w:rPr>
        <w:t>R</w:t>
      </w:r>
      <w:r w:rsidR="003623BC" w:rsidRPr="00905CB1">
        <w:rPr>
          <w:rFonts w:ascii="Book Antiqua" w:hAnsi="Book Antiqua"/>
        </w:rPr>
        <w:t>ecalca que la intervención de la secretaría del tribunal es de carácter ministerial, pero resulta suficiente para activar la jurisdicción del estado donde se realiza el descubrimiento. La intención específica es que el procedimiento sea uno sencillo</w:t>
      </w:r>
      <w:r w:rsidR="00DD55D1" w:rsidRPr="00905CB1">
        <w:rPr>
          <w:rFonts w:ascii="Book Antiqua" w:hAnsi="Book Antiqua"/>
        </w:rPr>
        <w:t xml:space="preserve"> y eficiente </w:t>
      </w:r>
      <w:r w:rsidR="00A14B8D">
        <w:rPr>
          <w:rFonts w:ascii="Book Antiqua" w:hAnsi="Book Antiqua"/>
        </w:rPr>
        <w:t xml:space="preserve">que </w:t>
      </w:r>
      <w:r w:rsidR="00DD55D1" w:rsidRPr="00905CB1">
        <w:rPr>
          <w:rFonts w:ascii="Book Antiqua" w:hAnsi="Book Antiqua"/>
        </w:rPr>
        <w:t>redu</w:t>
      </w:r>
      <w:r w:rsidR="00A14B8D">
        <w:rPr>
          <w:rFonts w:ascii="Book Antiqua" w:hAnsi="Book Antiqua"/>
        </w:rPr>
        <w:t>zca</w:t>
      </w:r>
      <w:r w:rsidR="00DD55D1" w:rsidRPr="00905CB1">
        <w:rPr>
          <w:rFonts w:ascii="Book Antiqua" w:hAnsi="Book Antiqua"/>
        </w:rPr>
        <w:t xml:space="preserve"> los costos al mínimo</w:t>
      </w:r>
      <w:r w:rsidR="000D4797">
        <w:rPr>
          <w:rFonts w:ascii="Book Antiqua" w:hAnsi="Book Antiqua"/>
        </w:rPr>
        <w:t>.</w:t>
      </w:r>
      <w:r w:rsidR="00DD55D1" w:rsidRPr="00905CB1">
        <w:rPr>
          <w:rFonts w:ascii="Book Antiqua" w:hAnsi="Book Antiqua"/>
        </w:rPr>
        <w:t xml:space="preserve"> </w:t>
      </w:r>
      <w:r w:rsidR="000D4797">
        <w:rPr>
          <w:rFonts w:ascii="Book Antiqua" w:hAnsi="Book Antiqua"/>
        </w:rPr>
        <w:t xml:space="preserve">No </w:t>
      </w:r>
      <w:r w:rsidR="00DD55D1" w:rsidRPr="00905CB1">
        <w:rPr>
          <w:rFonts w:ascii="Book Antiqua" w:hAnsi="Book Antiqua"/>
        </w:rPr>
        <w:t>requiere la intervención de abogados locales ni la participación judicial para la expedición y notificación de la citación en el estado donde se tramit</w:t>
      </w:r>
      <w:r w:rsidR="000D4797">
        <w:rPr>
          <w:rFonts w:ascii="Book Antiqua" w:hAnsi="Book Antiqua"/>
        </w:rPr>
        <w:t>e</w:t>
      </w:r>
      <w:r w:rsidR="00DD55D1" w:rsidRPr="00905CB1">
        <w:rPr>
          <w:rFonts w:ascii="Book Antiqua" w:hAnsi="Book Antiqua"/>
        </w:rPr>
        <w:t xml:space="preserve"> el descubrimiento.  </w:t>
      </w:r>
    </w:p>
    <w:p w14:paraId="149DBC1E" w14:textId="0B9BA324" w:rsidR="00DD55D1" w:rsidRDefault="00A47675" w:rsidP="008F6A6B">
      <w:pPr>
        <w:spacing w:after="0" w:line="288" w:lineRule="auto"/>
        <w:ind w:firstLine="720"/>
        <w:jc w:val="both"/>
        <w:rPr>
          <w:rFonts w:ascii="Book Antiqua" w:hAnsi="Book Antiqua"/>
        </w:rPr>
      </w:pPr>
      <w:r w:rsidRPr="00905CB1">
        <w:rPr>
          <w:rFonts w:ascii="Book Antiqua" w:hAnsi="Book Antiqua"/>
        </w:rPr>
        <w:t xml:space="preserve">La </w:t>
      </w:r>
      <w:r w:rsidR="00DD55D1" w:rsidRPr="00A52F66">
        <w:rPr>
          <w:rFonts w:ascii="Book Antiqua" w:hAnsi="Book Antiqua"/>
          <w:b/>
          <w:bCs/>
        </w:rPr>
        <w:t>Academia Puertorriqueña de Jurisprudencia y Legislación</w:t>
      </w:r>
      <w:r w:rsidR="00DD55D1" w:rsidRPr="00905CB1">
        <w:rPr>
          <w:rFonts w:ascii="Book Antiqua" w:hAnsi="Book Antiqua"/>
        </w:rPr>
        <w:t xml:space="preserve"> (Academia) presenta una opinión muy completa sobre los beneficios de aproba</w:t>
      </w:r>
      <w:r w:rsidR="00453A8A">
        <w:rPr>
          <w:rFonts w:ascii="Book Antiqua" w:hAnsi="Book Antiqua"/>
        </w:rPr>
        <w:t>r</w:t>
      </w:r>
      <w:r w:rsidR="00DD55D1" w:rsidRPr="00905CB1">
        <w:rPr>
          <w:rFonts w:ascii="Book Antiqua" w:hAnsi="Book Antiqua"/>
        </w:rPr>
        <w:t xml:space="preserve"> este proyecto de ley</w:t>
      </w:r>
      <w:r w:rsidR="00453A8A">
        <w:rPr>
          <w:rFonts w:ascii="Book Antiqua" w:hAnsi="Book Antiqua"/>
        </w:rPr>
        <w:t>.</w:t>
      </w:r>
      <w:r w:rsidR="00DD55D1" w:rsidRPr="00905CB1">
        <w:rPr>
          <w:rStyle w:val="FootnoteReference"/>
          <w:rFonts w:ascii="Book Antiqua" w:hAnsi="Book Antiqua"/>
        </w:rPr>
        <w:footnoteReference w:id="6"/>
      </w:r>
      <w:r w:rsidR="00DD55D1" w:rsidRPr="00905CB1">
        <w:rPr>
          <w:rFonts w:ascii="Book Antiqua" w:hAnsi="Book Antiqua"/>
        </w:rPr>
        <w:t xml:space="preserve"> Esta noble institución concluye que promulga</w:t>
      </w:r>
      <w:r w:rsidR="00DD3741">
        <w:rPr>
          <w:rFonts w:ascii="Book Antiqua" w:hAnsi="Book Antiqua"/>
        </w:rPr>
        <w:t>r</w:t>
      </w:r>
      <w:r w:rsidR="00DD55D1" w:rsidRPr="00905CB1">
        <w:rPr>
          <w:rFonts w:ascii="Book Antiqua" w:hAnsi="Book Antiqua"/>
        </w:rPr>
        <w:t xml:space="preserve"> </w:t>
      </w:r>
      <w:r w:rsidR="00DD3741">
        <w:rPr>
          <w:rFonts w:ascii="Book Antiqua" w:hAnsi="Book Antiqua"/>
        </w:rPr>
        <w:t xml:space="preserve">la UIDDA </w:t>
      </w:r>
      <w:r w:rsidR="00DD55D1" w:rsidRPr="00905CB1">
        <w:rPr>
          <w:rFonts w:ascii="Book Antiqua" w:hAnsi="Book Antiqua"/>
        </w:rPr>
        <w:t>en Puerto Rico sería beneficios</w:t>
      </w:r>
      <w:r w:rsidR="00B627D7">
        <w:rPr>
          <w:rFonts w:ascii="Book Antiqua" w:hAnsi="Book Antiqua"/>
        </w:rPr>
        <w:t>o</w:t>
      </w:r>
      <w:r w:rsidR="00DD55D1" w:rsidRPr="00905CB1">
        <w:rPr>
          <w:rFonts w:ascii="Book Antiqua" w:hAnsi="Book Antiqua"/>
        </w:rPr>
        <w:t xml:space="preserve">. En primer lugar, modernizaría y agilizaría los procesos de obtención de pruebas de otras jurisdicciones de Estados Unidos. Se reducirían de esa forma demoras y costos innecesarios para el sistema judicial y los litigantes. En segundo lugar, colocaría a Puerto Rico en el marco uniforme vigente en casi todas las jurisdicciones estatales. </w:t>
      </w:r>
    </w:p>
    <w:p w14:paraId="1636ECC8" w14:textId="09CBE38B" w:rsidR="00DD55D1" w:rsidRDefault="00DD55D1" w:rsidP="008F6A6B">
      <w:pPr>
        <w:spacing w:after="0" w:line="288" w:lineRule="auto"/>
        <w:ind w:firstLine="720"/>
        <w:jc w:val="both"/>
        <w:rPr>
          <w:rFonts w:ascii="Book Antiqua" w:hAnsi="Book Antiqua"/>
        </w:rPr>
      </w:pPr>
      <w:r w:rsidRPr="00905CB1">
        <w:rPr>
          <w:rFonts w:ascii="Book Antiqua" w:hAnsi="Book Antiqua"/>
        </w:rPr>
        <w:t xml:space="preserve">En apoyo a su </w:t>
      </w:r>
      <w:r w:rsidR="00141DAD" w:rsidRPr="00905CB1">
        <w:rPr>
          <w:rFonts w:ascii="Book Antiqua" w:hAnsi="Book Antiqua"/>
        </w:rPr>
        <w:t>posición,</w:t>
      </w:r>
      <w:r w:rsidR="00141DAD">
        <w:rPr>
          <w:rFonts w:ascii="Book Antiqua" w:hAnsi="Book Antiqua"/>
        </w:rPr>
        <w:t xml:space="preserve"> la Academia </w:t>
      </w:r>
      <w:r w:rsidRPr="00905CB1">
        <w:rPr>
          <w:rFonts w:ascii="Book Antiqua" w:hAnsi="Book Antiqua"/>
        </w:rPr>
        <w:t>indica que “ventajas del modelo adoptado son claras: reducen los costos y demoras de trámites procesales innecesarios. Evita la intervención judicial preliminar en la jurisdicción donde se procura el descubrimiento. Se evita imponer cargas sustanciales adicionales al abogado que tramita la citación. Además, protege los derechos de los testigos al exigir el cumplimiento con las normas del estado donde se procura el descubrimiento. El P. del S. 765 dispone que la citación notificada debe acompañarse de los nombres, direcciones y teléfonos de todos los abogados de récord y de cualquier parte no representada por un abogado. Este requisito, idéntico al contenido habitual de una notificación de deposición, permite al declarante o a su representación legal conocer e identificar a las partes pertinentes del caso.”</w:t>
      </w:r>
    </w:p>
    <w:p w14:paraId="6B976631" w14:textId="77777777" w:rsidR="000D4797" w:rsidRDefault="000D4797" w:rsidP="008F6A6B">
      <w:pPr>
        <w:spacing w:after="0" w:line="288" w:lineRule="auto"/>
        <w:ind w:firstLine="720"/>
        <w:jc w:val="both"/>
        <w:rPr>
          <w:rFonts w:ascii="Book Antiqua" w:hAnsi="Book Antiqua"/>
        </w:rPr>
      </w:pPr>
    </w:p>
    <w:p w14:paraId="26D89DBE" w14:textId="77777777" w:rsidR="000D4797" w:rsidRDefault="000D4797" w:rsidP="008F6A6B">
      <w:pPr>
        <w:spacing w:after="0" w:line="288" w:lineRule="auto"/>
        <w:ind w:firstLine="720"/>
        <w:jc w:val="both"/>
        <w:rPr>
          <w:rFonts w:ascii="Book Antiqua" w:hAnsi="Book Antiqua"/>
        </w:rPr>
      </w:pPr>
    </w:p>
    <w:p w14:paraId="29A3E71B" w14:textId="77777777" w:rsidR="000D4797" w:rsidRDefault="000D4797" w:rsidP="008F6A6B">
      <w:pPr>
        <w:spacing w:after="0" w:line="288" w:lineRule="auto"/>
        <w:ind w:firstLine="720"/>
        <w:jc w:val="both"/>
        <w:rPr>
          <w:rFonts w:ascii="Book Antiqua" w:hAnsi="Book Antiqua"/>
        </w:rPr>
      </w:pPr>
    </w:p>
    <w:p w14:paraId="7D1AF224" w14:textId="77777777" w:rsidR="000D4797" w:rsidRDefault="000D4797" w:rsidP="008F6A6B">
      <w:pPr>
        <w:spacing w:after="0" w:line="288" w:lineRule="auto"/>
        <w:ind w:firstLine="720"/>
        <w:jc w:val="both"/>
        <w:rPr>
          <w:rFonts w:ascii="Book Antiqua" w:hAnsi="Book Antiqua"/>
        </w:rPr>
      </w:pPr>
    </w:p>
    <w:p w14:paraId="553AD57F" w14:textId="77777777" w:rsidR="000D4797" w:rsidRPr="00905CB1" w:rsidRDefault="000D4797" w:rsidP="008F6A6B">
      <w:pPr>
        <w:spacing w:after="0" w:line="288" w:lineRule="auto"/>
        <w:ind w:firstLine="720"/>
        <w:jc w:val="both"/>
        <w:rPr>
          <w:rFonts w:ascii="Book Antiqua" w:hAnsi="Book Antiqua"/>
        </w:rPr>
      </w:pPr>
    </w:p>
    <w:p w14:paraId="0A287B08" w14:textId="77777777" w:rsidR="0044258E" w:rsidRDefault="00DD55D1" w:rsidP="008F6A6B">
      <w:pPr>
        <w:spacing w:after="0" w:line="288" w:lineRule="auto"/>
        <w:ind w:firstLine="720"/>
        <w:jc w:val="both"/>
        <w:rPr>
          <w:rFonts w:ascii="Book Antiqua" w:hAnsi="Book Antiqua"/>
        </w:rPr>
      </w:pPr>
      <w:r w:rsidRPr="00905CB1">
        <w:rPr>
          <w:rFonts w:ascii="Book Antiqua" w:hAnsi="Book Antiqua"/>
        </w:rPr>
        <w:lastRenderedPageBreak/>
        <w:t>La Academia enfatiza que la aprobación de esta legislación no presenta obstáculo alguno, desde el punto de vista de un cambio normativo de derecho. Como mención de derecho comparado</w:t>
      </w:r>
      <w:r w:rsidR="00141DAD">
        <w:rPr>
          <w:rFonts w:ascii="Book Antiqua" w:hAnsi="Book Antiqua"/>
        </w:rPr>
        <w:t>,</w:t>
      </w:r>
      <w:r w:rsidRPr="00905CB1">
        <w:rPr>
          <w:rFonts w:ascii="Book Antiqua" w:hAnsi="Book Antiqua"/>
        </w:rPr>
        <w:t xml:space="preserve"> recuerdan que las normas federales </w:t>
      </w:r>
      <w:r w:rsidR="0044258E">
        <w:rPr>
          <w:rFonts w:ascii="Book Antiqua" w:hAnsi="Book Antiqua"/>
        </w:rPr>
        <w:t>—</w:t>
      </w:r>
      <w:r w:rsidRPr="00905CB1">
        <w:rPr>
          <w:rFonts w:ascii="Book Antiqua" w:hAnsi="Book Antiqua"/>
        </w:rPr>
        <w:t>especialmente la Regla 45 de las Reglas Federales de Procedimiento Civil</w:t>
      </w:r>
      <w:r w:rsidR="0044258E">
        <w:rPr>
          <w:rFonts w:ascii="Book Antiqua" w:hAnsi="Book Antiqua"/>
        </w:rPr>
        <w:t>—</w:t>
      </w:r>
      <w:r w:rsidRPr="00905CB1">
        <w:rPr>
          <w:rFonts w:ascii="Book Antiqua" w:hAnsi="Book Antiqua"/>
        </w:rPr>
        <w:t xml:space="preserve"> autoriza la emisión de citaciones dirigidas a testigos no partes ubicados en cualquier parte del territorio de los Estados Unidos</w:t>
      </w:r>
      <w:r w:rsidR="0044258E">
        <w:rPr>
          <w:rFonts w:ascii="Book Antiqua" w:hAnsi="Book Antiqua"/>
        </w:rPr>
        <w:t>. También</w:t>
      </w:r>
      <w:r w:rsidRPr="00905CB1">
        <w:rPr>
          <w:rFonts w:ascii="Book Antiqua" w:hAnsi="Book Antiqua"/>
        </w:rPr>
        <w:t xml:space="preserve"> delega en los tribunales del distrito en el que se encuentra el testigo la competencia para resolver objeciones y hacer cumplir la citación.</w:t>
      </w:r>
      <w:r w:rsidR="00D8123C" w:rsidRPr="00905CB1">
        <w:rPr>
          <w:rFonts w:ascii="Book Antiqua" w:hAnsi="Book Antiqua"/>
        </w:rPr>
        <w:t xml:space="preserve"> </w:t>
      </w:r>
    </w:p>
    <w:p w14:paraId="301E698D" w14:textId="09903235" w:rsidR="00DD55D1" w:rsidRPr="00905CB1" w:rsidRDefault="00D8123C" w:rsidP="008F6A6B">
      <w:pPr>
        <w:spacing w:after="0" w:line="288" w:lineRule="auto"/>
        <w:ind w:firstLine="720"/>
        <w:jc w:val="both"/>
        <w:rPr>
          <w:rFonts w:ascii="Book Antiqua" w:hAnsi="Book Antiqua"/>
        </w:rPr>
      </w:pPr>
      <w:r w:rsidRPr="00905CB1">
        <w:rPr>
          <w:rFonts w:ascii="Book Antiqua" w:hAnsi="Book Antiqua"/>
        </w:rPr>
        <w:t>Pero</w:t>
      </w:r>
      <w:r w:rsidR="00B73AF9">
        <w:rPr>
          <w:rFonts w:ascii="Book Antiqua" w:hAnsi="Book Antiqua"/>
        </w:rPr>
        <w:t>,</w:t>
      </w:r>
      <w:r w:rsidRPr="00905CB1">
        <w:rPr>
          <w:rFonts w:ascii="Book Antiqua" w:hAnsi="Book Antiqua"/>
        </w:rPr>
        <w:t xml:space="preserve"> </w:t>
      </w:r>
      <w:r w:rsidR="00B73AF9">
        <w:rPr>
          <w:rFonts w:ascii="Book Antiqua" w:hAnsi="Book Antiqua"/>
        </w:rPr>
        <w:t xml:space="preserve">la Academia </w:t>
      </w:r>
      <w:r w:rsidRPr="00905CB1">
        <w:rPr>
          <w:rFonts w:ascii="Book Antiqua" w:hAnsi="Book Antiqua"/>
        </w:rPr>
        <w:t xml:space="preserve">recalca que UIDDA no desplaza las reglas procesales puertorriqueñas sobre descubrimiento de prueba. </w:t>
      </w:r>
      <w:r w:rsidR="00B73AF9">
        <w:rPr>
          <w:rFonts w:ascii="Book Antiqua" w:hAnsi="Book Antiqua"/>
        </w:rPr>
        <w:t>S</w:t>
      </w:r>
      <w:r w:rsidRPr="00905CB1">
        <w:rPr>
          <w:rFonts w:ascii="Book Antiqua" w:hAnsi="Book Antiqua"/>
        </w:rPr>
        <w:t xml:space="preserve">e limita a establecer un mecanismo estandarizado y reciproco para la emisión de la citación, en caso en que el testigo está en otra jurisdicción de Estados Unidos. Por lo tanto, entiende que el P. del S. 765 no presenta ningún problema para </w:t>
      </w:r>
      <w:r w:rsidR="001B5BC0">
        <w:rPr>
          <w:rFonts w:ascii="Book Antiqua" w:hAnsi="Book Antiqua"/>
        </w:rPr>
        <w:t>esta</w:t>
      </w:r>
      <w:r w:rsidRPr="00905CB1">
        <w:rPr>
          <w:rFonts w:ascii="Book Antiqua" w:hAnsi="Book Antiqua"/>
        </w:rPr>
        <w:t xml:space="preserve"> jurisdicción </w:t>
      </w:r>
      <w:r w:rsidR="003C75B7">
        <w:rPr>
          <w:rFonts w:ascii="Book Antiqua" w:hAnsi="Book Antiqua"/>
        </w:rPr>
        <w:t>ni para los</w:t>
      </w:r>
      <w:r w:rsidRPr="00905CB1">
        <w:rPr>
          <w:rFonts w:ascii="Book Antiqua" w:hAnsi="Book Antiqua"/>
        </w:rPr>
        <w:t xml:space="preserve"> procedimientos locales. </w:t>
      </w:r>
    </w:p>
    <w:p w14:paraId="5333E6DF" w14:textId="5A5A2F5E" w:rsidR="00DD55D1" w:rsidRDefault="00DD55D1" w:rsidP="005D7399">
      <w:pPr>
        <w:spacing w:line="288" w:lineRule="auto"/>
        <w:ind w:firstLine="720"/>
        <w:jc w:val="both"/>
        <w:rPr>
          <w:rFonts w:ascii="Book Antiqua" w:hAnsi="Book Antiqua"/>
        </w:rPr>
      </w:pPr>
      <w:r w:rsidRPr="00905CB1">
        <w:rPr>
          <w:rFonts w:ascii="Book Antiqua" w:hAnsi="Book Antiqua"/>
        </w:rPr>
        <w:t xml:space="preserve">La Academia también puntualiza que la adopción de UIDDA en Puerto Rico se proyectaría exclusivamente hacia las jurisdicciones estatales. De esa forma se opera </w:t>
      </w:r>
      <w:r w:rsidR="00C50008">
        <w:rPr>
          <w:rFonts w:ascii="Book Antiqua" w:hAnsi="Book Antiqua"/>
        </w:rPr>
        <w:t xml:space="preserve">en </w:t>
      </w:r>
      <w:r w:rsidRPr="00905CB1">
        <w:rPr>
          <w:rFonts w:ascii="Book Antiqua" w:hAnsi="Book Antiqua"/>
        </w:rPr>
        <w:t>una disciplina de reciprocidad.</w:t>
      </w:r>
    </w:p>
    <w:p w14:paraId="34B610B5" w14:textId="0F308E66" w:rsidR="005600B5" w:rsidRPr="00B41B0F" w:rsidRDefault="005600B5" w:rsidP="005D7399">
      <w:pPr>
        <w:spacing w:after="120" w:line="360" w:lineRule="auto"/>
        <w:jc w:val="center"/>
        <w:rPr>
          <w:rFonts w:ascii="Book Antiqua" w:eastAsia="Times New Roman" w:hAnsi="Book Antiqua" w:cs="Times New Roman"/>
          <w:spacing w:val="12"/>
          <w:kern w:val="0"/>
          <w14:ligatures w14:val="none"/>
        </w:rPr>
      </w:pPr>
      <w:r w:rsidRPr="00B41B0F">
        <w:rPr>
          <w:rFonts w:ascii="Book Antiqua" w:eastAsia="Times New Roman" w:hAnsi="Book Antiqua" w:cs="Times New Roman"/>
          <w:spacing w:val="12"/>
          <w:kern w:val="0"/>
          <w14:ligatures w14:val="none"/>
        </w:rPr>
        <w:t>CONCLUSIÓN</w:t>
      </w:r>
    </w:p>
    <w:p w14:paraId="72DC1325" w14:textId="300169DD" w:rsidR="00714164" w:rsidRDefault="00D8123C" w:rsidP="005D7399">
      <w:pPr>
        <w:spacing w:after="0" w:line="288" w:lineRule="auto"/>
        <w:ind w:firstLine="720"/>
        <w:jc w:val="both"/>
        <w:rPr>
          <w:rFonts w:ascii="Book Antiqua" w:hAnsi="Book Antiqua"/>
        </w:rPr>
      </w:pPr>
      <w:r w:rsidRPr="00905CB1">
        <w:rPr>
          <w:rFonts w:ascii="Book Antiqua" w:hAnsi="Book Antiqua"/>
        </w:rPr>
        <w:t>Según dej</w:t>
      </w:r>
      <w:r w:rsidR="00A3299B">
        <w:rPr>
          <w:rFonts w:ascii="Book Antiqua" w:hAnsi="Book Antiqua"/>
        </w:rPr>
        <w:t>ó</w:t>
      </w:r>
      <w:r w:rsidRPr="00905CB1">
        <w:rPr>
          <w:rFonts w:ascii="Book Antiqua" w:hAnsi="Book Antiqua"/>
        </w:rPr>
        <w:t xml:space="preserve"> claro la OSL</w:t>
      </w:r>
      <w:r w:rsidR="00A3299B">
        <w:rPr>
          <w:rFonts w:ascii="Book Antiqua" w:hAnsi="Book Antiqua"/>
        </w:rPr>
        <w:t>,</w:t>
      </w:r>
      <w:r w:rsidRPr="00905CB1">
        <w:rPr>
          <w:rFonts w:ascii="Book Antiqua" w:hAnsi="Book Antiqua"/>
        </w:rPr>
        <w:t xml:space="preserve"> la </w:t>
      </w:r>
      <w:r w:rsidR="005600B5" w:rsidRPr="00905CB1">
        <w:rPr>
          <w:rFonts w:ascii="Book Antiqua" w:hAnsi="Book Antiqua"/>
        </w:rPr>
        <w:t xml:space="preserve">aprobación del P. del S. </w:t>
      </w:r>
      <w:r w:rsidRPr="00905CB1">
        <w:rPr>
          <w:rFonts w:ascii="Book Antiqua" w:hAnsi="Book Antiqua"/>
        </w:rPr>
        <w:t>765</w:t>
      </w:r>
      <w:r w:rsidR="005600B5" w:rsidRPr="00905CB1">
        <w:rPr>
          <w:rFonts w:ascii="Book Antiqua" w:hAnsi="Book Antiqua"/>
        </w:rPr>
        <w:t xml:space="preserve"> </w:t>
      </w:r>
      <w:r w:rsidRPr="00905CB1">
        <w:rPr>
          <w:rFonts w:ascii="Book Antiqua" w:hAnsi="Book Antiqua"/>
        </w:rPr>
        <w:t>es parte de las facultades constitucionales de la Asamblea Legislativa de Puerto Rico. Es oportuno reiterar que el debido proceso de ley, co</w:t>
      </w:r>
      <w:r w:rsidR="00BF1BBE">
        <w:rPr>
          <w:rFonts w:ascii="Book Antiqua" w:hAnsi="Book Antiqua"/>
        </w:rPr>
        <w:t>m</w:t>
      </w:r>
      <w:r w:rsidRPr="00905CB1">
        <w:rPr>
          <w:rFonts w:ascii="Book Antiqua" w:hAnsi="Book Antiqua"/>
        </w:rPr>
        <w:t>o garantía constitucional fundamental en Puerto Rico, exige que todo procedimiento judicial se lleve a cabo de manera justa, equitativa y accesible</w:t>
      </w:r>
      <w:r w:rsidR="009F15A9">
        <w:rPr>
          <w:rFonts w:ascii="Book Antiqua" w:hAnsi="Book Antiqua"/>
        </w:rPr>
        <w:t>. Se les</w:t>
      </w:r>
      <w:r w:rsidRPr="00905CB1">
        <w:rPr>
          <w:rFonts w:ascii="Book Antiqua" w:hAnsi="Book Antiqua"/>
        </w:rPr>
        <w:t xml:space="preserve"> asegura</w:t>
      </w:r>
      <w:r w:rsidR="009F15A9">
        <w:rPr>
          <w:rFonts w:ascii="Book Antiqua" w:hAnsi="Book Antiqua"/>
        </w:rPr>
        <w:t xml:space="preserve"> a</w:t>
      </w:r>
      <w:r w:rsidRPr="00905CB1">
        <w:rPr>
          <w:rFonts w:ascii="Book Antiqua" w:hAnsi="Book Antiqua"/>
        </w:rPr>
        <w:t xml:space="preserve"> las partes una participación real y efectiva en la adjudicación de sus derechos. </w:t>
      </w:r>
    </w:p>
    <w:p w14:paraId="5B0F68F3" w14:textId="6EE6B3D8" w:rsidR="000D4797" w:rsidRDefault="00D8123C" w:rsidP="006F0B1B">
      <w:pPr>
        <w:spacing w:after="0" w:line="288" w:lineRule="auto"/>
        <w:ind w:firstLine="720"/>
        <w:jc w:val="both"/>
        <w:rPr>
          <w:rFonts w:ascii="Book Antiqua" w:hAnsi="Book Antiqua"/>
        </w:rPr>
      </w:pPr>
      <w:r w:rsidRPr="00905CB1">
        <w:rPr>
          <w:rFonts w:ascii="Book Antiqua" w:hAnsi="Book Antiqua"/>
        </w:rPr>
        <w:t>No obstante, el descubrimiento de prueba y la citación de testigos fuera de nuestra jurisdicción</w:t>
      </w:r>
      <w:r w:rsidR="0064464C">
        <w:rPr>
          <w:rFonts w:ascii="Book Antiqua" w:hAnsi="Book Antiqua"/>
        </w:rPr>
        <w:t xml:space="preserve"> —</w:t>
      </w:r>
      <w:r w:rsidR="006F0B1B">
        <w:rPr>
          <w:rFonts w:ascii="Book Antiqua" w:hAnsi="Book Antiqua"/>
        </w:rPr>
        <w:t>según</w:t>
      </w:r>
      <w:r w:rsidR="0064464C" w:rsidRPr="0064464C">
        <w:rPr>
          <w:rFonts w:ascii="Book Antiqua" w:hAnsi="Book Antiqua"/>
        </w:rPr>
        <w:t xml:space="preserve"> </w:t>
      </w:r>
      <w:r w:rsidR="0064464C" w:rsidRPr="00905CB1">
        <w:rPr>
          <w:rFonts w:ascii="Book Antiqua" w:hAnsi="Book Antiqua"/>
        </w:rPr>
        <w:t>las Reglas de Procedimiento Civil</w:t>
      </w:r>
      <w:r w:rsidR="0064464C">
        <w:rPr>
          <w:rFonts w:ascii="Book Antiqua" w:hAnsi="Book Antiqua"/>
        </w:rPr>
        <w:t xml:space="preserve"> de 2009—</w:t>
      </w:r>
      <w:r w:rsidRPr="00905CB1">
        <w:rPr>
          <w:rFonts w:ascii="Book Antiqua" w:hAnsi="Book Antiqua"/>
        </w:rPr>
        <w:t xml:space="preserve"> podría ser oneroso y complejo tanto para las partes como para los deponentes</w:t>
      </w:r>
      <w:r w:rsidR="00573248">
        <w:rPr>
          <w:rFonts w:ascii="Book Antiqua" w:hAnsi="Book Antiqua"/>
        </w:rPr>
        <w:t>,</w:t>
      </w:r>
      <w:r w:rsidRPr="00905CB1">
        <w:rPr>
          <w:rFonts w:ascii="Book Antiqua" w:hAnsi="Book Antiqua"/>
        </w:rPr>
        <w:t xml:space="preserve"> </w:t>
      </w:r>
      <w:r w:rsidR="00573248">
        <w:rPr>
          <w:rFonts w:ascii="Book Antiqua" w:hAnsi="Book Antiqua"/>
        </w:rPr>
        <w:t xml:space="preserve">e </w:t>
      </w:r>
      <w:r w:rsidRPr="00905CB1">
        <w:rPr>
          <w:rFonts w:ascii="Book Antiqua" w:hAnsi="Book Antiqua"/>
        </w:rPr>
        <w:t>imponer presi</w:t>
      </w:r>
      <w:r w:rsidR="0064464C">
        <w:rPr>
          <w:rFonts w:ascii="Book Antiqua" w:hAnsi="Book Antiqua"/>
        </w:rPr>
        <w:t>ones</w:t>
      </w:r>
      <w:r w:rsidRPr="00905CB1">
        <w:rPr>
          <w:rFonts w:ascii="Book Antiqua" w:hAnsi="Book Antiqua"/>
        </w:rPr>
        <w:t xml:space="preserve"> innecesaria</w:t>
      </w:r>
      <w:r w:rsidR="0064464C">
        <w:rPr>
          <w:rFonts w:ascii="Book Antiqua" w:hAnsi="Book Antiqua"/>
        </w:rPr>
        <w:t>s</w:t>
      </w:r>
      <w:r w:rsidRPr="00905CB1">
        <w:rPr>
          <w:rFonts w:ascii="Book Antiqua" w:hAnsi="Book Antiqua"/>
        </w:rPr>
        <w:t xml:space="preserve"> sobre los recursos del sistema judicial.</w:t>
      </w:r>
      <w:r w:rsidR="00EE589A" w:rsidRPr="00905CB1">
        <w:rPr>
          <w:rFonts w:ascii="Book Antiqua" w:hAnsi="Book Antiqua"/>
        </w:rPr>
        <w:t xml:space="preserve"> </w:t>
      </w:r>
    </w:p>
    <w:p w14:paraId="2F4673B7" w14:textId="501C0805" w:rsidR="00D8123C" w:rsidRPr="00905CB1" w:rsidRDefault="006F0B1B" w:rsidP="00371B68">
      <w:pPr>
        <w:spacing w:after="120" w:line="288" w:lineRule="auto"/>
        <w:ind w:firstLine="720"/>
        <w:jc w:val="both"/>
        <w:rPr>
          <w:rFonts w:ascii="Book Antiqua" w:eastAsia="Times New Roman" w:hAnsi="Book Antiqua" w:cs="Times New Roman"/>
          <w:kern w:val="0"/>
          <w14:ligatures w14:val="none"/>
        </w:rPr>
      </w:pPr>
      <w:r>
        <w:rPr>
          <w:rFonts w:ascii="Book Antiqua" w:eastAsia="Times New Roman" w:hAnsi="Book Antiqua" w:cs="Times New Roman"/>
          <w:kern w:val="0"/>
          <w14:ligatures w14:val="none"/>
        </w:rPr>
        <w:t>A</w:t>
      </w:r>
      <w:r w:rsidR="00D8123C" w:rsidRPr="00905CB1">
        <w:rPr>
          <w:rFonts w:ascii="Book Antiqua" w:eastAsia="Times New Roman" w:hAnsi="Book Antiqua" w:cs="Times New Roman"/>
          <w:kern w:val="0"/>
          <w14:ligatures w14:val="none"/>
        </w:rPr>
        <w:t>nte el panorama descrito en este informe, l</w:t>
      </w:r>
      <w:r w:rsidR="00D8123C" w:rsidRPr="00905CB1">
        <w:rPr>
          <w:rFonts w:ascii="Book Antiqua" w:hAnsi="Book Antiqua"/>
        </w:rPr>
        <w:t xml:space="preserve">a incorporación y adopción de UIDDA representa un avance en el manejo del descubrimiento de prueba entre las jurisdicciones de Estados Unidos y Puerto Rico. Al simplificar los trámites, reducir la intervención judicial y establecer un mecanismo uniforme, eficiente y costo efectivo, UIDDA fortalece las garantías de equidad, accesibilidad y protección de los derechos de las partes y de los testigos. En </w:t>
      </w:r>
      <w:r w:rsidR="009361C0">
        <w:rPr>
          <w:rFonts w:ascii="Book Antiqua" w:hAnsi="Book Antiqua"/>
        </w:rPr>
        <w:t>ese sentido, esta c</w:t>
      </w:r>
      <w:r w:rsidR="00D8123C" w:rsidRPr="00905CB1">
        <w:rPr>
          <w:rFonts w:ascii="Book Antiqua" w:hAnsi="Book Antiqua"/>
        </w:rPr>
        <w:t xml:space="preserve">omisión coincide con la OSL </w:t>
      </w:r>
      <w:r w:rsidR="009361C0">
        <w:rPr>
          <w:rFonts w:ascii="Book Antiqua" w:hAnsi="Book Antiqua"/>
        </w:rPr>
        <w:t xml:space="preserve">en </w:t>
      </w:r>
      <w:r w:rsidR="00D8123C" w:rsidRPr="00905CB1">
        <w:rPr>
          <w:rFonts w:ascii="Book Antiqua" w:hAnsi="Book Antiqua"/>
        </w:rPr>
        <w:t xml:space="preserve">que </w:t>
      </w:r>
      <w:r w:rsidR="009361C0">
        <w:rPr>
          <w:rFonts w:ascii="Book Antiqua" w:hAnsi="Book Antiqua"/>
        </w:rPr>
        <w:t xml:space="preserve">se tienen los </w:t>
      </w:r>
      <w:r w:rsidR="00D8123C" w:rsidRPr="00905CB1">
        <w:rPr>
          <w:rFonts w:ascii="Book Antiqua" w:hAnsi="Book Antiqua"/>
        </w:rPr>
        <w:t>“fundamentos sólidos para aprobar el P. del S. 765, a fin de robustecer la eficiencia y confianza pública en el sistema de justicia.”</w:t>
      </w:r>
    </w:p>
    <w:p w14:paraId="48803026" w14:textId="2B6D8067" w:rsidR="00E90136" w:rsidRDefault="005177DC" w:rsidP="00371B68">
      <w:pPr>
        <w:spacing w:after="360" w:line="288" w:lineRule="auto"/>
        <w:ind w:firstLine="720"/>
        <w:jc w:val="both"/>
        <w:rPr>
          <w:rFonts w:ascii="Book Antiqua" w:eastAsia="Calibri" w:hAnsi="Book Antiqua" w:cs="Times New Roman"/>
          <w:bCs/>
          <w:kern w:val="0"/>
          <w14:ligatures w14:val="none"/>
        </w:rPr>
      </w:pPr>
      <w:r>
        <w:rPr>
          <w:rFonts w:ascii="Book Antiqua" w:eastAsia="Calibri" w:hAnsi="Book Antiqua" w:cs="Times New Roman"/>
          <w:kern w:val="0"/>
          <w14:ligatures w14:val="none"/>
        </w:rPr>
        <w:lastRenderedPageBreak/>
        <w:t xml:space="preserve">Por todo lo anterior, esta </w:t>
      </w:r>
      <w:r w:rsidR="00780A4A">
        <w:rPr>
          <w:rFonts w:ascii="Book Antiqua" w:eastAsia="Calibri" w:hAnsi="Book Antiqua" w:cs="Times New Roman"/>
          <w:kern w:val="0"/>
          <w14:ligatures w14:val="none"/>
        </w:rPr>
        <w:t xml:space="preserve">comisión </w:t>
      </w:r>
      <w:r w:rsidR="00E90136" w:rsidRPr="00905CB1">
        <w:rPr>
          <w:rFonts w:ascii="Book Antiqua" w:eastAsia="Calibri" w:hAnsi="Book Antiqua" w:cs="Times New Roman"/>
          <w:kern w:val="0"/>
          <w14:ligatures w14:val="none"/>
        </w:rPr>
        <w:t xml:space="preserve">recomienda </w:t>
      </w:r>
      <w:r w:rsidR="00780A4A">
        <w:rPr>
          <w:rFonts w:ascii="Book Antiqua" w:eastAsia="Calibri" w:hAnsi="Book Antiqua" w:cs="Times New Roman"/>
          <w:kern w:val="0"/>
          <w14:ligatures w14:val="none"/>
        </w:rPr>
        <w:t>que se</w:t>
      </w:r>
      <w:r w:rsidR="00E90136" w:rsidRPr="00905CB1">
        <w:rPr>
          <w:rFonts w:ascii="Book Antiqua" w:eastAsia="Calibri" w:hAnsi="Book Antiqua" w:cs="Times New Roman"/>
          <w:kern w:val="0"/>
          <w14:ligatures w14:val="none"/>
        </w:rPr>
        <w:t xml:space="preserve"> apr</w:t>
      </w:r>
      <w:r w:rsidR="00780A4A">
        <w:rPr>
          <w:rFonts w:ascii="Book Antiqua" w:eastAsia="Calibri" w:hAnsi="Book Antiqua" w:cs="Times New Roman"/>
          <w:kern w:val="0"/>
          <w14:ligatures w14:val="none"/>
        </w:rPr>
        <w:t>uebe el P. del S. 765</w:t>
      </w:r>
      <w:r w:rsidR="00E90136" w:rsidRPr="00905CB1">
        <w:rPr>
          <w:rFonts w:ascii="Book Antiqua" w:eastAsia="Calibri" w:hAnsi="Book Antiqua" w:cs="Times New Roman"/>
          <w:bCs/>
          <w:kern w:val="0"/>
          <w14:ligatures w14:val="none"/>
        </w:rPr>
        <w:t xml:space="preserve"> </w:t>
      </w:r>
      <w:r w:rsidR="00D8123C" w:rsidRPr="00905CB1">
        <w:rPr>
          <w:rFonts w:ascii="Book Antiqua" w:eastAsia="Calibri" w:hAnsi="Book Antiqua" w:cs="Times New Roman"/>
          <w:bCs/>
          <w:kern w:val="0"/>
          <w14:ligatures w14:val="none"/>
        </w:rPr>
        <w:t xml:space="preserve">con las enmiendas en el </w:t>
      </w:r>
      <w:proofErr w:type="spellStart"/>
      <w:r w:rsidR="00D8123C" w:rsidRPr="00905CB1">
        <w:rPr>
          <w:rFonts w:ascii="Book Antiqua" w:eastAsia="Calibri" w:hAnsi="Book Antiqua" w:cs="Times New Roman"/>
          <w:bCs/>
          <w:kern w:val="0"/>
          <w14:ligatures w14:val="none"/>
        </w:rPr>
        <w:t>entirillado</w:t>
      </w:r>
      <w:proofErr w:type="spellEnd"/>
      <w:r w:rsidR="00D8123C" w:rsidRPr="00905CB1">
        <w:rPr>
          <w:rFonts w:ascii="Book Antiqua" w:eastAsia="Calibri" w:hAnsi="Book Antiqua" w:cs="Times New Roman"/>
          <w:bCs/>
          <w:kern w:val="0"/>
          <w14:ligatures w14:val="none"/>
        </w:rPr>
        <w:t xml:space="preserve"> electrónico</w:t>
      </w:r>
      <w:r w:rsidR="00780A4A">
        <w:rPr>
          <w:rFonts w:ascii="Book Antiqua" w:eastAsia="Calibri" w:hAnsi="Book Antiqua" w:cs="Times New Roman"/>
          <w:bCs/>
          <w:kern w:val="0"/>
          <w14:ligatures w14:val="none"/>
        </w:rPr>
        <w:t xml:space="preserve"> adjunto</w:t>
      </w:r>
      <w:r w:rsidR="00D8123C" w:rsidRPr="00905CB1">
        <w:rPr>
          <w:rFonts w:ascii="Book Antiqua" w:eastAsia="Calibri" w:hAnsi="Book Antiqua" w:cs="Times New Roman"/>
          <w:bCs/>
          <w:kern w:val="0"/>
          <w14:ligatures w14:val="none"/>
        </w:rPr>
        <w:t xml:space="preserve">. </w:t>
      </w:r>
    </w:p>
    <w:p w14:paraId="0C9084F4" w14:textId="60CB8226" w:rsidR="00371B68" w:rsidRPr="00905CB1" w:rsidRDefault="00371B68" w:rsidP="00371B68">
      <w:pPr>
        <w:spacing w:after="0" w:line="288" w:lineRule="auto"/>
        <w:jc w:val="both"/>
        <w:rPr>
          <w:rFonts w:ascii="Book Antiqua" w:eastAsia="Calibri" w:hAnsi="Book Antiqua" w:cs="Times New Roman"/>
          <w:kern w:val="0"/>
          <w14:ligatures w14:val="none"/>
        </w:rPr>
      </w:pPr>
      <w:r>
        <w:rPr>
          <w:rFonts w:ascii="Book Antiqua" w:eastAsia="Calibri" w:hAnsi="Book Antiqua" w:cs="Times New Roman"/>
          <w:bCs/>
          <w:kern w:val="0"/>
          <w14:ligatures w14:val="none"/>
        </w:rPr>
        <w:t>Respetuosamente presentado.</w:t>
      </w:r>
    </w:p>
    <w:p w14:paraId="39ADC598" w14:textId="77777777" w:rsidR="00E90136" w:rsidRPr="00905CB1" w:rsidRDefault="00E90136" w:rsidP="00E90136">
      <w:pPr>
        <w:spacing w:after="0" w:line="240" w:lineRule="auto"/>
        <w:jc w:val="both"/>
        <w:rPr>
          <w:rFonts w:ascii="Book Antiqua" w:eastAsia="Calibri" w:hAnsi="Book Antiqua" w:cs="Times New Roman"/>
          <w:kern w:val="0"/>
          <w14:ligatures w14:val="none"/>
        </w:rPr>
      </w:pPr>
    </w:p>
    <w:p w14:paraId="12E7A531" w14:textId="77777777" w:rsidR="00371B68" w:rsidRDefault="00371B68" w:rsidP="00E43546">
      <w:pPr>
        <w:spacing w:after="0" w:line="240" w:lineRule="auto"/>
        <w:jc w:val="both"/>
        <w:outlineLvl w:val="0"/>
        <w:rPr>
          <w:rFonts w:ascii="Book Antiqua" w:eastAsia="Calibri" w:hAnsi="Book Antiqua" w:cs="Times New Roman"/>
          <w:bCs/>
          <w:smallCaps/>
          <w:kern w:val="0"/>
          <w14:ligatures w14:val="none"/>
        </w:rPr>
      </w:pPr>
    </w:p>
    <w:p w14:paraId="3094E7E7" w14:textId="4B839B3F" w:rsidR="00E90136" w:rsidRPr="00371B68" w:rsidRDefault="00E43546" w:rsidP="00E43546">
      <w:pPr>
        <w:spacing w:after="0" w:line="240" w:lineRule="auto"/>
        <w:jc w:val="both"/>
        <w:outlineLvl w:val="0"/>
        <w:rPr>
          <w:rFonts w:ascii="Book Antiqua" w:eastAsia="Calibri" w:hAnsi="Book Antiqua" w:cs="Times New Roman"/>
          <w:b/>
          <w:smallCaps/>
          <w:kern w:val="0"/>
          <w14:ligatures w14:val="none"/>
        </w:rPr>
      </w:pPr>
      <w:r w:rsidRPr="00371B68">
        <w:rPr>
          <w:rFonts w:ascii="Book Antiqua" w:eastAsia="Calibri" w:hAnsi="Book Antiqua" w:cs="Times New Roman"/>
          <w:b/>
          <w:smallCaps/>
          <w:kern w:val="0"/>
          <w14:ligatures w14:val="none"/>
        </w:rPr>
        <w:t>José J. Pérez Cordero</w:t>
      </w:r>
    </w:p>
    <w:p w14:paraId="7B1A80C5" w14:textId="77777777" w:rsidR="00371B68" w:rsidRDefault="00E90136" w:rsidP="00E43546">
      <w:pPr>
        <w:spacing w:after="0" w:line="240" w:lineRule="auto"/>
        <w:jc w:val="both"/>
        <w:outlineLvl w:val="0"/>
        <w:rPr>
          <w:rFonts w:ascii="Book Antiqua" w:eastAsia="Calibri" w:hAnsi="Book Antiqua" w:cs="Times New Roman"/>
          <w:kern w:val="0"/>
          <w14:ligatures w14:val="none"/>
        </w:rPr>
      </w:pPr>
      <w:r w:rsidRPr="00905CB1">
        <w:rPr>
          <w:rFonts w:ascii="Book Antiqua" w:eastAsia="Calibri" w:hAnsi="Book Antiqua" w:cs="Times New Roman"/>
          <w:kern w:val="0"/>
          <w14:ligatures w14:val="none"/>
        </w:rPr>
        <w:t>Presidente</w:t>
      </w:r>
    </w:p>
    <w:p w14:paraId="03FA4187" w14:textId="0780F059" w:rsidR="00221FDC" w:rsidRPr="00905CB1" w:rsidRDefault="00371B68" w:rsidP="00E43546">
      <w:pPr>
        <w:spacing w:after="0" w:line="240" w:lineRule="auto"/>
        <w:jc w:val="both"/>
        <w:outlineLvl w:val="0"/>
        <w:rPr>
          <w:rFonts w:ascii="Book Antiqua" w:eastAsia="Calibri" w:hAnsi="Book Antiqua" w:cs="Times New Roman"/>
          <w:kern w:val="0"/>
          <w14:ligatures w14:val="none"/>
        </w:rPr>
      </w:pPr>
      <w:r>
        <w:rPr>
          <w:rFonts w:ascii="Book Antiqua" w:eastAsia="Calibri" w:hAnsi="Book Antiqua" w:cs="Times New Roman"/>
          <w:kern w:val="0"/>
          <w14:ligatures w14:val="none"/>
        </w:rPr>
        <w:t>Comisión de lo Jurídico</w:t>
      </w:r>
      <w:r w:rsidR="00E90136" w:rsidRPr="00905CB1">
        <w:rPr>
          <w:rFonts w:ascii="Book Antiqua" w:eastAsia="Calibri" w:hAnsi="Book Antiqua" w:cs="Times New Roman"/>
          <w:kern w:val="0"/>
          <w14:ligatures w14:val="none"/>
        </w:rPr>
        <w:t xml:space="preserve"> </w:t>
      </w:r>
    </w:p>
    <w:sectPr w:rsidR="00221FDC" w:rsidRPr="00905CB1" w:rsidSect="00C045AD">
      <w:headerReference w:type="default" r:id="rId11"/>
      <w:footerReference w:type="default" r:id="rId12"/>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571F34" w14:textId="77777777" w:rsidR="00DE200A" w:rsidRPr="002C7622" w:rsidRDefault="00DE200A" w:rsidP="00A21EB9">
      <w:pPr>
        <w:spacing w:after="0" w:line="240" w:lineRule="auto"/>
      </w:pPr>
      <w:r w:rsidRPr="002C7622">
        <w:separator/>
      </w:r>
    </w:p>
  </w:endnote>
  <w:endnote w:type="continuationSeparator" w:id="0">
    <w:p w14:paraId="67F22924" w14:textId="77777777" w:rsidR="00DE200A" w:rsidRPr="002C7622" w:rsidRDefault="00DE200A" w:rsidP="00A21EB9">
      <w:pPr>
        <w:spacing w:after="0" w:line="240" w:lineRule="auto"/>
      </w:pPr>
      <w:r w:rsidRPr="002C7622">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20774412"/>
      <w:docPartObj>
        <w:docPartGallery w:val="Page Numbers (Bottom of Page)"/>
        <w:docPartUnique/>
      </w:docPartObj>
    </w:sdtPr>
    <w:sdtEndPr>
      <w:rPr>
        <w:noProof/>
      </w:rPr>
    </w:sdtEndPr>
    <w:sdtContent>
      <w:p w14:paraId="53613B29" w14:textId="09BA7F2D" w:rsidR="00596BE2" w:rsidRDefault="00596BE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89C9C76" w14:textId="77777777" w:rsidR="00596BE2" w:rsidRDefault="00596BE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4C7E45" w14:textId="77777777" w:rsidR="00DE200A" w:rsidRPr="002C7622" w:rsidRDefault="00DE200A" w:rsidP="00A21EB9">
      <w:pPr>
        <w:spacing w:after="0" w:line="240" w:lineRule="auto"/>
      </w:pPr>
      <w:r w:rsidRPr="002C7622">
        <w:separator/>
      </w:r>
    </w:p>
  </w:footnote>
  <w:footnote w:type="continuationSeparator" w:id="0">
    <w:p w14:paraId="118894A9" w14:textId="77777777" w:rsidR="00DE200A" w:rsidRPr="002C7622" w:rsidRDefault="00DE200A" w:rsidP="00A21EB9">
      <w:pPr>
        <w:spacing w:after="0" w:line="240" w:lineRule="auto"/>
      </w:pPr>
      <w:r w:rsidRPr="002C7622">
        <w:continuationSeparator/>
      </w:r>
    </w:p>
  </w:footnote>
  <w:footnote w:id="1">
    <w:p w14:paraId="583EE4CF" w14:textId="5362A38D" w:rsidR="00194C6D" w:rsidRPr="00B34708" w:rsidRDefault="00194C6D" w:rsidP="00A97431">
      <w:pPr>
        <w:spacing w:before="100" w:beforeAutospacing="1" w:after="100" w:afterAutospacing="1" w:line="240" w:lineRule="auto"/>
        <w:jc w:val="both"/>
        <w:rPr>
          <w:rFonts w:ascii="Book Antiqua" w:eastAsia="Times New Roman" w:hAnsi="Book Antiqua" w:cs="Times New Roman"/>
          <w:kern w:val="0"/>
          <w:sz w:val="20"/>
          <w:szCs w:val="20"/>
          <w14:ligatures w14:val="none"/>
        </w:rPr>
      </w:pPr>
      <w:r w:rsidRPr="00B34708">
        <w:rPr>
          <w:rStyle w:val="FootnoteReference"/>
          <w:rFonts w:ascii="Book Antiqua" w:hAnsi="Book Antiqua" w:cs="Times New Roman"/>
          <w:sz w:val="20"/>
          <w:szCs w:val="20"/>
        </w:rPr>
        <w:footnoteRef/>
      </w:r>
      <w:r w:rsidRPr="00B34708">
        <w:rPr>
          <w:rFonts w:ascii="Book Antiqua" w:hAnsi="Book Antiqua" w:cs="Times New Roman"/>
          <w:sz w:val="20"/>
          <w:szCs w:val="20"/>
        </w:rPr>
        <w:t xml:space="preserve"> Véase</w:t>
      </w:r>
      <w:r w:rsidRPr="00B34708">
        <w:rPr>
          <w:rFonts w:ascii="Book Antiqua" w:hAnsi="Book Antiqua" w:cs="Times New Roman"/>
          <w:i/>
          <w:iCs/>
          <w:sz w:val="20"/>
          <w:szCs w:val="20"/>
        </w:rPr>
        <w:t xml:space="preserve"> </w:t>
      </w:r>
      <w:r w:rsidRPr="00B34708">
        <w:rPr>
          <w:rFonts w:ascii="Book Antiqua" w:hAnsi="Book Antiqua" w:cs="Times New Roman"/>
          <w:sz w:val="20"/>
          <w:szCs w:val="20"/>
        </w:rPr>
        <w:t>T</w:t>
      </w:r>
      <w:r w:rsidR="00041EF6">
        <w:rPr>
          <w:rFonts w:ascii="Book Antiqua" w:hAnsi="Book Antiqua" w:cs="Times New Roman"/>
          <w:sz w:val="20"/>
          <w:szCs w:val="20"/>
        </w:rPr>
        <w:t>í</w:t>
      </w:r>
      <w:r w:rsidRPr="00B34708">
        <w:rPr>
          <w:rFonts w:ascii="Book Antiqua" w:hAnsi="Book Antiqua" w:cs="Times New Roman"/>
          <w:sz w:val="20"/>
          <w:szCs w:val="20"/>
        </w:rPr>
        <w:t xml:space="preserve">tulo del P. del S. </w:t>
      </w:r>
      <w:r w:rsidR="00BF1BBE">
        <w:rPr>
          <w:rFonts w:ascii="Book Antiqua" w:hAnsi="Book Antiqua" w:cs="Times New Roman"/>
          <w:sz w:val="20"/>
          <w:szCs w:val="20"/>
        </w:rPr>
        <w:t>765</w:t>
      </w:r>
      <w:r w:rsidR="000D346E" w:rsidRPr="00B34708">
        <w:rPr>
          <w:rFonts w:ascii="Book Antiqua" w:hAnsi="Book Antiqua" w:cs="Times New Roman"/>
          <w:sz w:val="20"/>
          <w:szCs w:val="20"/>
        </w:rPr>
        <w:t xml:space="preserve">, según el </w:t>
      </w:r>
      <w:proofErr w:type="spellStart"/>
      <w:r w:rsidR="000D346E" w:rsidRPr="00B34708">
        <w:rPr>
          <w:rFonts w:ascii="Book Antiqua" w:hAnsi="Book Antiqua" w:cs="Times New Roman"/>
          <w:sz w:val="20"/>
          <w:szCs w:val="20"/>
        </w:rPr>
        <w:t>entirillado</w:t>
      </w:r>
      <w:proofErr w:type="spellEnd"/>
      <w:r w:rsidR="000D346E" w:rsidRPr="00B34708">
        <w:rPr>
          <w:rFonts w:ascii="Book Antiqua" w:hAnsi="Book Antiqua" w:cs="Times New Roman"/>
          <w:sz w:val="20"/>
          <w:szCs w:val="20"/>
        </w:rPr>
        <w:t xml:space="preserve"> electrónico</w:t>
      </w:r>
      <w:r w:rsidR="00B6532D" w:rsidRPr="00B34708">
        <w:rPr>
          <w:rFonts w:ascii="Book Antiqua" w:hAnsi="Book Antiqua" w:cs="Times New Roman"/>
          <w:sz w:val="20"/>
          <w:szCs w:val="20"/>
        </w:rPr>
        <w:t xml:space="preserve"> que se propone</w:t>
      </w:r>
      <w:r w:rsidR="000D346E" w:rsidRPr="00B34708">
        <w:rPr>
          <w:rFonts w:ascii="Book Antiqua" w:hAnsi="Book Antiqua" w:cs="Times New Roman"/>
          <w:sz w:val="20"/>
          <w:szCs w:val="20"/>
        </w:rPr>
        <w:t xml:space="preserve">. </w:t>
      </w:r>
      <w:r w:rsidR="000D346E" w:rsidRPr="00B34708">
        <w:rPr>
          <w:rFonts w:ascii="Book Antiqua" w:eastAsia="Times New Roman" w:hAnsi="Book Antiqua" w:cs="Times New Roman"/>
          <w:kern w:val="0"/>
          <w:sz w:val="20"/>
          <w:szCs w:val="20"/>
          <w14:ligatures w14:val="none"/>
        </w:rPr>
        <w:t xml:space="preserve">Este proyecto de ley fue presentado ante el Senado de Puerto Rico el 7 de octubre de 2025 por el Senador Rivera Schatz, y tiene como autores a los siguientes </w:t>
      </w:r>
      <w:proofErr w:type="gramStart"/>
      <w:r w:rsidR="000D346E" w:rsidRPr="00B34708">
        <w:rPr>
          <w:rFonts w:ascii="Book Antiqua" w:eastAsia="Times New Roman" w:hAnsi="Book Antiqua" w:cs="Times New Roman"/>
          <w:kern w:val="0"/>
          <w:sz w:val="20"/>
          <w:szCs w:val="20"/>
          <w14:ligatures w14:val="none"/>
        </w:rPr>
        <w:t>senadores y senadoras</w:t>
      </w:r>
      <w:proofErr w:type="gramEnd"/>
      <w:r w:rsidR="00B6532D" w:rsidRPr="00B34708">
        <w:rPr>
          <w:rFonts w:ascii="Book Antiqua" w:eastAsia="Times New Roman" w:hAnsi="Book Antiqua" w:cs="Times New Roman"/>
          <w:kern w:val="0"/>
          <w:sz w:val="20"/>
          <w:szCs w:val="20"/>
          <w14:ligatures w14:val="none"/>
        </w:rPr>
        <w:t>:</w:t>
      </w:r>
      <w:r w:rsidR="000D346E" w:rsidRPr="00B34708">
        <w:rPr>
          <w:rFonts w:ascii="Book Antiqua" w:eastAsia="Times New Roman" w:hAnsi="Book Antiqua" w:cs="Times New Roman"/>
          <w:kern w:val="0"/>
          <w:sz w:val="20"/>
          <w:szCs w:val="20"/>
          <w14:ligatures w14:val="none"/>
        </w:rPr>
        <w:t xml:space="preserve"> </w:t>
      </w:r>
      <w:r w:rsidR="000D346E" w:rsidRPr="00B34708">
        <w:rPr>
          <w:rFonts w:ascii="Book Antiqua" w:hAnsi="Book Antiqua" w:cs="Times New Roman"/>
          <w:sz w:val="20"/>
          <w:szCs w:val="20"/>
          <w:lang w:val="es-ES"/>
        </w:rPr>
        <w:t>Barlucea Rodríguez, Colón La Santa, Reyes Berríos, Rosa Ramos y Santos Ortiz.</w:t>
      </w:r>
    </w:p>
  </w:footnote>
  <w:footnote w:id="2">
    <w:p w14:paraId="5D2107D3" w14:textId="04ACC8AB" w:rsidR="00D952BD" w:rsidRPr="004030B6" w:rsidRDefault="00D952BD" w:rsidP="004030B6">
      <w:pPr>
        <w:pStyle w:val="FootnoteText"/>
        <w:spacing w:after="60"/>
        <w:jc w:val="both"/>
        <w:rPr>
          <w:rFonts w:ascii="Book Antiqua" w:hAnsi="Book Antiqua" w:cs="Times New Roman"/>
        </w:rPr>
      </w:pPr>
      <w:r w:rsidRPr="004030B6">
        <w:rPr>
          <w:rStyle w:val="FootnoteReference"/>
          <w:rFonts w:ascii="Book Antiqua" w:hAnsi="Book Antiqua" w:cs="Times New Roman"/>
        </w:rPr>
        <w:footnoteRef/>
      </w:r>
      <w:r w:rsidRPr="004030B6">
        <w:rPr>
          <w:rFonts w:ascii="Book Antiqua" w:hAnsi="Book Antiqua" w:cs="Times New Roman"/>
        </w:rPr>
        <w:t xml:space="preserve"> Documento de 6 páginas, con fecha de 25 de febrero de 2026 y suscrito por el Hon. Sigfrido Steidel Figueroa, Juez Administrador de la Rama Judicial en Puerto Rico. </w:t>
      </w:r>
      <w:r w:rsidR="009A7B8F" w:rsidRPr="004030B6">
        <w:rPr>
          <w:rFonts w:ascii="Book Antiqua" w:hAnsi="Book Antiqua" w:cs="Times New Roman"/>
        </w:rPr>
        <w:t xml:space="preserve">Cuando el documento indica la “Ley Uniforme” se refiere a la </w:t>
      </w:r>
      <w:r w:rsidR="009A7B8F" w:rsidRPr="004030B6">
        <w:rPr>
          <w:rFonts w:ascii="Book Antiqua" w:hAnsi="Book Antiqua" w:cs="Times New Roman"/>
          <w:lang w:val="es-ES_tradnl"/>
        </w:rPr>
        <w:t>Ley Uniforme de Citaciones y Descubrimiento Interestatal (UIDDA).</w:t>
      </w:r>
    </w:p>
  </w:footnote>
  <w:footnote w:id="3">
    <w:p w14:paraId="64105001" w14:textId="57A7D9DA" w:rsidR="004030B6" w:rsidRPr="004030B6" w:rsidRDefault="004030B6" w:rsidP="004030B6">
      <w:pPr>
        <w:pStyle w:val="FootnoteText"/>
        <w:spacing w:after="60"/>
      </w:pPr>
      <w:r w:rsidRPr="004030B6">
        <w:rPr>
          <w:rStyle w:val="FootnoteReference"/>
          <w:rFonts w:ascii="Book Antiqua" w:hAnsi="Book Antiqua"/>
        </w:rPr>
        <w:footnoteRef/>
      </w:r>
      <w:r w:rsidRPr="004030B6">
        <w:rPr>
          <w:rFonts w:ascii="Book Antiqua" w:hAnsi="Book Antiqua"/>
        </w:rPr>
        <w:t xml:space="preserve"> Memorial de la OAT, págs. 2-3; citas en el original, omitidas.</w:t>
      </w:r>
    </w:p>
  </w:footnote>
  <w:footnote w:id="4">
    <w:p w14:paraId="62505EDD" w14:textId="4A897D31" w:rsidR="00A97431" w:rsidRPr="00A52F66" w:rsidRDefault="00A97431" w:rsidP="00A52F66">
      <w:pPr>
        <w:pStyle w:val="FootnoteText"/>
        <w:spacing w:after="60"/>
        <w:jc w:val="both"/>
        <w:rPr>
          <w:rFonts w:ascii="Book Antiqua" w:hAnsi="Book Antiqua" w:cs="Times New Roman"/>
        </w:rPr>
      </w:pPr>
      <w:r w:rsidRPr="00A52F66">
        <w:rPr>
          <w:rStyle w:val="FootnoteReference"/>
          <w:rFonts w:ascii="Book Antiqua" w:hAnsi="Book Antiqua" w:cs="Times New Roman"/>
        </w:rPr>
        <w:footnoteRef/>
      </w:r>
      <w:r w:rsidRPr="00A52F66">
        <w:rPr>
          <w:rFonts w:ascii="Book Antiqua" w:hAnsi="Book Antiqua" w:cs="Times New Roman"/>
        </w:rPr>
        <w:t xml:space="preserve"> Destacamos que el </w:t>
      </w:r>
      <w:proofErr w:type="spellStart"/>
      <w:r w:rsidRPr="00A52F66">
        <w:rPr>
          <w:rFonts w:ascii="Book Antiqua" w:hAnsi="Book Antiqua" w:cs="Times New Roman"/>
        </w:rPr>
        <w:t>entirillado</w:t>
      </w:r>
      <w:proofErr w:type="spellEnd"/>
      <w:r w:rsidRPr="00A52F66">
        <w:rPr>
          <w:rFonts w:ascii="Book Antiqua" w:hAnsi="Book Antiqua" w:cs="Times New Roman"/>
        </w:rPr>
        <w:t xml:space="preserve"> electrónico que se acompaña contiene también el lenguaje remitido por la Oficina de Servicios Legislativos, así como otros detalles de semántica y sintaxis identificado</w:t>
      </w:r>
      <w:r w:rsidR="00A75793">
        <w:rPr>
          <w:rFonts w:ascii="Book Antiqua" w:hAnsi="Book Antiqua" w:cs="Times New Roman"/>
        </w:rPr>
        <w:t>s</w:t>
      </w:r>
      <w:r w:rsidRPr="00A52F66">
        <w:rPr>
          <w:rFonts w:ascii="Book Antiqua" w:hAnsi="Book Antiqua" w:cs="Times New Roman"/>
        </w:rPr>
        <w:t xml:space="preserve">. </w:t>
      </w:r>
    </w:p>
  </w:footnote>
  <w:footnote w:id="5">
    <w:p w14:paraId="6DDF2BB3" w14:textId="1CF6CDF0" w:rsidR="001C02AB" w:rsidRPr="00A97431" w:rsidRDefault="001C02AB" w:rsidP="00A52F66">
      <w:pPr>
        <w:pStyle w:val="FootnoteText"/>
        <w:spacing w:after="60"/>
        <w:jc w:val="both"/>
        <w:rPr>
          <w:rFonts w:ascii="Times New Roman" w:hAnsi="Times New Roman" w:cs="Times New Roman"/>
        </w:rPr>
      </w:pPr>
      <w:r w:rsidRPr="00A52F66">
        <w:rPr>
          <w:rStyle w:val="FootnoteReference"/>
          <w:rFonts w:ascii="Book Antiqua" w:hAnsi="Book Antiqua" w:cs="Times New Roman"/>
        </w:rPr>
        <w:footnoteRef/>
      </w:r>
      <w:r w:rsidRPr="00A52F66">
        <w:rPr>
          <w:rFonts w:ascii="Book Antiqua" w:hAnsi="Book Antiqua" w:cs="Times New Roman"/>
        </w:rPr>
        <w:t xml:space="preserve"> Memorial explicativo sobre el P. del S. 765, documento de 17 páginas </w:t>
      </w:r>
      <w:r w:rsidR="000E2AC7">
        <w:rPr>
          <w:rFonts w:ascii="Book Antiqua" w:hAnsi="Book Antiqua" w:cs="Times New Roman"/>
        </w:rPr>
        <w:t xml:space="preserve">—que </w:t>
      </w:r>
      <w:r w:rsidRPr="00A52F66">
        <w:rPr>
          <w:rFonts w:ascii="Book Antiqua" w:hAnsi="Book Antiqua" w:cs="Times New Roman"/>
        </w:rPr>
        <w:t xml:space="preserve">incluye borrador de </w:t>
      </w:r>
      <w:proofErr w:type="spellStart"/>
      <w:r w:rsidRPr="00A52F66">
        <w:rPr>
          <w:rFonts w:ascii="Book Antiqua" w:hAnsi="Book Antiqua" w:cs="Times New Roman"/>
        </w:rPr>
        <w:t>entirillado</w:t>
      </w:r>
      <w:proofErr w:type="spellEnd"/>
      <w:r w:rsidRPr="00A52F66">
        <w:rPr>
          <w:rFonts w:ascii="Book Antiqua" w:hAnsi="Book Antiqua" w:cs="Times New Roman"/>
        </w:rPr>
        <w:t xml:space="preserve"> electrónico</w:t>
      </w:r>
      <w:r w:rsidR="000E2AC7">
        <w:rPr>
          <w:rFonts w:ascii="Book Antiqua" w:hAnsi="Book Antiqua" w:cs="Times New Roman"/>
        </w:rPr>
        <w:t>—</w:t>
      </w:r>
      <w:r w:rsidRPr="00A52F66">
        <w:rPr>
          <w:rFonts w:ascii="Book Antiqua" w:hAnsi="Book Antiqua" w:cs="Times New Roman"/>
        </w:rPr>
        <w:t xml:space="preserve"> con fecha de 28 de abril </w:t>
      </w:r>
      <w:r w:rsidR="000E2AC7">
        <w:rPr>
          <w:rFonts w:ascii="Book Antiqua" w:hAnsi="Book Antiqua" w:cs="Times New Roman"/>
        </w:rPr>
        <w:t>de 2026</w:t>
      </w:r>
      <w:r w:rsidRPr="00A52F66">
        <w:rPr>
          <w:rFonts w:ascii="Book Antiqua" w:hAnsi="Book Antiqua" w:cs="Times New Roman"/>
        </w:rPr>
        <w:t xml:space="preserve"> y suscrito por la Lcda. Olga E. López Iglesias, </w:t>
      </w:r>
      <w:proofErr w:type="gramStart"/>
      <w:r w:rsidRPr="00A52F66">
        <w:rPr>
          <w:rFonts w:ascii="Book Antiqua" w:hAnsi="Book Antiqua" w:cs="Times New Roman"/>
        </w:rPr>
        <w:t>Directora</w:t>
      </w:r>
      <w:proofErr w:type="gramEnd"/>
      <w:r w:rsidRPr="00A52F66">
        <w:rPr>
          <w:rFonts w:ascii="Book Antiqua" w:hAnsi="Book Antiqua" w:cs="Times New Roman"/>
        </w:rPr>
        <w:t>.</w:t>
      </w:r>
      <w:r w:rsidRPr="00A97431">
        <w:rPr>
          <w:rFonts w:ascii="Times New Roman" w:hAnsi="Times New Roman" w:cs="Times New Roman"/>
        </w:rPr>
        <w:t xml:space="preserve"> </w:t>
      </w:r>
    </w:p>
  </w:footnote>
  <w:footnote w:id="6">
    <w:p w14:paraId="29C9039C" w14:textId="3CD48B98" w:rsidR="00DD55D1" w:rsidRPr="00B41B0F" w:rsidRDefault="00DD55D1" w:rsidP="00A97431">
      <w:pPr>
        <w:pStyle w:val="FootnoteText"/>
        <w:jc w:val="both"/>
        <w:rPr>
          <w:rFonts w:ascii="Book Antiqua" w:hAnsi="Book Antiqua" w:cs="Times New Roman"/>
        </w:rPr>
      </w:pPr>
      <w:r w:rsidRPr="00B41B0F">
        <w:rPr>
          <w:rStyle w:val="FootnoteReference"/>
          <w:rFonts w:ascii="Book Antiqua" w:hAnsi="Book Antiqua" w:cs="Times New Roman"/>
        </w:rPr>
        <w:footnoteRef/>
      </w:r>
      <w:r w:rsidRPr="00B41B0F">
        <w:rPr>
          <w:rFonts w:ascii="Book Antiqua" w:hAnsi="Book Antiqua" w:cs="Times New Roman"/>
        </w:rPr>
        <w:t xml:space="preserve"> La ponencia de la </w:t>
      </w:r>
      <w:r w:rsidR="00905CB1" w:rsidRPr="00B41B0F">
        <w:rPr>
          <w:rFonts w:ascii="Book Antiqua" w:hAnsi="Book Antiqua" w:cs="Times New Roman"/>
        </w:rPr>
        <w:t>Academia</w:t>
      </w:r>
      <w:r w:rsidRPr="00B41B0F">
        <w:rPr>
          <w:rFonts w:ascii="Book Antiqua" w:hAnsi="Book Antiqua" w:cs="Times New Roman"/>
        </w:rPr>
        <w:t xml:space="preserve"> es un documento de 3 páginas, firmado por Lady Alfonso de Cumpiano, </w:t>
      </w:r>
      <w:proofErr w:type="gramStart"/>
      <w:r w:rsidRPr="00B41B0F">
        <w:rPr>
          <w:rFonts w:ascii="Book Antiqua" w:hAnsi="Book Antiqua" w:cs="Times New Roman"/>
        </w:rPr>
        <w:t>Secretaria General</w:t>
      </w:r>
      <w:proofErr w:type="gramEnd"/>
      <w:r w:rsidRPr="00B41B0F">
        <w:rPr>
          <w:rFonts w:ascii="Book Antiqua" w:hAnsi="Book Antiqua" w:cs="Times New Roman"/>
        </w:rPr>
        <w:t xml:space="preserve"> de dicha institución privada sin fines de lucro.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75ED3C" w14:textId="6097DC9C" w:rsidR="00596BE2" w:rsidRPr="00596BE2" w:rsidRDefault="00596BE2" w:rsidP="00596BE2">
    <w:pPr>
      <w:tabs>
        <w:tab w:val="center" w:pos="4680"/>
        <w:tab w:val="right" w:pos="9360"/>
      </w:tabs>
      <w:spacing w:after="0" w:line="240" w:lineRule="auto"/>
      <w:jc w:val="both"/>
      <w:rPr>
        <w:rFonts w:ascii="Book Antiqua" w:hAnsi="Book Antiqua"/>
        <w:color w:val="000000" w:themeColor="text1"/>
        <w:sz w:val="20"/>
        <w:szCs w:val="20"/>
      </w:rPr>
    </w:pPr>
    <w:r w:rsidRPr="00596BE2">
      <w:rPr>
        <w:rFonts w:ascii="Book Antiqua" w:hAnsi="Book Antiqua"/>
        <w:color w:val="000000" w:themeColor="text1"/>
        <w:sz w:val="20"/>
        <w:szCs w:val="20"/>
      </w:rPr>
      <w:t>Cámara de Representantes</w:t>
    </w:r>
    <w:r w:rsidR="000D346E">
      <w:rPr>
        <w:rFonts w:ascii="Book Antiqua" w:hAnsi="Book Antiqua"/>
        <w:color w:val="000000" w:themeColor="text1"/>
        <w:sz w:val="20"/>
        <w:szCs w:val="20"/>
      </w:rPr>
      <w:t xml:space="preserve"> de Puerto Rico</w:t>
    </w:r>
  </w:p>
  <w:p w14:paraId="27A1706D" w14:textId="73925F52" w:rsidR="00596BE2" w:rsidRPr="00596BE2" w:rsidRDefault="00596BE2" w:rsidP="00596BE2">
    <w:pPr>
      <w:tabs>
        <w:tab w:val="center" w:pos="4680"/>
        <w:tab w:val="right" w:pos="9360"/>
      </w:tabs>
      <w:spacing w:after="0" w:line="240" w:lineRule="auto"/>
      <w:jc w:val="both"/>
      <w:rPr>
        <w:rFonts w:ascii="Book Antiqua" w:hAnsi="Book Antiqua"/>
        <w:color w:val="000000" w:themeColor="text1"/>
        <w:sz w:val="20"/>
        <w:szCs w:val="20"/>
      </w:rPr>
    </w:pPr>
    <w:r w:rsidRPr="00596BE2">
      <w:rPr>
        <w:rFonts w:ascii="Book Antiqua" w:hAnsi="Book Antiqua"/>
        <w:color w:val="000000" w:themeColor="text1"/>
        <w:sz w:val="20"/>
        <w:szCs w:val="20"/>
      </w:rPr>
      <w:t>Comisión de lo Jurídico</w:t>
    </w:r>
  </w:p>
  <w:p w14:paraId="42179AB2" w14:textId="7247BCBB" w:rsidR="0032132D" w:rsidRPr="00596BE2" w:rsidRDefault="0032132D" w:rsidP="00596BE2">
    <w:pPr>
      <w:tabs>
        <w:tab w:val="center" w:pos="4680"/>
        <w:tab w:val="right" w:pos="9360"/>
      </w:tabs>
      <w:spacing w:after="0" w:line="240" w:lineRule="auto"/>
      <w:jc w:val="both"/>
      <w:rPr>
        <w:rFonts w:ascii="Book Antiqua" w:hAnsi="Book Antiqua"/>
        <w:color w:val="000000" w:themeColor="text1"/>
        <w:sz w:val="20"/>
        <w:szCs w:val="20"/>
      </w:rPr>
    </w:pPr>
    <w:r w:rsidRPr="00596BE2">
      <w:rPr>
        <w:rFonts w:ascii="Book Antiqua" w:hAnsi="Book Antiqua"/>
        <w:color w:val="000000" w:themeColor="text1"/>
        <w:sz w:val="20"/>
        <w:szCs w:val="20"/>
      </w:rPr>
      <w:t xml:space="preserve">Informe Positivo sobre el P. del S. </w:t>
    </w:r>
    <w:r w:rsidR="000D346E">
      <w:rPr>
        <w:rFonts w:ascii="Book Antiqua" w:hAnsi="Book Antiqua"/>
        <w:color w:val="000000" w:themeColor="text1"/>
        <w:sz w:val="20"/>
        <w:szCs w:val="20"/>
      </w:rPr>
      <w:t>765</w:t>
    </w:r>
  </w:p>
  <w:p w14:paraId="5C347BE3" w14:textId="77777777" w:rsidR="0032132D" w:rsidRPr="002C7622" w:rsidRDefault="0032132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DE3C42"/>
    <w:multiLevelType w:val="multilevel"/>
    <w:tmpl w:val="EBCA5F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789570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00B5"/>
    <w:rsid w:val="000119CC"/>
    <w:rsid w:val="000123A7"/>
    <w:rsid w:val="00022258"/>
    <w:rsid w:val="00041EF6"/>
    <w:rsid w:val="00046A95"/>
    <w:rsid w:val="00053FF1"/>
    <w:rsid w:val="00054CAB"/>
    <w:rsid w:val="000676AC"/>
    <w:rsid w:val="0007002A"/>
    <w:rsid w:val="00075469"/>
    <w:rsid w:val="000819AE"/>
    <w:rsid w:val="00082DF9"/>
    <w:rsid w:val="00086E81"/>
    <w:rsid w:val="000950F5"/>
    <w:rsid w:val="000A6658"/>
    <w:rsid w:val="000A67D4"/>
    <w:rsid w:val="000B793B"/>
    <w:rsid w:val="000B7E5C"/>
    <w:rsid w:val="000C044E"/>
    <w:rsid w:val="000C247D"/>
    <w:rsid w:val="000D21C5"/>
    <w:rsid w:val="000D2767"/>
    <w:rsid w:val="000D346E"/>
    <w:rsid w:val="000D4797"/>
    <w:rsid w:val="000E2AC7"/>
    <w:rsid w:val="000E435D"/>
    <w:rsid w:val="000E4787"/>
    <w:rsid w:val="000E580F"/>
    <w:rsid w:val="001026C5"/>
    <w:rsid w:val="0012168C"/>
    <w:rsid w:val="00122F2A"/>
    <w:rsid w:val="00130D16"/>
    <w:rsid w:val="00132E2F"/>
    <w:rsid w:val="00141DAD"/>
    <w:rsid w:val="001438C7"/>
    <w:rsid w:val="001611C6"/>
    <w:rsid w:val="00171D5D"/>
    <w:rsid w:val="0017485E"/>
    <w:rsid w:val="0017537D"/>
    <w:rsid w:val="001816B5"/>
    <w:rsid w:val="00184557"/>
    <w:rsid w:val="00194C6D"/>
    <w:rsid w:val="00194EC7"/>
    <w:rsid w:val="001964A3"/>
    <w:rsid w:val="001A5D51"/>
    <w:rsid w:val="001B0E20"/>
    <w:rsid w:val="001B4741"/>
    <w:rsid w:val="001B4FE0"/>
    <w:rsid w:val="001B5BC0"/>
    <w:rsid w:val="001C02AB"/>
    <w:rsid w:val="001C7784"/>
    <w:rsid w:val="001C7CEB"/>
    <w:rsid w:val="001D31C2"/>
    <w:rsid w:val="001D3FD3"/>
    <w:rsid w:val="001D4AF8"/>
    <w:rsid w:val="001D76BB"/>
    <w:rsid w:val="001E708B"/>
    <w:rsid w:val="001E7A99"/>
    <w:rsid w:val="001F006D"/>
    <w:rsid w:val="002066EB"/>
    <w:rsid w:val="00220C5A"/>
    <w:rsid w:val="00221FDC"/>
    <w:rsid w:val="00223530"/>
    <w:rsid w:val="0022774A"/>
    <w:rsid w:val="0023252C"/>
    <w:rsid w:val="002370C3"/>
    <w:rsid w:val="002438BA"/>
    <w:rsid w:val="00256E2B"/>
    <w:rsid w:val="00261B7B"/>
    <w:rsid w:val="0026515A"/>
    <w:rsid w:val="00280ED5"/>
    <w:rsid w:val="00290FF0"/>
    <w:rsid w:val="00294A1C"/>
    <w:rsid w:val="002C0E5E"/>
    <w:rsid w:val="002C7622"/>
    <w:rsid w:val="002D29FE"/>
    <w:rsid w:val="002D2C02"/>
    <w:rsid w:val="002D2CD2"/>
    <w:rsid w:val="002E251E"/>
    <w:rsid w:val="002E2807"/>
    <w:rsid w:val="002F2C24"/>
    <w:rsid w:val="002F6ABB"/>
    <w:rsid w:val="002F6C59"/>
    <w:rsid w:val="00300F68"/>
    <w:rsid w:val="0030106C"/>
    <w:rsid w:val="00312D59"/>
    <w:rsid w:val="00317DBE"/>
    <w:rsid w:val="0032132D"/>
    <w:rsid w:val="00323C97"/>
    <w:rsid w:val="003263A0"/>
    <w:rsid w:val="0033510C"/>
    <w:rsid w:val="00352CB7"/>
    <w:rsid w:val="00354DD1"/>
    <w:rsid w:val="00354E0A"/>
    <w:rsid w:val="00361B08"/>
    <w:rsid w:val="003623BC"/>
    <w:rsid w:val="003700EA"/>
    <w:rsid w:val="00371B68"/>
    <w:rsid w:val="00373A81"/>
    <w:rsid w:val="00381831"/>
    <w:rsid w:val="00387E0F"/>
    <w:rsid w:val="003A30A7"/>
    <w:rsid w:val="003A31BA"/>
    <w:rsid w:val="003A3E51"/>
    <w:rsid w:val="003B60FC"/>
    <w:rsid w:val="003B686A"/>
    <w:rsid w:val="003C58BC"/>
    <w:rsid w:val="003C75B7"/>
    <w:rsid w:val="003D1FB7"/>
    <w:rsid w:val="003D3C6C"/>
    <w:rsid w:val="003D44E5"/>
    <w:rsid w:val="003D53C5"/>
    <w:rsid w:val="003E382E"/>
    <w:rsid w:val="003E67EB"/>
    <w:rsid w:val="003F0737"/>
    <w:rsid w:val="004030B6"/>
    <w:rsid w:val="0041310F"/>
    <w:rsid w:val="00415027"/>
    <w:rsid w:val="0041671E"/>
    <w:rsid w:val="004269ED"/>
    <w:rsid w:val="00432F45"/>
    <w:rsid w:val="0044258E"/>
    <w:rsid w:val="00450E32"/>
    <w:rsid w:val="00453A8A"/>
    <w:rsid w:val="00462E85"/>
    <w:rsid w:val="00470D01"/>
    <w:rsid w:val="00472D17"/>
    <w:rsid w:val="00473356"/>
    <w:rsid w:val="00485B68"/>
    <w:rsid w:val="004875A6"/>
    <w:rsid w:val="00494824"/>
    <w:rsid w:val="0049497C"/>
    <w:rsid w:val="004A4966"/>
    <w:rsid w:val="004B02B0"/>
    <w:rsid w:val="004B3612"/>
    <w:rsid w:val="004C7DF0"/>
    <w:rsid w:val="004D1F54"/>
    <w:rsid w:val="004D490B"/>
    <w:rsid w:val="004E5DD5"/>
    <w:rsid w:val="004E7C04"/>
    <w:rsid w:val="004F0106"/>
    <w:rsid w:val="004F6B62"/>
    <w:rsid w:val="0050459A"/>
    <w:rsid w:val="0050497D"/>
    <w:rsid w:val="005068C7"/>
    <w:rsid w:val="005177DC"/>
    <w:rsid w:val="00520983"/>
    <w:rsid w:val="00521CF4"/>
    <w:rsid w:val="005343A7"/>
    <w:rsid w:val="0054260A"/>
    <w:rsid w:val="00543B62"/>
    <w:rsid w:val="0054426C"/>
    <w:rsid w:val="0054495D"/>
    <w:rsid w:val="00553550"/>
    <w:rsid w:val="005600B5"/>
    <w:rsid w:val="00573248"/>
    <w:rsid w:val="00576B49"/>
    <w:rsid w:val="00596BE2"/>
    <w:rsid w:val="005A0B54"/>
    <w:rsid w:val="005B45A3"/>
    <w:rsid w:val="005B777C"/>
    <w:rsid w:val="005C229C"/>
    <w:rsid w:val="005C3114"/>
    <w:rsid w:val="005C5E7E"/>
    <w:rsid w:val="005C751E"/>
    <w:rsid w:val="005D1528"/>
    <w:rsid w:val="005D1A8C"/>
    <w:rsid w:val="005D1AEB"/>
    <w:rsid w:val="005D2330"/>
    <w:rsid w:val="005D476C"/>
    <w:rsid w:val="005D624F"/>
    <w:rsid w:val="005D6D77"/>
    <w:rsid w:val="005D7399"/>
    <w:rsid w:val="005E301A"/>
    <w:rsid w:val="005E522F"/>
    <w:rsid w:val="0060083D"/>
    <w:rsid w:val="00601A84"/>
    <w:rsid w:val="0061063C"/>
    <w:rsid w:val="006124BA"/>
    <w:rsid w:val="00615E51"/>
    <w:rsid w:val="00616F9E"/>
    <w:rsid w:val="00626B12"/>
    <w:rsid w:val="00627A5F"/>
    <w:rsid w:val="00634425"/>
    <w:rsid w:val="0064047B"/>
    <w:rsid w:val="0064464C"/>
    <w:rsid w:val="00646A27"/>
    <w:rsid w:val="00660387"/>
    <w:rsid w:val="0066218A"/>
    <w:rsid w:val="006627B0"/>
    <w:rsid w:val="006929BA"/>
    <w:rsid w:val="00693A2D"/>
    <w:rsid w:val="006A1B89"/>
    <w:rsid w:val="006B0738"/>
    <w:rsid w:val="006B6EF4"/>
    <w:rsid w:val="006C7193"/>
    <w:rsid w:val="006D2817"/>
    <w:rsid w:val="006D40BD"/>
    <w:rsid w:val="006D41A9"/>
    <w:rsid w:val="006E4E32"/>
    <w:rsid w:val="006E661F"/>
    <w:rsid w:val="006F0B1B"/>
    <w:rsid w:val="0070240A"/>
    <w:rsid w:val="00702C2F"/>
    <w:rsid w:val="00714164"/>
    <w:rsid w:val="00722157"/>
    <w:rsid w:val="007222D4"/>
    <w:rsid w:val="0072473E"/>
    <w:rsid w:val="0073195E"/>
    <w:rsid w:val="00733762"/>
    <w:rsid w:val="007344AE"/>
    <w:rsid w:val="00735F93"/>
    <w:rsid w:val="00752AF3"/>
    <w:rsid w:val="007710DB"/>
    <w:rsid w:val="00780A4A"/>
    <w:rsid w:val="00780C15"/>
    <w:rsid w:val="00780C3D"/>
    <w:rsid w:val="00782E3E"/>
    <w:rsid w:val="00783C07"/>
    <w:rsid w:val="007868EB"/>
    <w:rsid w:val="00787242"/>
    <w:rsid w:val="007903E4"/>
    <w:rsid w:val="007906FD"/>
    <w:rsid w:val="0079308C"/>
    <w:rsid w:val="00795487"/>
    <w:rsid w:val="00797DCA"/>
    <w:rsid w:val="007A638F"/>
    <w:rsid w:val="007A795F"/>
    <w:rsid w:val="007B10CC"/>
    <w:rsid w:val="007B459B"/>
    <w:rsid w:val="007C09AB"/>
    <w:rsid w:val="007C345E"/>
    <w:rsid w:val="007C47B6"/>
    <w:rsid w:val="007D235D"/>
    <w:rsid w:val="007D4A76"/>
    <w:rsid w:val="007D6655"/>
    <w:rsid w:val="007F6E0F"/>
    <w:rsid w:val="00806AF5"/>
    <w:rsid w:val="00807506"/>
    <w:rsid w:val="0081089E"/>
    <w:rsid w:val="00814E8F"/>
    <w:rsid w:val="00827518"/>
    <w:rsid w:val="00836A47"/>
    <w:rsid w:val="008375B9"/>
    <w:rsid w:val="00841AAB"/>
    <w:rsid w:val="00842711"/>
    <w:rsid w:val="00844BDC"/>
    <w:rsid w:val="008464A2"/>
    <w:rsid w:val="00847B58"/>
    <w:rsid w:val="00851C37"/>
    <w:rsid w:val="00855E37"/>
    <w:rsid w:val="00864B96"/>
    <w:rsid w:val="00865869"/>
    <w:rsid w:val="00870A6E"/>
    <w:rsid w:val="00885228"/>
    <w:rsid w:val="00890E16"/>
    <w:rsid w:val="008926C6"/>
    <w:rsid w:val="00892FFE"/>
    <w:rsid w:val="008944CA"/>
    <w:rsid w:val="008B1CD0"/>
    <w:rsid w:val="008C1CAB"/>
    <w:rsid w:val="008C2397"/>
    <w:rsid w:val="008C4BB3"/>
    <w:rsid w:val="008C6A66"/>
    <w:rsid w:val="008C73B5"/>
    <w:rsid w:val="008D1B75"/>
    <w:rsid w:val="008D55C5"/>
    <w:rsid w:val="008D564F"/>
    <w:rsid w:val="008D6DB1"/>
    <w:rsid w:val="008F4472"/>
    <w:rsid w:val="008F6934"/>
    <w:rsid w:val="008F6A6B"/>
    <w:rsid w:val="00905CB1"/>
    <w:rsid w:val="00915AE3"/>
    <w:rsid w:val="00917900"/>
    <w:rsid w:val="009215F3"/>
    <w:rsid w:val="00921F97"/>
    <w:rsid w:val="00930E1C"/>
    <w:rsid w:val="009361C0"/>
    <w:rsid w:val="0094140E"/>
    <w:rsid w:val="00942F6F"/>
    <w:rsid w:val="0094560B"/>
    <w:rsid w:val="00952CE4"/>
    <w:rsid w:val="009538CD"/>
    <w:rsid w:val="00956196"/>
    <w:rsid w:val="00972BED"/>
    <w:rsid w:val="009813DE"/>
    <w:rsid w:val="009972FC"/>
    <w:rsid w:val="00997612"/>
    <w:rsid w:val="00997BD4"/>
    <w:rsid w:val="009A1AFC"/>
    <w:rsid w:val="009A2FD7"/>
    <w:rsid w:val="009A4B69"/>
    <w:rsid w:val="009A7B8F"/>
    <w:rsid w:val="009B1761"/>
    <w:rsid w:val="009B68E0"/>
    <w:rsid w:val="009D698F"/>
    <w:rsid w:val="009E0317"/>
    <w:rsid w:val="009E2229"/>
    <w:rsid w:val="009F15A9"/>
    <w:rsid w:val="009F248A"/>
    <w:rsid w:val="009F6819"/>
    <w:rsid w:val="00A00AAC"/>
    <w:rsid w:val="00A1366A"/>
    <w:rsid w:val="00A14B8D"/>
    <w:rsid w:val="00A174F1"/>
    <w:rsid w:val="00A21B9B"/>
    <w:rsid w:val="00A21EB9"/>
    <w:rsid w:val="00A3295F"/>
    <w:rsid w:val="00A3299B"/>
    <w:rsid w:val="00A43A92"/>
    <w:rsid w:val="00A47675"/>
    <w:rsid w:val="00A52F66"/>
    <w:rsid w:val="00A551F2"/>
    <w:rsid w:val="00A674E2"/>
    <w:rsid w:val="00A70362"/>
    <w:rsid w:val="00A73B2D"/>
    <w:rsid w:val="00A75793"/>
    <w:rsid w:val="00A821DA"/>
    <w:rsid w:val="00A91737"/>
    <w:rsid w:val="00A97431"/>
    <w:rsid w:val="00AB646A"/>
    <w:rsid w:val="00AB7391"/>
    <w:rsid w:val="00AC142C"/>
    <w:rsid w:val="00AC33BA"/>
    <w:rsid w:val="00AD2E55"/>
    <w:rsid w:val="00AE0796"/>
    <w:rsid w:val="00AE37B8"/>
    <w:rsid w:val="00AF0518"/>
    <w:rsid w:val="00AF1BCE"/>
    <w:rsid w:val="00AF50FA"/>
    <w:rsid w:val="00AF5535"/>
    <w:rsid w:val="00AF5CCA"/>
    <w:rsid w:val="00B00D90"/>
    <w:rsid w:val="00B0455D"/>
    <w:rsid w:val="00B05E6E"/>
    <w:rsid w:val="00B076E4"/>
    <w:rsid w:val="00B16369"/>
    <w:rsid w:val="00B24582"/>
    <w:rsid w:val="00B255AE"/>
    <w:rsid w:val="00B34708"/>
    <w:rsid w:val="00B40133"/>
    <w:rsid w:val="00B41B0F"/>
    <w:rsid w:val="00B42064"/>
    <w:rsid w:val="00B45017"/>
    <w:rsid w:val="00B54769"/>
    <w:rsid w:val="00B627D7"/>
    <w:rsid w:val="00B6532D"/>
    <w:rsid w:val="00B66CC0"/>
    <w:rsid w:val="00B71E07"/>
    <w:rsid w:val="00B73AF9"/>
    <w:rsid w:val="00B86123"/>
    <w:rsid w:val="00B87CDB"/>
    <w:rsid w:val="00B90F2F"/>
    <w:rsid w:val="00B91F7D"/>
    <w:rsid w:val="00B930B4"/>
    <w:rsid w:val="00B94484"/>
    <w:rsid w:val="00B94BE4"/>
    <w:rsid w:val="00B952BB"/>
    <w:rsid w:val="00BB1B86"/>
    <w:rsid w:val="00BD08B2"/>
    <w:rsid w:val="00BE7EF3"/>
    <w:rsid w:val="00BF1BBE"/>
    <w:rsid w:val="00BF49D3"/>
    <w:rsid w:val="00C026B1"/>
    <w:rsid w:val="00C045AD"/>
    <w:rsid w:val="00C04CC8"/>
    <w:rsid w:val="00C12C92"/>
    <w:rsid w:val="00C174F2"/>
    <w:rsid w:val="00C25EC3"/>
    <w:rsid w:val="00C26E6F"/>
    <w:rsid w:val="00C32489"/>
    <w:rsid w:val="00C33B71"/>
    <w:rsid w:val="00C35E26"/>
    <w:rsid w:val="00C43639"/>
    <w:rsid w:val="00C50008"/>
    <w:rsid w:val="00C51648"/>
    <w:rsid w:val="00C672C4"/>
    <w:rsid w:val="00C80B87"/>
    <w:rsid w:val="00C84BA1"/>
    <w:rsid w:val="00C90319"/>
    <w:rsid w:val="00C96E42"/>
    <w:rsid w:val="00CA6C7F"/>
    <w:rsid w:val="00CB04C8"/>
    <w:rsid w:val="00CC04BA"/>
    <w:rsid w:val="00CC3182"/>
    <w:rsid w:val="00CC3DE9"/>
    <w:rsid w:val="00CC52EF"/>
    <w:rsid w:val="00CD2A67"/>
    <w:rsid w:val="00CD4E2A"/>
    <w:rsid w:val="00CD7B7D"/>
    <w:rsid w:val="00CE60EA"/>
    <w:rsid w:val="00CE71B0"/>
    <w:rsid w:val="00D1188F"/>
    <w:rsid w:val="00D12EC0"/>
    <w:rsid w:val="00D13460"/>
    <w:rsid w:val="00D14364"/>
    <w:rsid w:val="00D207AE"/>
    <w:rsid w:val="00D4511D"/>
    <w:rsid w:val="00D53AD5"/>
    <w:rsid w:val="00D551E3"/>
    <w:rsid w:val="00D61C11"/>
    <w:rsid w:val="00D62853"/>
    <w:rsid w:val="00D67D2D"/>
    <w:rsid w:val="00D72988"/>
    <w:rsid w:val="00D8123C"/>
    <w:rsid w:val="00D952BD"/>
    <w:rsid w:val="00DC0300"/>
    <w:rsid w:val="00DC1042"/>
    <w:rsid w:val="00DC2356"/>
    <w:rsid w:val="00DD3741"/>
    <w:rsid w:val="00DD55D1"/>
    <w:rsid w:val="00DD7CAC"/>
    <w:rsid w:val="00DE200A"/>
    <w:rsid w:val="00DE48D2"/>
    <w:rsid w:val="00DE497F"/>
    <w:rsid w:val="00DF43E5"/>
    <w:rsid w:val="00E05BCB"/>
    <w:rsid w:val="00E16686"/>
    <w:rsid w:val="00E27056"/>
    <w:rsid w:val="00E32293"/>
    <w:rsid w:val="00E32F39"/>
    <w:rsid w:val="00E43546"/>
    <w:rsid w:val="00E45F83"/>
    <w:rsid w:val="00E477C5"/>
    <w:rsid w:val="00E5558C"/>
    <w:rsid w:val="00E64325"/>
    <w:rsid w:val="00E719A5"/>
    <w:rsid w:val="00E72369"/>
    <w:rsid w:val="00E7554A"/>
    <w:rsid w:val="00E86449"/>
    <w:rsid w:val="00E87890"/>
    <w:rsid w:val="00E90136"/>
    <w:rsid w:val="00E91E97"/>
    <w:rsid w:val="00E9683D"/>
    <w:rsid w:val="00EA468B"/>
    <w:rsid w:val="00EA54BA"/>
    <w:rsid w:val="00EB2FF5"/>
    <w:rsid w:val="00EB3FF1"/>
    <w:rsid w:val="00EB6104"/>
    <w:rsid w:val="00EC13D2"/>
    <w:rsid w:val="00EC6553"/>
    <w:rsid w:val="00ED21C4"/>
    <w:rsid w:val="00ED63F6"/>
    <w:rsid w:val="00EE4018"/>
    <w:rsid w:val="00EE589A"/>
    <w:rsid w:val="00EE6BCE"/>
    <w:rsid w:val="00EF729A"/>
    <w:rsid w:val="00F00784"/>
    <w:rsid w:val="00F0085A"/>
    <w:rsid w:val="00F1589C"/>
    <w:rsid w:val="00F323F0"/>
    <w:rsid w:val="00F34CEB"/>
    <w:rsid w:val="00F34E86"/>
    <w:rsid w:val="00F35611"/>
    <w:rsid w:val="00F36195"/>
    <w:rsid w:val="00F403D7"/>
    <w:rsid w:val="00F54838"/>
    <w:rsid w:val="00F55EFB"/>
    <w:rsid w:val="00F72BE9"/>
    <w:rsid w:val="00F73649"/>
    <w:rsid w:val="00F82BDE"/>
    <w:rsid w:val="00F8456C"/>
    <w:rsid w:val="00F86F54"/>
    <w:rsid w:val="00F956D9"/>
    <w:rsid w:val="00FA18AC"/>
    <w:rsid w:val="00FA2F84"/>
    <w:rsid w:val="00FC3809"/>
    <w:rsid w:val="00FD04DD"/>
    <w:rsid w:val="00FD15C6"/>
    <w:rsid w:val="00FD1A4E"/>
    <w:rsid w:val="00FD2128"/>
    <w:rsid w:val="00FD4D84"/>
    <w:rsid w:val="00FF6988"/>
    <w:rsid w:val="00FF6B3F"/>
    <w:rsid w:val="00FF782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5B86C13"/>
  <w15:chartTrackingRefBased/>
  <w15:docId w15:val="{C848F272-8ECE-4024-A9C9-C447C7E34B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PR"/>
    </w:rPr>
  </w:style>
  <w:style w:type="paragraph" w:styleId="Heading1">
    <w:name w:val="heading 1"/>
    <w:basedOn w:val="Normal"/>
    <w:next w:val="Normal"/>
    <w:link w:val="Heading1Char"/>
    <w:uiPriority w:val="9"/>
    <w:qFormat/>
    <w:rsid w:val="005600B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600B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600B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600B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600B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600B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600B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600B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600B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600B5"/>
    <w:rPr>
      <w:rFonts w:asciiTheme="majorHAnsi" w:eastAsiaTheme="majorEastAsia" w:hAnsiTheme="majorHAnsi" w:cstheme="majorBidi"/>
      <w:color w:val="0F4761" w:themeColor="accent1" w:themeShade="BF"/>
      <w:sz w:val="40"/>
      <w:szCs w:val="40"/>
      <w:lang w:val="es-PR"/>
    </w:rPr>
  </w:style>
  <w:style w:type="character" w:customStyle="1" w:styleId="Heading2Char">
    <w:name w:val="Heading 2 Char"/>
    <w:basedOn w:val="DefaultParagraphFont"/>
    <w:link w:val="Heading2"/>
    <w:uiPriority w:val="9"/>
    <w:semiHidden/>
    <w:rsid w:val="005600B5"/>
    <w:rPr>
      <w:rFonts w:asciiTheme="majorHAnsi" w:eastAsiaTheme="majorEastAsia" w:hAnsiTheme="majorHAnsi" w:cstheme="majorBidi"/>
      <w:color w:val="0F4761" w:themeColor="accent1" w:themeShade="BF"/>
      <w:sz w:val="32"/>
      <w:szCs w:val="32"/>
      <w:lang w:val="es-PR"/>
    </w:rPr>
  </w:style>
  <w:style w:type="character" w:customStyle="1" w:styleId="Heading3Char">
    <w:name w:val="Heading 3 Char"/>
    <w:basedOn w:val="DefaultParagraphFont"/>
    <w:link w:val="Heading3"/>
    <w:uiPriority w:val="9"/>
    <w:semiHidden/>
    <w:rsid w:val="005600B5"/>
    <w:rPr>
      <w:rFonts w:eastAsiaTheme="majorEastAsia" w:cstheme="majorBidi"/>
      <w:color w:val="0F4761" w:themeColor="accent1" w:themeShade="BF"/>
      <w:sz w:val="28"/>
      <w:szCs w:val="28"/>
      <w:lang w:val="es-PR"/>
    </w:rPr>
  </w:style>
  <w:style w:type="character" w:customStyle="1" w:styleId="Heading4Char">
    <w:name w:val="Heading 4 Char"/>
    <w:basedOn w:val="DefaultParagraphFont"/>
    <w:link w:val="Heading4"/>
    <w:uiPriority w:val="9"/>
    <w:semiHidden/>
    <w:rsid w:val="005600B5"/>
    <w:rPr>
      <w:rFonts w:eastAsiaTheme="majorEastAsia" w:cstheme="majorBidi"/>
      <w:i/>
      <w:iCs/>
      <w:color w:val="0F4761" w:themeColor="accent1" w:themeShade="BF"/>
      <w:lang w:val="es-PR"/>
    </w:rPr>
  </w:style>
  <w:style w:type="character" w:customStyle="1" w:styleId="Heading5Char">
    <w:name w:val="Heading 5 Char"/>
    <w:basedOn w:val="DefaultParagraphFont"/>
    <w:link w:val="Heading5"/>
    <w:uiPriority w:val="9"/>
    <w:semiHidden/>
    <w:rsid w:val="005600B5"/>
    <w:rPr>
      <w:rFonts w:eastAsiaTheme="majorEastAsia" w:cstheme="majorBidi"/>
      <w:color w:val="0F4761" w:themeColor="accent1" w:themeShade="BF"/>
      <w:lang w:val="es-PR"/>
    </w:rPr>
  </w:style>
  <w:style w:type="character" w:customStyle="1" w:styleId="Heading6Char">
    <w:name w:val="Heading 6 Char"/>
    <w:basedOn w:val="DefaultParagraphFont"/>
    <w:link w:val="Heading6"/>
    <w:uiPriority w:val="9"/>
    <w:semiHidden/>
    <w:rsid w:val="005600B5"/>
    <w:rPr>
      <w:rFonts w:eastAsiaTheme="majorEastAsia" w:cstheme="majorBidi"/>
      <w:i/>
      <w:iCs/>
      <w:color w:val="595959" w:themeColor="text1" w:themeTint="A6"/>
      <w:lang w:val="es-PR"/>
    </w:rPr>
  </w:style>
  <w:style w:type="character" w:customStyle="1" w:styleId="Heading7Char">
    <w:name w:val="Heading 7 Char"/>
    <w:basedOn w:val="DefaultParagraphFont"/>
    <w:link w:val="Heading7"/>
    <w:uiPriority w:val="9"/>
    <w:semiHidden/>
    <w:rsid w:val="005600B5"/>
    <w:rPr>
      <w:rFonts w:eastAsiaTheme="majorEastAsia" w:cstheme="majorBidi"/>
      <w:color w:val="595959" w:themeColor="text1" w:themeTint="A6"/>
      <w:lang w:val="es-PR"/>
    </w:rPr>
  </w:style>
  <w:style w:type="character" w:customStyle="1" w:styleId="Heading8Char">
    <w:name w:val="Heading 8 Char"/>
    <w:basedOn w:val="DefaultParagraphFont"/>
    <w:link w:val="Heading8"/>
    <w:uiPriority w:val="9"/>
    <w:semiHidden/>
    <w:rsid w:val="005600B5"/>
    <w:rPr>
      <w:rFonts w:eastAsiaTheme="majorEastAsia" w:cstheme="majorBidi"/>
      <w:i/>
      <w:iCs/>
      <w:color w:val="272727" w:themeColor="text1" w:themeTint="D8"/>
      <w:lang w:val="es-PR"/>
    </w:rPr>
  </w:style>
  <w:style w:type="character" w:customStyle="1" w:styleId="Heading9Char">
    <w:name w:val="Heading 9 Char"/>
    <w:basedOn w:val="DefaultParagraphFont"/>
    <w:link w:val="Heading9"/>
    <w:uiPriority w:val="9"/>
    <w:semiHidden/>
    <w:rsid w:val="005600B5"/>
    <w:rPr>
      <w:rFonts w:eastAsiaTheme="majorEastAsia" w:cstheme="majorBidi"/>
      <w:color w:val="272727" w:themeColor="text1" w:themeTint="D8"/>
      <w:lang w:val="es-PR"/>
    </w:rPr>
  </w:style>
  <w:style w:type="paragraph" w:styleId="Title">
    <w:name w:val="Title"/>
    <w:basedOn w:val="Normal"/>
    <w:next w:val="Normal"/>
    <w:link w:val="TitleChar"/>
    <w:uiPriority w:val="10"/>
    <w:qFormat/>
    <w:rsid w:val="005600B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600B5"/>
    <w:rPr>
      <w:rFonts w:asciiTheme="majorHAnsi" w:eastAsiaTheme="majorEastAsia" w:hAnsiTheme="majorHAnsi" w:cstheme="majorBidi"/>
      <w:spacing w:val="-10"/>
      <w:kern w:val="28"/>
      <w:sz w:val="56"/>
      <w:szCs w:val="56"/>
      <w:lang w:val="es-PR"/>
    </w:rPr>
  </w:style>
  <w:style w:type="paragraph" w:styleId="Subtitle">
    <w:name w:val="Subtitle"/>
    <w:basedOn w:val="Normal"/>
    <w:next w:val="Normal"/>
    <w:link w:val="SubtitleChar"/>
    <w:uiPriority w:val="11"/>
    <w:qFormat/>
    <w:rsid w:val="005600B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600B5"/>
    <w:rPr>
      <w:rFonts w:eastAsiaTheme="majorEastAsia" w:cstheme="majorBidi"/>
      <w:color w:val="595959" w:themeColor="text1" w:themeTint="A6"/>
      <w:spacing w:val="15"/>
      <w:sz w:val="28"/>
      <w:szCs w:val="28"/>
      <w:lang w:val="es-PR"/>
    </w:rPr>
  </w:style>
  <w:style w:type="paragraph" w:styleId="Quote">
    <w:name w:val="Quote"/>
    <w:basedOn w:val="Normal"/>
    <w:next w:val="Normal"/>
    <w:link w:val="QuoteChar"/>
    <w:uiPriority w:val="29"/>
    <w:qFormat/>
    <w:rsid w:val="005600B5"/>
    <w:pPr>
      <w:spacing w:before="160"/>
      <w:jc w:val="center"/>
    </w:pPr>
    <w:rPr>
      <w:i/>
      <w:iCs/>
      <w:color w:val="404040" w:themeColor="text1" w:themeTint="BF"/>
    </w:rPr>
  </w:style>
  <w:style w:type="character" w:customStyle="1" w:styleId="QuoteChar">
    <w:name w:val="Quote Char"/>
    <w:basedOn w:val="DefaultParagraphFont"/>
    <w:link w:val="Quote"/>
    <w:uiPriority w:val="29"/>
    <w:rsid w:val="005600B5"/>
    <w:rPr>
      <w:i/>
      <w:iCs/>
      <w:color w:val="404040" w:themeColor="text1" w:themeTint="BF"/>
      <w:lang w:val="es-PR"/>
    </w:rPr>
  </w:style>
  <w:style w:type="paragraph" w:styleId="ListParagraph">
    <w:name w:val="List Paragraph"/>
    <w:basedOn w:val="Normal"/>
    <w:uiPriority w:val="34"/>
    <w:qFormat/>
    <w:rsid w:val="005600B5"/>
    <w:pPr>
      <w:ind w:left="720"/>
      <w:contextualSpacing/>
    </w:pPr>
  </w:style>
  <w:style w:type="character" w:styleId="IntenseEmphasis">
    <w:name w:val="Intense Emphasis"/>
    <w:basedOn w:val="DefaultParagraphFont"/>
    <w:uiPriority w:val="21"/>
    <w:qFormat/>
    <w:rsid w:val="005600B5"/>
    <w:rPr>
      <w:i/>
      <w:iCs/>
      <w:color w:val="0F4761" w:themeColor="accent1" w:themeShade="BF"/>
    </w:rPr>
  </w:style>
  <w:style w:type="paragraph" w:styleId="IntenseQuote">
    <w:name w:val="Intense Quote"/>
    <w:basedOn w:val="Normal"/>
    <w:next w:val="Normal"/>
    <w:link w:val="IntenseQuoteChar"/>
    <w:uiPriority w:val="30"/>
    <w:qFormat/>
    <w:rsid w:val="005600B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600B5"/>
    <w:rPr>
      <w:i/>
      <w:iCs/>
      <w:color w:val="0F4761" w:themeColor="accent1" w:themeShade="BF"/>
      <w:lang w:val="es-PR"/>
    </w:rPr>
  </w:style>
  <w:style w:type="character" w:styleId="IntenseReference">
    <w:name w:val="Intense Reference"/>
    <w:basedOn w:val="DefaultParagraphFont"/>
    <w:uiPriority w:val="32"/>
    <w:qFormat/>
    <w:rsid w:val="005600B5"/>
    <w:rPr>
      <w:b/>
      <w:bCs/>
      <w:smallCaps/>
      <w:color w:val="0F4761" w:themeColor="accent1" w:themeShade="BF"/>
      <w:spacing w:val="5"/>
    </w:rPr>
  </w:style>
  <w:style w:type="paragraph" w:styleId="NormalWeb">
    <w:name w:val="Normal (Web)"/>
    <w:basedOn w:val="Normal"/>
    <w:uiPriority w:val="99"/>
    <w:unhideWhenUsed/>
    <w:rsid w:val="005600B5"/>
    <w:pPr>
      <w:spacing w:before="100" w:beforeAutospacing="1" w:after="100" w:afterAutospacing="1" w:line="240" w:lineRule="auto"/>
    </w:pPr>
    <w:rPr>
      <w:rFonts w:ascii="Times New Roman" w:eastAsia="Times New Roman" w:hAnsi="Times New Roman" w:cs="Times New Roman"/>
      <w:kern w:val="0"/>
      <w:lang w:val="en-US"/>
      <w14:ligatures w14:val="none"/>
    </w:rPr>
  </w:style>
  <w:style w:type="character" w:styleId="Strong">
    <w:name w:val="Strong"/>
    <w:basedOn w:val="DefaultParagraphFont"/>
    <w:uiPriority w:val="22"/>
    <w:qFormat/>
    <w:rsid w:val="005600B5"/>
    <w:rPr>
      <w:b/>
      <w:bCs/>
    </w:rPr>
  </w:style>
  <w:style w:type="character" w:styleId="Emphasis">
    <w:name w:val="Emphasis"/>
    <w:basedOn w:val="DefaultParagraphFont"/>
    <w:uiPriority w:val="20"/>
    <w:qFormat/>
    <w:rsid w:val="001D76BB"/>
    <w:rPr>
      <w:i/>
      <w:iCs/>
    </w:rPr>
  </w:style>
  <w:style w:type="paragraph" w:styleId="FootnoteText">
    <w:name w:val="footnote text"/>
    <w:basedOn w:val="Normal"/>
    <w:link w:val="FootnoteTextChar"/>
    <w:uiPriority w:val="99"/>
    <w:semiHidden/>
    <w:unhideWhenUsed/>
    <w:rsid w:val="00A21EB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21EB9"/>
    <w:rPr>
      <w:sz w:val="20"/>
      <w:szCs w:val="20"/>
      <w:lang w:val="es-PR"/>
    </w:rPr>
  </w:style>
  <w:style w:type="character" w:styleId="FootnoteReference">
    <w:name w:val="footnote reference"/>
    <w:basedOn w:val="DefaultParagraphFont"/>
    <w:uiPriority w:val="99"/>
    <w:semiHidden/>
    <w:unhideWhenUsed/>
    <w:rsid w:val="00A21EB9"/>
    <w:rPr>
      <w:vertAlign w:val="superscript"/>
    </w:rPr>
  </w:style>
  <w:style w:type="paragraph" w:styleId="Header">
    <w:name w:val="header"/>
    <w:basedOn w:val="Normal"/>
    <w:link w:val="HeaderChar"/>
    <w:uiPriority w:val="99"/>
    <w:unhideWhenUsed/>
    <w:rsid w:val="00660387"/>
    <w:pPr>
      <w:tabs>
        <w:tab w:val="center" w:pos="4680"/>
        <w:tab w:val="right" w:pos="9360"/>
      </w:tabs>
      <w:spacing w:after="0" w:line="240" w:lineRule="auto"/>
    </w:pPr>
  </w:style>
  <w:style w:type="character" w:customStyle="1" w:styleId="HeaderChar">
    <w:name w:val="Header Char"/>
    <w:basedOn w:val="DefaultParagraphFont"/>
    <w:link w:val="Header"/>
    <w:uiPriority w:val="99"/>
    <w:rsid w:val="00660387"/>
    <w:rPr>
      <w:lang w:val="es-PR"/>
    </w:rPr>
  </w:style>
  <w:style w:type="paragraph" w:styleId="Footer">
    <w:name w:val="footer"/>
    <w:basedOn w:val="Normal"/>
    <w:link w:val="FooterChar"/>
    <w:uiPriority w:val="99"/>
    <w:unhideWhenUsed/>
    <w:rsid w:val="00660387"/>
    <w:pPr>
      <w:tabs>
        <w:tab w:val="center" w:pos="4680"/>
        <w:tab w:val="right" w:pos="9360"/>
      </w:tabs>
      <w:spacing w:after="0" w:line="240" w:lineRule="auto"/>
    </w:pPr>
  </w:style>
  <w:style w:type="character" w:customStyle="1" w:styleId="FooterChar">
    <w:name w:val="Footer Char"/>
    <w:basedOn w:val="DefaultParagraphFont"/>
    <w:link w:val="Footer"/>
    <w:uiPriority w:val="99"/>
    <w:rsid w:val="00660387"/>
    <w:rPr>
      <w:lang w:val="es-PR"/>
    </w:rPr>
  </w:style>
  <w:style w:type="character" w:styleId="Hyperlink">
    <w:name w:val="Hyperlink"/>
    <w:basedOn w:val="DefaultParagraphFont"/>
    <w:uiPriority w:val="99"/>
    <w:unhideWhenUsed/>
    <w:rsid w:val="00521CF4"/>
    <w:rPr>
      <w:color w:val="467886" w:themeColor="hyperlink"/>
      <w:u w:val="single"/>
    </w:rPr>
  </w:style>
  <w:style w:type="character" w:styleId="UnresolvedMention">
    <w:name w:val="Unresolved Mention"/>
    <w:basedOn w:val="DefaultParagraphFont"/>
    <w:uiPriority w:val="99"/>
    <w:semiHidden/>
    <w:unhideWhenUsed/>
    <w:rsid w:val="00521CF4"/>
    <w:rPr>
      <w:color w:val="605E5C"/>
      <w:shd w:val="clear" w:color="auto" w:fill="E1DFDD"/>
    </w:rPr>
  </w:style>
  <w:style w:type="paragraph" w:customStyle="1" w:styleId="Normal1">
    <w:name w:val="Normal_1"/>
    <w:qFormat/>
    <w:rsid w:val="00C96E42"/>
    <w:pPr>
      <w:spacing w:after="0" w:line="240" w:lineRule="auto"/>
    </w:pPr>
    <w:rPr>
      <w:rFonts w:ascii="Times New Roman" w:eastAsia="Times New Roman" w:hAnsi="Times New Roman" w:cs="Times New Roman"/>
      <w:kern w:val="0"/>
      <w14:ligatures w14:val="none"/>
    </w:rPr>
  </w:style>
  <w:style w:type="paragraph" w:customStyle="1" w:styleId="Body">
    <w:name w:val="Body"/>
    <w:rsid w:val="000B793B"/>
    <w:pPr>
      <w:pBdr>
        <w:top w:val="nil"/>
        <w:left w:val="nil"/>
        <w:bottom w:val="nil"/>
        <w:right w:val="nil"/>
        <w:between w:val="nil"/>
        <w:bar w:val="nil"/>
      </w:pBdr>
      <w:spacing w:line="259" w:lineRule="auto"/>
    </w:pPr>
    <w:rPr>
      <w:rFonts w:ascii="Calibri" w:eastAsia="Calibri" w:hAnsi="Calibri" w:cs="Calibri"/>
      <w:color w:val="000000"/>
      <w:kern w:val="0"/>
      <w:sz w:val="22"/>
      <w:szCs w:val="22"/>
      <w:u w:color="000000"/>
      <w:bdr w:val="nil"/>
      <w:lang w:val="es-ES_tradnl" w:eastAsia="es-PR"/>
      <w14:ligatures w14:val="none"/>
    </w:rPr>
  </w:style>
  <w:style w:type="paragraph" w:styleId="EndnoteText">
    <w:name w:val="endnote text"/>
    <w:basedOn w:val="Normal"/>
    <w:link w:val="EndnoteTextChar"/>
    <w:uiPriority w:val="99"/>
    <w:semiHidden/>
    <w:unhideWhenUsed/>
    <w:rsid w:val="0064047B"/>
    <w:pPr>
      <w:spacing w:after="0" w:line="240" w:lineRule="auto"/>
    </w:pPr>
    <w:rPr>
      <w:sz w:val="20"/>
      <w:szCs w:val="20"/>
    </w:rPr>
  </w:style>
  <w:style w:type="character" w:customStyle="1" w:styleId="EndnoteTextChar">
    <w:name w:val="Endnote Text Char"/>
    <w:basedOn w:val="DefaultParagraphFont"/>
    <w:link w:val="EndnoteText"/>
    <w:uiPriority w:val="99"/>
    <w:semiHidden/>
    <w:rsid w:val="0064047B"/>
    <w:rPr>
      <w:sz w:val="20"/>
      <w:szCs w:val="20"/>
      <w:lang w:val="es-PR"/>
    </w:rPr>
  </w:style>
  <w:style w:type="character" w:styleId="EndnoteReference">
    <w:name w:val="endnote reference"/>
    <w:basedOn w:val="DefaultParagraphFont"/>
    <w:uiPriority w:val="99"/>
    <w:semiHidden/>
    <w:unhideWhenUsed/>
    <w:rsid w:val="0064047B"/>
    <w:rPr>
      <w:vertAlign w:val="superscript"/>
    </w:rPr>
  </w:style>
  <w:style w:type="paragraph" w:styleId="BodyText">
    <w:name w:val="Body Text"/>
    <w:basedOn w:val="Normal"/>
    <w:link w:val="BodyTextChar"/>
    <w:uiPriority w:val="1"/>
    <w:qFormat/>
    <w:rsid w:val="00D8123C"/>
    <w:pPr>
      <w:widowControl w:val="0"/>
      <w:autoSpaceDE w:val="0"/>
      <w:autoSpaceDN w:val="0"/>
      <w:spacing w:after="0" w:line="240" w:lineRule="auto"/>
    </w:pPr>
    <w:rPr>
      <w:rFonts w:ascii="Bookman Old Style" w:eastAsia="Bookman Old Style" w:hAnsi="Bookman Old Style" w:cs="Bookman Old Style"/>
      <w:kern w:val="0"/>
      <w:lang w:val="es-ES"/>
      <w14:ligatures w14:val="none"/>
    </w:rPr>
  </w:style>
  <w:style w:type="character" w:customStyle="1" w:styleId="BodyTextChar">
    <w:name w:val="Body Text Char"/>
    <w:basedOn w:val="DefaultParagraphFont"/>
    <w:link w:val="BodyText"/>
    <w:uiPriority w:val="1"/>
    <w:rsid w:val="00D8123C"/>
    <w:rPr>
      <w:rFonts w:ascii="Bookman Old Style" w:eastAsia="Bookman Old Style" w:hAnsi="Bookman Old Style" w:cs="Bookman Old Style"/>
      <w:kern w:val="0"/>
      <w:lang w:val="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711197">
      <w:bodyDiv w:val="1"/>
      <w:marLeft w:val="0"/>
      <w:marRight w:val="0"/>
      <w:marTop w:val="0"/>
      <w:marBottom w:val="0"/>
      <w:divBdr>
        <w:top w:val="none" w:sz="0" w:space="0" w:color="auto"/>
        <w:left w:val="none" w:sz="0" w:space="0" w:color="auto"/>
        <w:bottom w:val="none" w:sz="0" w:space="0" w:color="auto"/>
        <w:right w:val="none" w:sz="0" w:space="0" w:color="auto"/>
      </w:divBdr>
    </w:div>
    <w:div w:id="434642544">
      <w:bodyDiv w:val="1"/>
      <w:marLeft w:val="0"/>
      <w:marRight w:val="0"/>
      <w:marTop w:val="0"/>
      <w:marBottom w:val="0"/>
      <w:divBdr>
        <w:top w:val="none" w:sz="0" w:space="0" w:color="auto"/>
        <w:left w:val="none" w:sz="0" w:space="0" w:color="auto"/>
        <w:bottom w:val="none" w:sz="0" w:space="0" w:color="auto"/>
        <w:right w:val="none" w:sz="0" w:space="0" w:color="auto"/>
      </w:divBdr>
    </w:div>
    <w:div w:id="545412409">
      <w:bodyDiv w:val="1"/>
      <w:marLeft w:val="0"/>
      <w:marRight w:val="0"/>
      <w:marTop w:val="0"/>
      <w:marBottom w:val="0"/>
      <w:divBdr>
        <w:top w:val="none" w:sz="0" w:space="0" w:color="auto"/>
        <w:left w:val="none" w:sz="0" w:space="0" w:color="auto"/>
        <w:bottom w:val="none" w:sz="0" w:space="0" w:color="auto"/>
        <w:right w:val="none" w:sz="0" w:space="0" w:color="auto"/>
      </w:divBdr>
    </w:div>
    <w:div w:id="856311386">
      <w:bodyDiv w:val="1"/>
      <w:marLeft w:val="0"/>
      <w:marRight w:val="0"/>
      <w:marTop w:val="0"/>
      <w:marBottom w:val="0"/>
      <w:divBdr>
        <w:top w:val="none" w:sz="0" w:space="0" w:color="auto"/>
        <w:left w:val="none" w:sz="0" w:space="0" w:color="auto"/>
        <w:bottom w:val="none" w:sz="0" w:space="0" w:color="auto"/>
        <w:right w:val="none" w:sz="0" w:space="0" w:color="auto"/>
      </w:divBdr>
    </w:div>
    <w:div w:id="1107121763">
      <w:bodyDiv w:val="1"/>
      <w:marLeft w:val="0"/>
      <w:marRight w:val="0"/>
      <w:marTop w:val="0"/>
      <w:marBottom w:val="0"/>
      <w:divBdr>
        <w:top w:val="none" w:sz="0" w:space="0" w:color="auto"/>
        <w:left w:val="none" w:sz="0" w:space="0" w:color="auto"/>
        <w:bottom w:val="none" w:sz="0" w:space="0" w:color="auto"/>
        <w:right w:val="none" w:sz="0" w:space="0" w:color="auto"/>
      </w:divBdr>
    </w:div>
    <w:div w:id="1202598835">
      <w:bodyDiv w:val="1"/>
      <w:marLeft w:val="0"/>
      <w:marRight w:val="0"/>
      <w:marTop w:val="0"/>
      <w:marBottom w:val="0"/>
      <w:divBdr>
        <w:top w:val="none" w:sz="0" w:space="0" w:color="auto"/>
        <w:left w:val="none" w:sz="0" w:space="0" w:color="auto"/>
        <w:bottom w:val="none" w:sz="0" w:space="0" w:color="auto"/>
        <w:right w:val="none" w:sz="0" w:space="0" w:color="auto"/>
      </w:divBdr>
      <w:divsChild>
        <w:div w:id="72435295">
          <w:marLeft w:val="0"/>
          <w:marRight w:val="0"/>
          <w:marTop w:val="0"/>
          <w:marBottom w:val="0"/>
          <w:divBdr>
            <w:top w:val="none" w:sz="0" w:space="0" w:color="auto"/>
            <w:left w:val="none" w:sz="0" w:space="0" w:color="auto"/>
            <w:bottom w:val="none" w:sz="0" w:space="0" w:color="auto"/>
            <w:right w:val="none" w:sz="0" w:space="0" w:color="auto"/>
          </w:divBdr>
        </w:div>
      </w:divsChild>
    </w:div>
    <w:div w:id="1288926191">
      <w:bodyDiv w:val="1"/>
      <w:marLeft w:val="0"/>
      <w:marRight w:val="0"/>
      <w:marTop w:val="0"/>
      <w:marBottom w:val="0"/>
      <w:divBdr>
        <w:top w:val="none" w:sz="0" w:space="0" w:color="auto"/>
        <w:left w:val="none" w:sz="0" w:space="0" w:color="auto"/>
        <w:bottom w:val="none" w:sz="0" w:space="0" w:color="auto"/>
        <w:right w:val="none" w:sz="0" w:space="0" w:color="auto"/>
      </w:divBdr>
      <w:divsChild>
        <w:div w:id="1021051519">
          <w:marLeft w:val="0"/>
          <w:marRight w:val="0"/>
          <w:marTop w:val="0"/>
          <w:marBottom w:val="0"/>
          <w:divBdr>
            <w:top w:val="none" w:sz="0" w:space="0" w:color="auto"/>
            <w:left w:val="none" w:sz="0" w:space="0" w:color="auto"/>
            <w:bottom w:val="none" w:sz="0" w:space="0" w:color="auto"/>
            <w:right w:val="none" w:sz="0" w:space="0" w:color="auto"/>
          </w:divBdr>
        </w:div>
      </w:divsChild>
    </w:div>
    <w:div w:id="1296837861">
      <w:bodyDiv w:val="1"/>
      <w:marLeft w:val="0"/>
      <w:marRight w:val="0"/>
      <w:marTop w:val="0"/>
      <w:marBottom w:val="0"/>
      <w:divBdr>
        <w:top w:val="none" w:sz="0" w:space="0" w:color="auto"/>
        <w:left w:val="none" w:sz="0" w:space="0" w:color="auto"/>
        <w:bottom w:val="none" w:sz="0" w:space="0" w:color="auto"/>
        <w:right w:val="none" w:sz="0" w:space="0" w:color="auto"/>
      </w:divBdr>
    </w:div>
    <w:div w:id="1620718845">
      <w:bodyDiv w:val="1"/>
      <w:marLeft w:val="0"/>
      <w:marRight w:val="0"/>
      <w:marTop w:val="0"/>
      <w:marBottom w:val="0"/>
      <w:divBdr>
        <w:top w:val="none" w:sz="0" w:space="0" w:color="auto"/>
        <w:left w:val="none" w:sz="0" w:space="0" w:color="auto"/>
        <w:bottom w:val="none" w:sz="0" w:space="0" w:color="auto"/>
        <w:right w:val="none" w:sz="0" w:space="0" w:color="auto"/>
      </w:divBdr>
    </w:div>
    <w:div w:id="1668095130">
      <w:bodyDiv w:val="1"/>
      <w:marLeft w:val="0"/>
      <w:marRight w:val="0"/>
      <w:marTop w:val="0"/>
      <w:marBottom w:val="0"/>
      <w:divBdr>
        <w:top w:val="none" w:sz="0" w:space="0" w:color="auto"/>
        <w:left w:val="none" w:sz="0" w:space="0" w:color="auto"/>
        <w:bottom w:val="none" w:sz="0" w:space="0" w:color="auto"/>
        <w:right w:val="none" w:sz="0" w:space="0" w:color="auto"/>
      </w:divBdr>
    </w:div>
    <w:div w:id="1893887845">
      <w:bodyDiv w:val="1"/>
      <w:marLeft w:val="0"/>
      <w:marRight w:val="0"/>
      <w:marTop w:val="0"/>
      <w:marBottom w:val="0"/>
      <w:divBdr>
        <w:top w:val="none" w:sz="0" w:space="0" w:color="auto"/>
        <w:left w:val="none" w:sz="0" w:space="0" w:color="auto"/>
        <w:bottom w:val="none" w:sz="0" w:space="0" w:color="auto"/>
        <w:right w:val="none" w:sz="0" w:space="0" w:color="auto"/>
      </w:divBdr>
    </w:div>
    <w:div w:id="2013412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430ff082-7be9-46c9-8b5c-63c967f66c1f" xsi:nil="true"/>
    <lcf76f155ced4ddcb4097134ff3c332f xmlns="9c17e7af-3bbc-4db8-8428-848df389c307">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31C0761637D684EABBCE64BDDA1E45F" ma:contentTypeVersion="10" ma:contentTypeDescription="Create a new document." ma:contentTypeScope="" ma:versionID="9484cdd10eef6821e7a2116adad4312d">
  <xsd:schema xmlns:xsd="http://www.w3.org/2001/XMLSchema" xmlns:xs="http://www.w3.org/2001/XMLSchema" xmlns:p="http://schemas.microsoft.com/office/2006/metadata/properties" xmlns:ns2="9c17e7af-3bbc-4db8-8428-848df389c307" xmlns:ns3="430ff082-7be9-46c9-8b5c-63c967f66c1f" targetNamespace="http://schemas.microsoft.com/office/2006/metadata/properties" ma:root="true" ma:fieldsID="c7ec3bc38ad9f4e43066aab6f090bf11" ns2:_="" ns3:_="">
    <xsd:import namespace="9c17e7af-3bbc-4db8-8428-848df389c307"/>
    <xsd:import namespace="430ff082-7be9-46c9-8b5c-63c967f66c1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17e7af-3bbc-4db8-8428-848df389c3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910416cf-4885-47a5-b430-e273a10f9858"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30ff082-7be9-46c9-8b5c-63c967f66c1f"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a0697467-90d9-45ad-b12f-3190e49ae699}" ma:internalName="TaxCatchAll" ma:showField="CatchAllData" ma:web="430ff082-7be9-46c9-8b5c-63c967f66c1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33CB97-A7F1-48F0-A648-7AB102B21CA6}">
  <ds:schemaRefs>
    <ds:schemaRef ds:uri="http://schemas.microsoft.com/sharepoint/v3/contenttype/forms"/>
  </ds:schemaRefs>
</ds:datastoreItem>
</file>

<file path=customXml/itemProps2.xml><?xml version="1.0" encoding="utf-8"?>
<ds:datastoreItem xmlns:ds="http://schemas.openxmlformats.org/officeDocument/2006/customXml" ds:itemID="{BCA9C0DA-6C4C-4FFD-98EB-EC2CE534D2A0}">
  <ds:schemaRefs>
    <ds:schemaRef ds:uri="http://schemas.microsoft.com/office/2006/metadata/properties"/>
    <ds:schemaRef ds:uri="http://schemas.microsoft.com/office/infopath/2007/PartnerControls"/>
    <ds:schemaRef ds:uri="430ff082-7be9-46c9-8b5c-63c967f66c1f"/>
    <ds:schemaRef ds:uri="9c17e7af-3bbc-4db8-8428-848df389c307"/>
  </ds:schemaRefs>
</ds:datastoreItem>
</file>

<file path=customXml/itemProps3.xml><?xml version="1.0" encoding="utf-8"?>
<ds:datastoreItem xmlns:ds="http://schemas.openxmlformats.org/officeDocument/2006/customXml" ds:itemID="{2811D792-B1F6-4AF6-AFA1-F461B3C68F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17e7af-3bbc-4db8-8428-848df389c307"/>
    <ds:schemaRef ds:uri="430ff082-7be9-46c9-8b5c-63c967f66c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42560DF-0C18-4221-A883-15B860F19C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1796</Words>
  <Characters>10243</Characters>
  <Application>Microsoft Office Word</Application>
  <DocSecurity>4</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Sergio L. Flores Cruz (Com. Innovación)</dc:creator>
  <cp:keywords/>
  <dc:description/>
  <cp:lastModifiedBy>Camyl Moreno Pantojas</cp:lastModifiedBy>
  <cp:revision>2</cp:revision>
  <cp:lastPrinted>2025-06-02T20:50:00Z</cp:lastPrinted>
  <dcterms:created xsi:type="dcterms:W3CDTF">2026-05-15T21:14:00Z</dcterms:created>
  <dcterms:modified xsi:type="dcterms:W3CDTF">2026-05-15T21:14:00Z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f9d7f02d-c890-4eef-a656-ff8449be6a92</vt:lpwstr>
  </property>
  <property fmtid="{D5CDD505-2E9C-101B-9397-08002B2CF9AE}" pid="3" name="ContentTypeId">
    <vt:lpwstr>0x010100831C0761637D684EABBCE64BDDA1E45F</vt:lpwstr>
  </property>
  <property fmtid="{D5CDD505-2E9C-101B-9397-08002B2CF9AE}" pid="4" name="_dlc_DocIdItemGuid">
    <vt:lpwstr>6319fc7a-f0fa-40b0-a5d1-e4d79c926ed2</vt:lpwstr>
  </property>
  <property fmtid="{D5CDD505-2E9C-101B-9397-08002B2CF9AE}" pid="5" name="MediaServiceImageTags">
    <vt:lpwstr/>
  </property>
</Properties>
</file>