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93F65" w14:textId="77777777" w:rsidR="00D454DC" w:rsidRPr="00663441" w:rsidRDefault="0017274A" w:rsidP="004C28DA">
      <w:pPr>
        <w:tabs>
          <w:tab w:val="right" w:pos="709"/>
        </w:tabs>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   </w:t>
      </w:r>
      <w:r w:rsidR="00D454DC" w:rsidRPr="00663441">
        <w:rPr>
          <w:rFonts w:ascii="Book Antiqua" w:hAnsi="Book Antiqua"/>
          <w:b/>
          <w:sz w:val="28"/>
          <w:szCs w:val="28"/>
          <w:lang w:val="es-ES"/>
        </w:rPr>
        <w:t>GOBIERNO DE PUERTO RICO</w:t>
      </w:r>
    </w:p>
    <w:p w14:paraId="2E31CF7F" w14:textId="704751D8" w:rsidR="00D454DC" w:rsidRPr="00663441" w:rsidRDefault="004A3F41" w:rsidP="004C28DA">
      <w:pPr>
        <w:suppressLineNumbers/>
        <w:tabs>
          <w:tab w:val="left" w:pos="7560"/>
        </w:tabs>
        <w:spacing w:line="276" w:lineRule="auto"/>
        <w:jc w:val="both"/>
        <w:rPr>
          <w:rFonts w:ascii="Book Antiqua" w:hAnsi="Book Antiqua"/>
          <w:szCs w:val="24"/>
          <w:lang w:val="es-ES"/>
        </w:rPr>
      </w:pPr>
      <w:r>
        <w:rPr>
          <w:rFonts w:ascii="Book Antiqua" w:hAnsi="Book Antiqua"/>
          <w:szCs w:val="24"/>
          <w:lang w:val="es-ES"/>
        </w:rPr>
        <w:t>20</w:t>
      </w:r>
      <w:r>
        <w:rPr>
          <w:rFonts w:ascii="Book Antiqua" w:hAnsi="Book Antiqua"/>
          <w:szCs w:val="24"/>
          <w:vertAlign w:val="superscript"/>
          <w:lang w:val="es-ES"/>
        </w:rPr>
        <w:t>m</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Asamblea</w:t>
      </w:r>
      <w:r w:rsidR="00D454DC" w:rsidRPr="00663441">
        <w:rPr>
          <w:rFonts w:ascii="Book Antiqua" w:hAnsi="Book Antiqua"/>
          <w:szCs w:val="24"/>
          <w:lang w:val="es-ES"/>
        </w:rPr>
        <w:tab/>
        <w:t xml:space="preserve">    </w:t>
      </w:r>
      <w:r w:rsidR="00F077A4">
        <w:rPr>
          <w:rFonts w:ascii="Book Antiqua" w:hAnsi="Book Antiqua"/>
          <w:szCs w:val="24"/>
          <w:lang w:val="es-ES"/>
        </w:rPr>
        <w:t>2</w:t>
      </w:r>
      <w:r w:rsidR="00F077A4">
        <w:rPr>
          <w:rFonts w:ascii="Book Antiqua" w:hAnsi="Book Antiqua"/>
          <w:szCs w:val="24"/>
          <w:vertAlign w:val="superscript"/>
          <w:lang w:val="es-ES"/>
        </w:rPr>
        <w:t>d</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Sesión </w:t>
      </w:r>
    </w:p>
    <w:p w14:paraId="47F211C1" w14:textId="77777777" w:rsidR="00D454DC" w:rsidRPr="00663441" w:rsidRDefault="00D454DC" w:rsidP="004C28DA">
      <w:pPr>
        <w:spacing w:line="276" w:lineRule="auto"/>
        <w:rPr>
          <w:rFonts w:ascii="Book Antiqua" w:hAnsi="Book Antiqua"/>
          <w:b/>
          <w:szCs w:val="24"/>
          <w:lang w:val="es-ES"/>
        </w:rPr>
      </w:pPr>
      <w:r w:rsidRPr="00663441">
        <w:rPr>
          <w:rFonts w:ascii="Book Antiqua" w:hAnsi="Book Antiqua"/>
          <w:szCs w:val="24"/>
          <w:lang w:val="es-ES"/>
        </w:rPr>
        <w:t xml:space="preserve">       Legislativa</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t xml:space="preserve">   Ordinaria</w:t>
      </w:r>
    </w:p>
    <w:p w14:paraId="2C9FF20E" w14:textId="77777777" w:rsidR="00D454DC" w:rsidRPr="00663441" w:rsidRDefault="00D454DC" w:rsidP="004C28DA">
      <w:pPr>
        <w:spacing w:line="276" w:lineRule="auto"/>
        <w:jc w:val="center"/>
        <w:rPr>
          <w:rFonts w:ascii="Book Antiqua" w:hAnsi="Book Antiqua"/>
          <w:b/>
          <w:sz w:val="36"/>
          <w:szCs w:val="36"/>
          <w:lang w:val="es-ES"/>
        </w:rPr>
      </w:pPr>
    </w:p>
    <w:p w14:paraId="0F15CDDE" w14:textId="77777777" w:rsidR="00D454DC" w:rsidRPr="00663441" w:rsidRDefault="00D454DC" w:rsidP="004C28DA">
      <w:pPr>
        <w:spacing w:line="276" w:lineRule="auto"/>
        <w:jc w:val="center"/>
        <w:rPr>
          <w:rFonts w:ascii="Book Antiqua" w:hAnsi="Book Antiqua"/>
          <w:b/>
          <w:sz w:val="36"/>
          <w:szCs w:val="36"/>
          <w:lang w:val="es-ES"/>
        </w:rPr>
      </w:pPr>
      <w:r w:rsidRPr="00663441">
        <w:rPr>
          <w:rFonts w:ascii="Book Antiqua" w:hAnsi="Book Antiqua"/>
          <w:b/>
          <w:sz w:val="36"/>
          <w:szCs w:val="36"/>
          <w:lang w:val="es-ES"/>
        </w:rPr>
        <w:t>SENADO DE PUERTO RICO</w:t>
      </w:r>
    </w:p>
    <w:p w14:paraId="52877BC3" w14:textId="40F4D2A0" w:rsidR="00D454DC" w:rsidRPr="00663441" w:rsidRDefault="00BD2D76" w:rsidP="004C28DA">
      <w:pPr>
        <w:spacing w:line="276" w:lineRule="auto"/>
        <w:jc w:val="center"/>
        <w:rPr>
          <w:rFonts w:ascii="Book Antiqua" w:hAnsi="Book Antiqua"/>
          <w:b/>
          <w:sz w:val="52"/>
          <w:szCs w:val="52"/>
          <w:lang w:val="es-ES"/>
        </w:rPr>
      </w:pPr>
      <w:r>
        <w:rPr>
          <w:rFonts w:ascii="Book Antiqua" w:hAnsi="Book Antiqua"/>
          <w:b/>
          <w:sz w:val="52"/>
          <w:szCs w:val="52"/>
          <w:lang w:val="es-ES"/>
        </w:rPr>
        <w:t>P.</w:t>
      </w:r>
      <w:r w:rsidR="00A861F0" w:rsidRPr="00663441">
        <w:rPr>
          <w:rFonts w:ascii="Book Antiqua" w:hAnsi="Book Antiqua"/>
          <w:b/>
          <w:sz w:val="52"/>
          <w:szCs w:val="52"/>
          <w:lang w:val="es-ES"/>
        </w:rPr>
        <w:t xml:space="preserve"> </w:t>
      </w:r>
      <w:r w:rsidR="00811D5C" w:rsidRPr="00663441">
        <w:rPr>
          <w:rFonts w:ascii="Book Antiqua" w:hAnsi="Book Antiqua"/>
          <w:b/>
          <w:sz w:val="52"/>
          <w:szCs w:val="52"/>
          <w:lang w:val="es-ES"/>
        </w:rPr>
        <w:t>de</w:t>
      </w:r>
      <w:r w:rsidR="00A46BB2">
        <w:rPr>
          <w:rFonts w:ascii="Book Antiqua" w:hAnsi="Book Antiqua"/>
          <w:b/>
          <w:sz w:val="52"/>
          <w:szCs w:val="52"/>
          <w:lang w:val="es-ES"/>
        </w:rPr>
        <w:t>l</w:t>
      </w:r>
      <w:r w:rsidR="00B50CB9">
        <w:rPr>
          <w:rFonts w:ascii="Book Antiqua" w:hAnsi="Book Antiqua"/>
          <w:b/>
          <w:sz w:val="52"/>
          <w:szCs w:val="52"/>
          <w:lang w:val="es-ES"/>
        </w:rPr>
        <w:t xml:space="preserve"> </w:t>
      </w:r>
      <w:r w:rsidR="00A46BB2">
        <w:rPr>
          <w:rFonts w:ascii="Book Antiqua" w:hAnsi="Book Antiqua"/>
          <w:b/>
          <w:sz w:val="52"/>
          <w:szCs w:val="52"/>
          <w:lang w:val="es-ES"/>
        </w:rPr>
        <w:t>S</w:t>
      </w:r>
      <w:r w:rsidR="00B50CB9">
        <w:rPr>
          <w:rFonts w:ascii="Book Antiqua" w:hAnsi="Book Antiqua"/>
          <w:b/>
          <w:sz w:val="52"/>
          <w:szCs w:val="52"/>
          <w:lang w:val="es-ES"/>
        </w:rPr>
        <w:t xml:space="preserve">. </w:t>
      </w:r>
      <w:r w:rsidR="005672F0">
        <w:rPr>
          <w:rFonts w:ascii="Book Antiqua" w:hAnsi="Book Antiqua"/>
          <w:b/>
          <w:sz w:val="52"/>
          <w:szCs w:val="52"/>
          <w:lang w:val="es-ES"/>
        </w:rPr>
        <w:t>769</w:t>
      </w:r>
    </w:p>
    <w:p w14:paraId="32A3D7EF" w14:textId="22014583" w:rsidR="00D454DC" w:rsidRPr="00663441" w:rsidRDefault="00D454DC" w:rsidP="004C28DA">
      <w:pPr>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INFORME </w:t>
      </w:r>
      <w:r w:rsidR="00EB57F5" w:rsidRPr="00663441">
        <w:rPr>
          <w:rFonts w:ascii="Book Antiqua" w:hAnsi="Book Antiqua"/>
          <w:b/>
          <w:sz w:val="28"/>
          <w:szCs w:val="28"/>
          <w:lang w:val="es-ES"/>
        </w:rPr>
        <w:t>POSITIVO</w:t>
      </w:r>
    </w:p>
    <w:p w14:paraId="529FBB79" w14:textId="77777777" w:rsidR="00E35D29" w:rsidRPr="00663441" w:rsidRDefault="00E35D29" w:rsidP="004C28DA">
      <w:pPr>
        <w:spacing w:line="276" w:lineRule="auto"/>
        <w:jc w:val="center"/>
        <w:rPr>
          <w:rFonts w:ascii="Book Antiqua" w:hAnsi="Book Antiqua"/>
          <w:b/>
          <w:sz w:val="28"/>
          <w:szCs w:val="28"/>
          <w:lang w:val="es-ES"/>
        </w:rPr>
      </w:pPr>
    </w:p>
    <w:p w14:paraId="54E7EE04" w14:textId="4851E73A" w:rsidR="00D454DC" w:rsidRPr="00663441" w:rsidRDefault="004223DC" w:rsidP="004C28DA">
      <w:pPr>
        <w:spacing w:line="276" w:lineRule="auto"/>
        <w:jc w:val="center"/>
        <w:rPr>
          <w:rFonts w:ascii="Book Antiqua" w:hAnsi="Book Antiqua"/>
          <w:szCs w:val="24"/>
          <w:lang w:val="es-ES"/>
        </w:rPr>
      </w:pPr>
      <w:r>
        <w:rPr>
          <w:rFonts w:ascii="Book Antiqua" w:hAnsi="Book Antiqua"/>
          <w:szCs w:val="24"/>
          <w:lang w:val="es-ES"/>
        </w:rPr>
        <w:t>12</w:t>
      </w:r>
      <w:r w:rsidR="003D5BAA" w:rsidRPr="00663441">
        <w:rPr>
          <w:rFonts w:ascii="Book Antiqua" w:hAnsi="Book Antiqua"/>
          <w:szCs w:val="24"/>
          <w:lang w:val="es-ES"/>
        </w:rPr>
        <w:t xml:space="preserve"> </w:t>
      </w:r>
      <w:r w:rsidR="004D1A9B" w:rsidRPr="00663441">
        <w:rPr>
          <w:rFonts w:ascii="Book Antiqua" w:hAnsi="Book Antiqua"/>
          <w:szCs w:val="24"/>
          <w:lang w:val="es-ES"/>
        </w:rPr>
        <w:t xml:space="preserve">de </w:t>
      </w:r>
      <w:r w:rsidR="005672F0">
        <w:rPr>
          <w:rFonts w:ascii="Book Antiqua" w:hAnsi="Book Antiqua"/>
          <w:szCs w:val="24"/>
          <w:lang w:val="es-ES"/>
        </w:rPr>
        <w:t>noviembre</w:t>
      </w:r>
      <w:r w:rsidR="00D454DC" w:rsidRPr="00663441">
        <w:rPr>
          <w:rFonts w:ascii="Book Antiqua" w:hAnsi="Book Antiqua"/>
          <w:szCs w:val="24"/>
          <w:lang w:val="es-ES"/>
        </w:rPr>
        <w:t xml:space="preserve"> de 202</w:t>
      </w:r>
      <w:r w:rsidR="00A861F0" w:rsidRPr="00663441">
        <w:rPr>
          <w:rFonts w:ascii="Book Antiqua" w:hAnsi="Book Antiqua"/>
          <w:szCs w:val="24"/>
          <w:lang w:val="es-ES"/>
        </w:rPr>
        <w:t>5</w:t>
      </w:r>
    </w:p>
    <w:p w14:paraId="60A30038" w14:textId="77777777" w:rsidR="00D454DC" w:rsidRDefault="00D454DC" w:rsidP="004C28DA">
      <w:pPr>
        <w:spacing w:line="276" w:lineRule="auto"/>
        <w:rPr>
          <w:rFonts w:ascii="Book Antiqua" w:hAnsi="Book Antiqua"/>
          <w:b/>
          <w:szCs w:val="24"/>
          <w:lang w:val="es-ES"/>
        </w:rPr>
      </w:pPr>
    </w:p>
    <w:p w14:paraId="6A5D204A" w14:textId="77777777" w:rsidR="00961DAA" w:rsidRPr="00663441" w:rsidRDefault="00961DAA" w:rsidP="004C28DA">
      <w:pPr>
        <w:spacing w:line="276" w:lineRule="auto"/>
        <w:rPr>
          <w:rFonts w:ascii="Book Antiqua" w:hAnsi="Book Antiqua"/>
          <w:b/>
          <w:szCs w:val="24"/>
          <w:lang w:val="es-ES"/>
        </w:rPr>
      </w:pPr>
    </w:p>
    <w:p w14:paraId="684C4C58" w14:textId="77777777" w:rsidR="00D454DC" w:rsidRPr="00663441" w:rsidRDefault="00D454DC" w:rsidP="006947D2">
      <w:pPr>
        <w:spacing w:line="276" w:lineRule="auto"/>
        <w:rPr>
          <w:rFonts w:ascii="Book Antiqua" w:hAnsi="Book Antiqua"/>
          <w:b/>
          <w:szCs w:val="24"/>
          <w:lang w:val="es-ES"/>
        </w:rPr>
      </w:pPr>
      <w:r w:rsidRPr="00663441">
        <w:rPr>
          <w:rFonts w:ascii="Book Antiqua" w:hAnsi="Book Antiqua"/>
          <w:b/>
          <w:szCs w:val="24"/>
          <w:lang w:val="es-ES"/>
        </w:rPr>
        <w:t>AL SENADO DE PUERTO RICO:</w:t>
      </w:r>
    </w:p>
    <w:p w14:paraId="5219AA4D" w14:textId="11AC9F1C" w:rsidR="00D454DC" w:rsidRPr="00663441" w:rsidRDefault="00961DAA" w:rsidP="006947D2">
      <w:pPr>
        <w:spacing w:line="276" w:lineRule="auto"/>
        <w:rPr>
          <w:rFonts w:ascii="Book Antiqua" w:hAnsi="Book Antiqua"/>
          <w:szCs w:val="24"/>
          <w:lang w:val="es-ES"/>
        </w:rPr>
      </w:pPr>
      <w:r>
        <w:rPr>
          <w:rFonts w:ascii="Book Antiqua" w:hAnsi="Book Antiqua"/>
          <w:szCs w:val="24"/>
          <w:lang w:val="es-ES"/>
        </w:rPr>
        <w:br/>
      </w:r>
    </w:p>
    <w:p w14:paraId="545360D7" w14:textId="334D1E88" w:rsidR="00D454DC" w:rsidRDefault="00D454DC" w:rsidP="00961DAA">
      <w:pPr>
        <w:spacing w:before="120" w:after="120" w:line="276" w:lineRule="auto"/>
        <w:ind w:firstLine="720"/>
        <w:jc w:val="both"/>
        <w:rPr>
          <w:rFonts w:ascii="Book Antiqua" w:hAnsi="Book Antiqua"/>
          <w:szCs w:val="24"/>
          <w:lang w:val="es-ES"/>
        </w:rPr>
      </w:pPr>
      <w:r w:rsidRPr="00663441">
        <w:rPr>
          <w:rFonts w:ascii="Book Antiqua" w:hAnsi="Book Antiqua"/>
          <w:szCs w:val="24"/>
          <w:lang w:val="es-ES"/>
        </w:rPr>
        <w:t xml:space="preserve">La </w:t>
      </w:r>
      <w:r w:rsidR="008F4F3E" w:rsidRPr="00663441">
        <w:rPr>
          <w:rFonts w:ascii="Book Antiqua" w:hAnsi="Book Antiqua"/>
          <w:szCs w:val="24"/>
          <w:lang w:val="es-ES"/>
        </w:rPr>
        <w:t>Comisión</w:t>
      </w:r>
      <w:r w:rsidRPr="00663441">
        <w:rPr>
          <w:rFonts w:ascii="Book Antiqua" w:hAnsi="Book Antiqua"/>
          <w:szCs w:val="24"/>
          <w:lang w:val="es-ES"/>
        </w:rPr>
        <w:t xml:space="preserve"> de </w:t>
      </w:r>
      <w:r w:rsidR="00A861F0" w:rsidRPr="00663441">
        <w:rPr>
          <w:rFonts w:ascii="Book Antiqua" w:hAnsi="Book Antiqua"/>
          <w:szCs w:val="24"/>
          <w:lang w:val="es-ES"/>
        </w:rPr>
        <w:t>Cienci</w:t>
      </w:r>
      <w:r w:rsidR="003E3CE2" w:rsidRPr="00663441">
        <w:rPr>
          <w:rFonts w:ascii="Book Antiqua" w:hAnsi="Book Antiqua"/>
          <w:szCs w:val="24"/>
          <w:lang w:val="es-ES"/>
        </w:rPr>
        <w:t>a</w:t>
      </w:r>
      <w:r w:rsidR="00A861F0" w:rsidRPr="00663441">
        <w:rPr>
          <w:rFonts w:ascii="Book Antiqua" w:hAnsi="Book Antiqua"/>
          <w:szCs w:val="24"/>
          <w:lang w:val="es-ES"/>
        </w:rPr>
        <w:t>, Tecnología e Inteligencia Artificial</w:t>
      </w:r>
      <w:r w:rsidR="00950873" w:rsidRPr="00663441">
        <w:rPr>
          <w:rFonts w:ascii="Book Antiqua" w:hAnsi="Book Antiqua"/>
          <w:szCs w:val="24"/>
          <w:lang w:val="es-ES"/>
        </w:rPr>
        <w:t xml:space="preserve"> </w:t>
      </w:r>
      <w:r w:rsidRPr="00663441">
        <w:rPr>
          <w:rFonts w:ascii="Book Antiqua" w:hAnsi="Book Antiqua"/>
          <w:szCs w:val="24"/>
          <w:lang w:val="es-ES"/>
        </w:rPr>
        <w:t>del Senado de Puerto Rico, previo estudio y consideración de</w:t>
      </w:r>
      <w:r w:rsidR="00785FF7">
        <w:rPr>
          <w:rFonts w:ascii="Book Antiqua" w:hAnsi="Book Antiqua"/>
          <w:szCs w:val="24"/>
          <w:lang w:val="es-ES"/>
        </w:rPr>
        <w:t>l</w:t>
      </w:r>
      <w:r w:rsidRPr="00663441">
        <w:rPr>
          <w:rFonts w:ascii="Book Antiqua" w:hAnsi="Book Antiqua"/>
          <w:szCs w:val="24"/>
          <w:lang w:val="es-ES"/>
        </w:rPr>
        <w:t xml:space="preserve"> </w:t>
      </w:r>
      <w:r w:rsidR="00BD2D76">
        <w:rPr>
          <w:rFonts w:ascii="Book Antiqua" w:hAnsi="Book Antiqua"/>
          <w:b/>
          <w:szCs w:val="24"/>
          <w:lang w:val="es-ES"/>
        </w:rPr>
        <w:t>Proyecto</w:t>
      </w:r>
      <w:r w:rsidR="00A861F0" w:rsidRPr="00663441">
        <w:rPr>
          <w:rFonts w:ascii="Book Antiqua" w:hAnsi="Book Antiqua"/>
          <w:b/>
          <w:szCs w:val="24"/>
          <w:lang w:val="es-ES"/>
        </w:rPr>
        <w:t xml:space="preserve"> de</w:t>
      </w:r>
      <w:r w:rsidR="00A46BB2">
        <w:rPr>
          <w:rFonts w:ascii="Book Antiqua" w:hAnsi="Book Antiqua"/>
          <w:b/>
          <w:szCs w:val="24"/>
          <w:lang w:val="es-ES"/>
        </w:rPr>
        <w:t>l Senado</w:t>
      </w:r>
      <w:r w:rsidR="00A861F0" w:rsidRPr="00663441">
        <w:rPr>
          <w:rFonts w:ascii="Book Antiqua" w:hAnsi="Book Antiqua"/>
          <w:b/>
          <w:szCs w:val="24"/>
          <w:lang w:val="es-ES"/>
        </w:rPr>
        <w:t xml:space="preserve"> </w:t>
      </w:r>
      <w:r w:rsidR="005672F0">
        <w:rPr>
          <w:rFonts w:ascii="Book Antiqua" w:hAnsi="Book Antiqua"/>
          <w:b/>
          <w:szCs w:val="24"/>
          <w:lang w:val="es-ES"/>
        </w:rPr>
        <w:t>769</w:t>
      </w:r>
      <w:r w:rsidRPr="00663441">
        <w:rPr>
          <w:rFonts w:ascii="Book Antiqua" w:hAnsi="Book Antiqua"/>
          <w:szCs w:val="24"/>
          <w:lang w:val="es-ES"/>
        </w:rPr>
        <w:t>, recomienda a</w:t>
      </w:r>
      <w:r w:rsidR="0015414D" w:rsidRPr="00663441">
        <w:rPr>
          <w:rFonts w:ascii="Book Antiqua" w:hAnsi="Book Antiqua"/>
          <w:szCs w:val="24"/>
          <w:lang w:val="es-ES"/>
        </w:rPr>
        <w:t xml:space="preserve"> este Alto Cuerpo su aprobación</w:t>
      </w:r>
      <w:r w:rsidR="003767F3" w:rsidRPr="00663441">
        <w:rPr>
          <w:rFonts w:ascii="Book Antiqua" w:hAnsi="Book Antiqua"/>
          <w:szCs w:val="24"/>
          <w:lang w:val="es-ES"/>
        </w:rPr>
        <w:t xml:space="preserve">, </w:t>
      </w:r>
      <w:r w:rsidR="005672F0">
        <w:rPr>
          <w:rFonts w:ascii="Book Antiqua" w:hAnsi="Book Antiqua"/>
          <w:b/>
          <w:bCs/>
          <w:szCs w:val="24"/>
          <w:lang w:val="es-ES"/>
        </w:rPr>
        <w:t xml:space="preserve">con las enmiendas contenidas en el </w:t>
      </w:r>
      <w:proofErr w:type="spellStart"/>
      <w:r w:rsidR="005672F0">
        <w:rPr>
          <w:rFonts w:ascii="Book Antiqua" w:hAnsi="Book Antiqua"/>
          <w:b/>
          <w:bCs/>
          <w:szCs w:val="24"/>
          <w:lang w:val="es-ES"/>
        </w:rPr>
        <w:t>entirillado</w:t>
      </w:r>
      <w:proofErr w:type="spellEnd"/>
      <w:r w:rsidR="005672F0">
        <w:rPr>
          <w:rFonts w:ascii="Book Antiqua" w:hAnsi="Book Antiqua"/>
          <w:b/>
          <w:bCs/>
          <w:szCs w:val="24"/>
          <w:lang w:val="es-ES"/>
        </w:rPr>
        <w:t xml:space="preserve"> electrónico que se acompaña</w:t>
      </w:r>
      <w:r w:rsidR="00D47914">
        <w:rPr>
          <w:rFonts w:ascii="Book Antiqua" w:hAnsi="Book Antiqua"/>
          <w:b/>
          <w:bCs/>
          <w:szCs w:val="24"/>
          <w:lang w:val="es-ES"/>
        </w:rPr>
        <w:t>.</w:t>
      </w:r>
    </w:p>
    <w:p w14:paraId="69012E22" w14:textId="77777777" w:rsidR="00961DAA" w:rsidRPr="00663441" w:rsidRDefault="00961DAA" w:rsidP="00961DAA">
      <w:pPr>
        <w:spacing w:before="120" w:after="120" w:line="276" w:lineRule="auto"/>
        <w:ind w:firstLine="720"/>
        <w:jc w:val="both"/>
        <w:rPr>
          <w:rFonts w:ascii="Book Antiqua" w:hAnsi="Book Antiqua"/>
          <w:szCs w:val="24"/>
          <w:lang w:val="es-ES"/>
        </w:rPr>
      </w:pPr>
    </w:p>
    <w:p w14:paraId="1DB6FCD0" w14:textId="77777777" w:rsidR="00D454DC" w:rsidRPr="00663441" w:rsidRDefault="00D454DC" w:rsidP="006947D2">
      <w:pPr>
        <w:spacing w:line="276" w:lineRule="auto"/>
        <w:jc w:val="center"/>
        <w:outlineLvl w:val="0"/>
        <w:rPr>
          <w:rFonts w:ascii="Book Antiqua" w:hAnsi="Book Antiqua"/>
          <w:b/>
          <w:caps/>
          <w:szCs w:val="24"/>
          <w:lang w:val="es-ES"/>
        </w:rPr>
      </w:pPr>
      <w:r w:rsidRPr="00663441">
        <w:rPr>
          <w:rFonts w:ascii="Book Antiqua" w:hAnsi="Book Antiqua"/>
          <w:b/>
          <w:caps/>
          <w:szCs w:val="24"/>
          <w:lang w:val="es-ES"/>
        </w:rPr>
        <w:t>ALCANCE DE LA MEDIDA</w:t>
      </w:r>
    </w:p>
    <w:p w14:paraId="3F470E28" w14:textId="77777777" w:rsidR="00A861F0" w:rsidRPr="00663441" w:rsidRDefault="00A861F0" w:rsidP="006947D2">
      <w:pPr>
        <w:spacing w:line="276" w:lineRule="auto"/>
        <w:jc w:val="center"/>
        <w:outlineLvl w:val="0"/>
        <w:rPr>
          <w:rFonts w:ascii="Book Antiqua" w:hAnsi="Book Antiqua"/>
          <w:b/>
          <w:caps/>
          <w:szCs w:val="24"/>
          <w:lang w:val="es-ES"/>
        </w:rPr>
      </w:pPr>
    </w:p>
    <w:p w14:paraId="222E27D6" w14:textId="7809BE72" w:rsidR="007E1528" w:rsidRPr="005672F0" w:rsidRDefault="005672F0" w:rsidP="007E1528">
      <w:pPr>
        <w:suppressLineNumbers/>
        <w:ind w:firstLine="720"/>
        <w:jc w:val="both"/>
        <w:rPr>
          <w:rFonts w:ascii="Book Antiqua" w:hAnsi="Book Antiqua" w:cs="Arial"/>
          <w:color w:val="09090B"/>
          <w:szCs w:val="24"/>
          <w:shd w:val="clear" w:color="auto" w:fill="FFFFFF"/>
          <w:lang w:val="es-PR"/>
        </w:rPr>
      </w:pPr>
      <w:r w:rsidRPr="005672F0">
        <w:rPr>
          <w:rFonts w:ascii="Book Antiqua" w:hAnsi="Book Antiqua" w:cs="Arial"/>
          <w:szCs w:val="24"/>
          <w:shd w:val="clear" w:color="auto" w:fill="FFFFFF"/>
          <w:lang w:val="es-PR"/>
        </w:rPr>
        <w:t xml:space="preserve">Para crear la “Ley del Instituto de Desarrollo e Innovación en Inteligencia Artificial de Puerto Rico”; a los fines de establecer la política pública del Gobierno de Puerto Rico sobre el manejo proactivo y responsable del tema de la Inteligencia Artificial (IA) para fomentar el desarrollo sostenible y resiliente de nuestra economía, sociedad infraestructura e instituciones gubernamentales; convertir a Puerto Rico en un eje regional y mundial para el desarrollo y aplicación de tecnologías de Inteligencia Artificial; definir y establecer su naturaleza, propósitos, funciones, estructura de gobernanza y operación que propicien la colaboración entre el sector público, privado y académico; establecer disposiciones y principios de transparencia, ética, evaluación y rendición de cuentas en todos los procesos y etapas de desarrollo, innovación y adopción de tecnologías de Inteligencia Artificial; fomentar la integración con políticas de datos abiertos para maximizar el valor de los datos gubernamentales en proyectos de Inteligencia Artificial; crear y capitalizar el Fondo de Desarrollo e Innovación de Inteligencia Artificial de Puerto Rico; enmendar las Secciones 2023.01,2061.01 y 5010.01 de la Ley 60-2019, según enmendada, conocida como el “Código de Incentivos de Puerto </w:t>
      </w:r>
      <w:r w:rsidRPr="005672F0">
        <w:rPr>
          <w:rFonts w:ascii="Book Antiqua" w:hAnsi="Book Antiqua" w:cs="Arial"/>
          <w:szCs w:val="24"/>
          <w:shd w:val="clear" w:color="auto" w:fill="FFFFFF"/>
          <w:lang w:val="es-PR"/>
        </w:rPr>
        <w:lastRenderedPageBreak/>
        <w:t>Rico”; enmendar el 6 de la Ley 75-2019, según enmendada, conocida como la “Ley de la Puerto Rico Innovation and Technology Service”; enmendar el Artículo 2 de la Ley 13-2017, según enmendada, conocida como la “Ley para Autorizar la Creación de una Corporación sin Fines de Lucro la cual Adoptará el Concepto Enterprise Puerto Rico”; enmendar el Artículo 3 de la Ley 214-2004, según enmendada, conocida como la “Ley del Fideicomiso para Ciencia, Tecnología e Investigación de Puerto Rico”; y para otros fines relacionados.</w:t>
      </w:r>
    </w:p>
    <w:p w14:paraId="6F5219AC" w14:textId="77777777" w:rsidR="007E1528" w:rsidRPr="0002522C" w:rsidRDefault="007E1528" w:rsidP="007E1528">
      <w:pPr>
        <w:suppressLineNumbers/>
        <w:ind w:firstLine="720"/>
        <w:jc w:val="both"/>
        <w:rPr>
          <w:rFonts w:ascii="Book Antiqua" w:hAnsi="Book Antiqua"/>
          <w:b/>
          <w:szCs w:val="24"/>
          <w:lang w:val="es-PR"/>
        </w:rPr>
      </w:pPr>
    </w:p>
    <w:p w14:paraId="2DA0EAFE" w14:textId="08BD10FD" w:rsidR="0027076F" w:rsidRDefault="00D454DC" w:rsidP="00AC51F9">
      <w:pPr>
        <w:spacing w:line="276" w:lineRule="auto"/>
        <w:ind w:firstLine="360"/>
        <w:jc w:val="center"/>
        <w:rPr>
          <w:rFonts w:ascii="Book Antiqua" w:hAnsi="Book Antiqua"/>
          <w:b/>
          <w:szCs w:val="24"/>
          <w:lang w:val="es-ES"/>
        </w:rPr>
      </w:pPr>
      <w:r w:rsidRPr="00663441">
        <w:rPr>
          <w:rFonts w:ascii="Book Antiqua" w:hAnsi="Book Antiqua"/>
          <w:b/>
          <w:szCs w:val="24"/>
          <w:lang w:val="es-ES"/>
        </w:rPr>
        <w:t>INTRODUCCIÓN</w:t>
      </w:r>
    </w:p>
    <w:p w14:paraId="55354745" w14:textId="77777777" w:rsidR="005672F0" w:rsidRPr="00663441" w:rsidRDefault="005672F0" w:rsidP="00AC51F9">
      <w:pPr>
        <w:spacing w:line="276" w:lineRule="auto"/>
        <w:ind w:firstLine="360"/>
        <w:jc w:val="center"/>
        <w:rPr>
          <w:rFonts w:ascii="Book Antiqua" w:hAnsi="Book Antiqua"/>
          <w:b/>
          <w:szCs w:val="24"/>
          <w:lang w:val="es-ES"/>
        </w:rPr>
      </w:pPr>
    </w:p>
    <w:p w14:paraId="1AB99105" w14:textId="72FFDF93" w:rsidR="00617D62" w:rsidRPr="004223DC" w:rsidRDefault="00A0159D" w:rsidP="00617D62">
      <w:pPr>
        <w:pStyle w:val="NormalWeb"/>
        <w:ind w:firstLine="720"/>
        <w:jc w:val="both"/>
        <w:rPr>
          <w:rFonts w:ascii="Book Antiqua" w:eastAsia="Times New Roman" w:hAnsi="Book Antiqua"/>
          <w:color w:val="000000"/>
          <w:lang w:val="es-PR"/>
        </w:rPr>
      </w:pPr>
      <w:r w:rsidRPr="005672F0">
        <w:rPr>
          <w:rFonts w:ascii="Book Antiqua" w:hAnsi="Book Antiqua"/>
          <w:color w:val="000000"/>
          <w:lang w:val="es-PR"/>
        </w:rPr>
        <w:t>La Comisión de Ciencia, Tecnología e Inteligencia Artificial del Senado de Puerto Rico ha evaluado el Proyecto de</w:t>
      </w:r>
      <w:r w:rsidR="007E1528" w:rsidRPr="005672F0">
        <w:rPr>
          <w:rFonts w:ascii="Book Antiqua" w:hAnsi="Book Antiqua"/>
          <w:color w:val="000000"/>
          <w:lang w:val="es-PR"/>
        </w:rPr>
        <w:t xml:space="preserve">l Senado </w:t>
      </w:r>
      <w:r w:rsidR="005672F0" w:rsidRPr="005672F0">
        <w:rPr>
          <w:rFonts w:ascii="Book Antiqua" w:hAnsi="Book Antiqua"/>
          <w:color w:val="000000"/>
          <w:lang w:val="es-PR"/>
        </w:rPr>
        <w:t>769</w:t>
      </w:r>
      <w:r w:rsidRPr="005672F0">
        <w:rPr>
          <w:rFonts w:ascii="Book Antiqua" w:hAnsi="Book Antiqua"/>
          <w:color w:val="000000"/>
          <w:lang w:val="es-PR"/>
        </w:rPr>
        <w:t xml:space="preserve">, el cual </w:t>
      </w:r>
      <w:r w:rsidR="007E1528" w:rsidRPr="005672F0">
        <w:rPr>
          <w:rFonts w:ascii="Book Antiqua" w:hAnsi="Book Antiqua"/>
          <w:color w:val="000000"/>
          <w:lang w:val="es-PR"/>
        </w:rPr>
        <w:t xml:space="preserve">propone </w:t>
      </w:r>
      <w:r w:rsidR="005672F0" w:rsidRPr="004223DC">
        <w:rPr>
          <w:rFonts w:ascii="Book Antiqua" w:eastAsia="Times New Roman" w:hAnsi="Book Antiqua"/>
          <w:color w:val="000000"/>
          <w:lang w:val="es-PR"/>
        </w:rPr>
        <w:t>la creación de la “Ley del Instituto de Desarrollo e Innovación en Inteligencia Artificial de Puerto Rico”, con el fin de establecer una política pública integral que promueva el desarrollo responsable, ético y sostenible de la inteligencia artificial en los sectores público</w:t>
      </w:r>
      <w:r w:rsidR="00617D62" w:rsidRPr="004223DC">
        <w:rPr>
          <w:rFonts w:ascii="Book Antiqua" w:eastAsia="Times New Roman" w:hAnsi="Book Antiqua"/>
          <w:color w:val="000000"/>
          <w:lang w:val="es-PR"/>
        </w:rPr>
        <w:t>s</w:t>
      </w:r>
      <w:r w:rsidR="005672F0" w:rsidRPr="004223DC">
        <w:rPr>
          <w:rFonts w:ascii="Book Antiqua" w:eastAsia="Times New Roman" w:hAnsi="Book Antiqua"/>
          <w:color w:val="000000"/>
          <w:lang w:val="es-PR"/>
        </w:rPr>
        <w:t>, privado</w:t>
      </w:r>
      <w:r w:rsidR="00617D62" w:rsidRPr="004223DC">
        <w:rPr>
          <w:rFonts w:ascii="Book Antiqua" w:eastAsia="Times New Roman" w:hAnsi="Book Antiqua"/>
          <w:color w:val="000000"/>
          <w:lang w:val="es-PR"/>
        </w:rPr>
        <w:t>s</w:t>
      </w:r>
      <w:r w:rsidR="005672F0" w:rsidRPr="004223DC">
        <w:rPr>
          <w:rFonts w:ascii="Book Antiqua" w:eastAsia="Times New Roman" w:hAnsi="Book Antiqua"/>
          <w:color w:val="000000"/>
          <w:lang w:val="es-PR"/>
        </w:rPr>
        <w:t xml:space="preserve"> y académico</w:t>
      </w:r>
      <w:r w:rsidR="00617D62" w:rsidRPr="004223DC">
        <w:rPr>
          <w:rFonts w:ascii="Book Antiqua" w:eastAsia="Times New Roman" w:hAnsi="Book Antiqua"/>
          <w:color w:val="000000"/>
          <w:lang w:val="es-PR"/>
        </w:rPr>
        <w:t>s</w:t>
      </w:r>
      <w:r w:rsidR="005672F0" w:rsidRPr="004223DC">
        <w:rPr>
          <w:rFonts w:ascii="Book Antiqua" w:eastAsia="Times New Roman" w:hAnsi="Book Antiqua"/>
          <w:color w:val="000000"/>
          <w:lang w:val="es-PR"/>
        </w:rPr>
        <w:t>. Esta medida busca posicionar a Puerto Rico como un eje regional de innovación tecnológica mediante la creación de un instituto con personalidad jurídica propia, gobernanza multisectorial y enfoque en la investigación aplicada, la formación de talento, la transferencia tecnológica y la comercialización de propiedad intelectual.</w:t>
      </w:r>
    </w:p>
    <w:p w14:paraId="76CACDA6" w14:textId="0399DF79" w:rsidR="00617D62" w:rsidRPr="004223DC" w:rsidRDefault="005672F0" w:rsidP="00617D62">
      <w:pPr>
        <w:pStyle w:val="NormalWeb"/>
        <w:ind w:firstLine="720"/>
        <w:jc w:val="both"/>
        <w:rPr>
          <w:rFonts w:ascii="Book Antiqua" w:eastAsia="Times New Roman" w:hAnsi="Book Antiqua"/>
          <w:color w:val="000000"/>
          <w:lang w:val="es-PR"/>
        </w:rPr>
      </w:pPr>
      <w:r w:rsidRPr="004223DC">
        <w:rPr>
          <w:rFonts w:ascii="Book Antiqua" w:eastAsia="Times New Roman" w:hAnsi="Book Antiqua"/>
          <w:color w:val="000000"/>
          <w:lang w:val="es-PR"/>
        </w:rPr>
        <w:t>La medida reconoce la necesidad de consolidar esfuerzos en torno a la inteligencia artificial como motor de crecimiento económico, eficiencia gubernamental y modernización de servicios esenciales, fomentando al mismo tiempo la transparencia, la rendición de cuentas y la integración con políticas de datos abiertos. Su estructura colaborativ</w:t>
      </w:r>
      <w:r w:rsidR="00617D62" w:rsidRPr="004223DC">
        <w:rPr>
          <w:rFonts w:ascii="Book Antiqua" w:eastAsia="Times New Roman" w:hAnsi="Book Antiqua"/>
          <w:color w:val="000000"/>
          <w:lang w:val="es-PR"/>
        </w:rPr>
        <w:t xml:space="preserve">a, </w:t>
      </w:r>
      <w:r w:rsidRPr="004223DC">
        <w:rPr>
          <w:rFonts w:ascii="Book Antiqua" w:eastAsia="Times New Roman" w:hAnsi="Book Antiqua"/>
          <w:color w:val="000000"/>
          <w:lang w:val="es-PR"/>
        </w:rPr>
        <w:t xml:space="preserve">que integra al Departamento de Desarrollo Económico y Comercio, PRITS, el Fideicomiso de Ciencia, Tecnología e Investigación, la Universidad de Puerto Rico y entidades privadas como Engine-4 </w:t>
      </w:r>
      <w:proofErr w:type="spellStart"/>
      <w:r w:rsidRPr="004223DC">
        <w:rPr>
          <w:rFonts w:ascii="Book Antiqua" w:eastAsia="Times New Roman" w:hAnsi="Book Antiqua"/>
          <w:color w:val="000000"/>
          <w:lang w:val="es-PR"/>
        </w:rPr>
        <w:t>Foundation</w:t>
      </w:r>
      <w:proofErr w:type="spellEnd"/>
      <w:r w:rsidR="00617D62" w:rsidRPr="004223DC">
        <w:rPr>
          <w:rFonts w:ascii="Book Antiqua" w:eastAsia="Times New Roman" w:hAnsi="Book Antiqua"/>
          <w:color w:val="000000"/>
          <w:lang w:val="es-PR"/>
        </w:rPr>
        <w:t>,</w:t>
      </w:r>
      <w:r w:rsidRPr="004223DC">
        <w:rPr>
          <w:rFonts w:ascii="Book Antiqua" w:eastAsia="Times New Roman" w:hAnsi="Book Antiqua"/>
          <w:color w:val="000000"/>
          <w:lang w:val="es-PR"/>
        </w:rPr>
        <w:t xml:space="preserve"> permite establecer un marco funcional para la innovación responsable y el fortalecimiento de la competitividad económica.</w:t>
      </w:r>
    </w:p>
    <w:p w14:paraId="1BBF4026" w14:textId="46F59F15" w:rsidR="0037624F" w:rsidRPr="004223DC" w:rsidRDefault="005672F0" w:rsidP="00617D62">
      <w:pPr>
        <w:pStyle w:val="NormalWeb"/>
        <w:ind w:firstLine="720"/>
        <w:jc w:val="both"/>
        <w:rPr>
          <w:rFonts w:ascii="Book Antiqua" w:eastAsia="Times New Roman" w:hAnsi="Book Antiqua"/>
          <w:color w:val="000000"/>
          <w:lang w:val="es-PR"/>
        </w:rPr>
      </w:pPr>
      <w:r w:rsidRPr="004223DC">
        <w:rPr>
          <w:rFonts w:ascii="Book Antiqua" w:eastAsia="Times New Roman" w:hAnsi="Book Antiqua"/>
          <w:color w:val="000000"/>
          <w:lang w:val="es-PR"/>
        </w:rPr>
        <w:t xml:space="preserve">Por las razones expuestas y tras evaluar el contenido de la medida, esta Comisión considera que el Proyecto del Senado 769 constituye una propuesta </w:t>
      </w:r>
      <w:r w:rsidR="00617D62" w:rsidRPr="004223DC">
        <w:rPr>
          <w:rFonts w:ascii="Book Antiqua" w:eastAsia="Times New Roman" w:hAnsi="Book Antiqua"/>
          <w:color w:val="000000"/>
          <w:lang w:val="es-PR"/>
        </w:rPr>
        <w:t>alineada</w:t>
      </w:r>
      <w:r w:rsidRPr="004223DC">
        <w:rPr>
          <w:rFonts w:ascii="Book Antiqua" w:eastAsia="Times New Roman" w:hAnsi="Book Antiqua"/>
          <w:color w:val="000000"/>
          <w:lang w:val="es-PR"/>
        </w:rPr>
        <w:t xml:space="preserve"> con las tendencias globales y las necesidades de desarrollo tecnológico y económico de Puerto Rico, por lo que recomienda su aprobación. </w:t>
      </w:r>
    </w:p>
    <w:p w14:paraId="05162BAD" w14:textId="77777777" w:rsidR="00617D62" w:rsidRPr="004223DC" w:rsidRDefault="00617D62" w:rsidP="00617D62">
      <w:pPr>
        <w:pStyle w:val="NormalWeb"/>
        <w:ind w:firstLine="720"/>
        <w:jc w:val="both"/>
        <w:rPr>
          <w:rFonts w:ascii="Book Antiqua" w:eastAsia="Times New Roman" w:hAnsi="Book Antiqua"/>
          <w:color w:val="000000"/>
          <w:lang w:val="es-PR"/>
        </w:rPr>
      </w:pPr>
    </w:p>
    <w:p w14:paraId="66FFFF79" w14:textId="77777777" w:rsidR="00D454DC" w:rsidRPr="00663441" w:rsidRDefault="00D454DC" w:rsidP="0013073A">
      <w:pPr>
        <w:spacing w:line="276" w:lineRule="auto"/>
        <w:ind w:firstLine="708"/>
        <w:jc w:val="center"/>
        <w:rPr>
          <w:rFonts w:ascii="Book Antiqua" w:hAnsi="Book Antiqua"/>
          <w:b/>
          <w:caps/>
          <w:szCs w:val="24"/>
          <w:lang w:val="es-ES"/>
        </w:rPr>
      </w:pPr>
      <w:r w:rsidRPr="00663441">
        <w:rPr>
          <w:rFonts w:ascii="Book Antiqua" w:hAnsi="Book Antiqua"/>
          <w:b/>
          <w:caps/>
          <w:szCs w:val="24"/>
          <w:lang w:val="es-ES"/>
        </w:rPr>
        <w:t>AnÁlisis de la Medida</w:t>
      </w:r>
    </w:p>
    <w:p w14:paraId="05F8A026" w14:textId="77777777" w:rsidR="009175B9" w:rsidRPr="00663441" w:rsidRDefault="009175B9" w:rsidP="0013073A">
      <w:pPr>
        <w:spacing w:line="276" w:lineRule="auto"/>
        <w:contextualSpacing/>
        <w:jc w:val="both"/>
        <w:rPr>
          <w:rFonts w:ascii="Book Antiqua" w:hAnsi="Book Antiqua"/>
          <w:szCs w:val="24"/>
          <w:lang w:val="es-ES"/>
        </w:rPr>
      </w:pPr>
    </w:p>
    <w:p w14:paraId="7A127897" w14:textId="60D6F018" w:rsidR="00961DAA" w:rsidRPr="00663441" w:rsidRDefault="00D454DC" w:rsidP="004E6C61">
      <w:pPr>
        <w:spacing w:line="276" w:lineRule="auto"/>
        <w:ind w:firstLine="708"/>
        <w:contextualSpacing/>
        <w:jc w:val="both"/>
        <w:rPr>
          <w:rFonts w:ascii="Book Antiqua" w:hAnsi="Book Antiqua"/>
          <w:szCs w:val="24"/>
          <w:lang w:val="es-ES"/>
        </w:rPr>
      </w:pPr>
      <w:r w:rsidRPr="00663441">
        <w:rPr>
          <w:rFonts w:ascii="Book Antiqua" w:hAnsi="Book Antiqua"/>
          <w:szCs w:val="24"/>
          <w:lang w:val="es-ES"/>
        </w:rPr>
        <w:t>Atendiendo su responsabilidad y deber ministerial en el estudio y evaluación del presente</w:t>
      </w:r>
      <w:r w:rsidR="00BD2D76">
        <w:rPr>
          <w:rFonts w:ascii="Book Antiqua" w:hAnsi="Book Antiqua"/>
          <w:szCs w:val="24"/>
          <w:lang w:val="es-ES"/>
        </w:rPr>
        <w:t xml:space="preserve"> Proyecto</w:t>
      </w:r>
      <w:r w:rsidRPr="00663441">
        <w:rPr>
          <w:rFonts w:ascii="Book Antiqua" w:hAnsi="Book Antiqua"/>
          <w:szCs w:val="24"/>
          <w:lang w:val="es-ES"/>
        </w:rPr>
        <w:t>, la</w:t>
      </w:r>
      <w:r w:rsidR="00D71A7E" w:rsidRPr="00663441">
        <w:rPr>
          <w:rFonts w:ascii="Book Antiqua" w:hAnsi="Book Antiqua"/>
          <w:szCs w:val="24"/>
          <w:lang w:val="es-ES"/>
        </w:rPr>
        <w:t xml:space="preserve"> </w:t>
      </w:r>
      <w:r w:rsidR="003E3CE2" w:rsidRPr="00663441">
        <w:rPr>
          <w:rFonts w:ascii="Book Antiqua" w:hAnsi="Book Antiqua"/>
          <w:szCs w:val="24"/>
          <w:lang w:val="es-ES"/>
        </w:rPr>
        <w:t xml:space="preserve">Comisión de Ciencia, Tecnología e Inteligencia Artificial del Senado de Puerto Rico </w:t>
      </w:r>
      <w:r w:rsidR="00F2451A" w:rsidRPr="00663441">
        <w:rPr>
          <w:rFonts w:ascii="Book Antiqua" w:hAnsi="Book Antiqua"/>
          <w:szCs w:val="24"/>
          <w:lang w:val="es-ES"/>
        </w:rPr>
        <w:t>analizó</w:t>
      </w:r>
      <w:r w:rsidR="00543BA2" w:rsidRPr="00663441">
        <w:rPr>
          <w:rFonts w:ascii="Book Antiqua" w:hAnsi="Book Antiqua"/>
          <w:szCs w:val="24"/>
          <w:lang w:val="es-ES"/>
        </w:rPr>
        <w:t xml:space="preserve"> </w:t>
      </w:r>
      <w:r w:rsidR="00617D62">
        <w:rPr>
          <w:rFonts w:ascii="Book Antiqua" w:hAnsi="Book Antiqua"/>
          <w:szCs w:val="24"/>
          <w:lang w:val="es-ES"/>
        </w:rPr>
        <w:t>los</w:t>
      </w:r>
      <w:r w:rsidR="0037624F">
        <w:rPr>
          <w:rFonts w:ascii="Book Antiqua" w:hAnsi="Book Antiqua"/>
          <w:szCs w:val="24"/>
          <w:lang w:val="es-ES"/>
        </w:rPr>
        <w:t xml:space="preserve"> </w:t>
      </w:r>
      <w:r w:rsidR="00A420D3" w:rsidRPr="00663441">
        <w:rPr>
          <w:rFonts w:ascii="Book Antiqua" w:hAnsi="Book Antiqua"/>
          <w:szCs w:val="24"/>
          <w:lang w:val="es-ES"/>
        </w:rPr>
        <w:t>memorial</w:t>
      </w:r>
      <w:r w:rsidR="00617D62">
        <w:rPr>
          <w:rFonts w:ascii="Book Antiqua" w:hAnsi="Book Antiqua"/>
          <w:szCs w:val="24"/>
          <w:lang w:val="es-ES"/>
        </w:rPr>
        <w:t>es</w:t>
      </w:r>
      <w:r w:rsidR="00A420D3" w:rsidRPr="00663441">
        <w:rPr>
          <w:rFonts w:ascii="Book Antiqua" w:hAnsi="Book Antiqua"/>
          <w:szCs w:val="24"/>
          <w:lang w:val="es-ES"/>
        </w:rPr>
        <w:t xml:space="preserve"> explicativo</w:t>
      </w:r>
      <w:r w:rsidR="00617D62">
        <w:rPr>
          <w:rFonts w:ascii="Book Antiqua" w:hAnsi="Book Antiqua"/>
          <w:szCs w:val="24"/>
          <w:lang w:val="es-ES"/>
        </w:rPr>
        <w:t>s</w:t>
      </w:r>
      <w:r w:rsidR="00F2451A" w:rsidRPr="00663441">
        <w:rPr>
          <w:rFonts w:ascii="Book Antiqua" w:hAnsi="Book Antiqua"/>
          <w:szCs w:val="24"/>
          <w:lang w:val="es-ES"/>
        </w:rPr>
        <w:t xml:space="preserve"> recibido</w:t>
      </w:r>
      <w:r w:rsidR="00617D62">
        <w:rPr>
          <w:rFonts w:ascii="Book Antiqua" w:hAnsi="Book Antiqua"/>
          <w:szCs w:val="24"/>
          <w:lang w:val="es-ES"/>
        </w:rPr>
        <w:t>s</w:t>
      </w:r>
      <w:r w:rsidR="00F2451A" w:rsidRPr="00663441">
        <w:rPr>
          <w:rFonts w:ascii="Book Antiqua" w:hAnsi="Book Antiqua"/>
          <w:szCs w:val="24"/>
          <w:lang w:val="es-ES"/>
        </w:rPr>
        <w:t xml:space="preserve"> por parte </w:t>
      </w:r>
      <w:r w:rsidR="0037624F">
        <w:rPr>
          <w:rFonts w:ascii="Book Antiqua" w:hAnsi="Book Antiqua"/>
          <w:szCs w:val="24"/>
          <w:lang w:val="es-ES"/>
        </w:rPr>
        <w:t xml:space="preserve">de </w:t>
      </w:r>
      <w:r w:rsidR="00A0159D">
        <w:rPr>
          <w:rFonts w:ascii="Book Antiqua" w:hAnsi="Book Antiqua"/>
          <w:szCs w:val="24"/>
          <w:lang w:val="es-ES"/>
        </w:rPr>
        <w:t xml:space="preserve">Puerto Rico </w:t>
      </w:r>
      <w:proofErr w:type="spellStart"/>
      <w:r w:rsidR="00A0159D">
        <w:rPr>
          <w:rFonts w:ascii="Book Antiqua" w:hAnsi="Book Antiqua"/>
          <w:szCs w:val="24"/>
          <w:lang w:val="es-ES"/>
        </w:rPr>
        <w:t>Innovation</w:t>
      </w:r>
      <w:proofErr w:type="spellEnd"/>
      <w:r w:rsidR="00A0159D">
        <w:rPr>
          <w:rFonts w:ascii="Book Antiqua" w:hAnsi="Book Antiqua"/>
          <w:szCs w:val="24"/>
          <w:lang w:val="es-ES"/>
        </w:rPr>
        <w:t xml:space="preserve"> and </w:t>
      </w:r>
      <w:proofErr w:type="spellStart"/>
      <w:r w:rsidR="00A0159D">
        <w:rPr>
          <w:rFonts w:ascii="Book Antiqua" w:hAnsi="Book Antiqua"/>
          <w:szCs w:val="24"/>
          <w:lang w:val="es-ES"/>
        </w:rPr>
        <w:t>Technology</w:t>
      </w:r>
      <w:proofErr w:type="spellEnd"/>
      <w:r w:rsidR="00A0159D">
        <w:rPr>
          <w:rFonts w:ascii="Book Antiqua" w:hAnsi="Book Antiqua"/>
          <w:szCs w:val="24"/>
          <w:lang w:val="es-ES"/>
        </w:rPr>
        <w:t xml:space="preserve"> </w:t>
      </w:r>
      <w:proofErr w:type="spellStart"/>
      <w:r w:rsidR="00A0159D">
        <w:rPr>
          <w:rFonts w:ascii="Book Antiqua" w:hAnsi="Book Antiqua"/>
          <w:szCs w:val="24"/>
          <w:lang w:val="es-ES"/>
        </w:rPr>
        <w:t>Service</w:t>
      </w:r>
      <w:proofErr w:type="spellEnd"/>
      <w:r w:rsidR="00617D62">
        <w:rPr>
          <w:rFonts w:ascii="Book Antiqua" w:hAnsi="Book Antiqua"/>
          <w:szCs w:val="24"/>
          <w:lang w:val="es-ES"/>
        </w:rPr>
        <w:t xml:space="preserve">, </w:t>
      </w:r>
      <w:proofErr w:type="spellStart"/>
      <w:r w:rsidR="00617D62">
        <w:rPr>
          <w:rFonts w:ascii="Book Antiqua" w:hAnsi="Book Antiqua"/>
          <w:szCs w:val="24"/>
          <w:lang w:val="es-ES"/>
        </w:rPr>
        <w:t>BrainHi</w:t>
      </w:r>
      <w:proofErr w:type="spellEnd"/>
      <w:r w:rsidR="00617D62">
        <w:rPr>
          <w:rFonts w:ascii="Book Antiqua" w:hAnsi="Book Antiqua"/>
          <w:szCs w:val="24"/>
          <w:lang w:val="es-ES"/>
        </w:rPr>
        <w:t xml:space="preserve">, Microsoft, </w:t>
      </w:r>
      <w:proofErr w:type="spellStart"/>
      <w:r w:rsidR="00617D62">
        <w:rPr>
          <w:rFonts w:ascii="Book Antiqua" w:hAnsi="Book Antiqua"/>
          <w:szCs w:val="24"/>
          <w:lang w:val="es-ES"/>
        </w:rPr>
        <w:t>Acelora</w:t>
      </w:r>
      <w:proofErr w:type="spellEnd"/>
      <w:r w:rsidR="00617D62">
        <w:rPr>
          <w:rFonts w:ascii="Book Antiqua" w:hAnsi="Book Antiqua"/>
          <w:szCs w:val="24"/>
          <w:lang w:val="es-ES"/>
        </w:rPr>
        <w:t xml:space="preserve"> </w:t>
      </w:r>
      <w:proofErr w:type="spellStart"/>
      <w:r w:rsidR="00617D62">
        <w:rPr>
          <w:rFonts w:ascii="Book Antiqua" w:hAnsi="Book Antiqua"/>
          <w:szCs w:val="24"/>
          <w:lang w:val="es-ES"/>
        </w:rPr>
        <w:t>Strategies</w:t>
      </w:r>
      <w:proofErr w:type="spellEnd"/>
      <w:r w:rsidR="00617D62">
        <w:rPr>
          <w:rFonts w:ascii="Book Antiqua" w:hAnsi="Book Antiqua"/>
          <w:szCs w:val="24"/>
          <w:lang w:val="es-ES"/>
        </w:rPr>
        <w:t>, LLC, Víctor Díaz Rodríguez,</w:t>
      </w:r>
      <w:r w:rsidR="00D8685B">
        <w:rPr>
          <w:rFonts w:ascii="Book Antiqua" w:hAnsi="Book Antiqua"/>
          <w:szCs w:val="24"/>
          <w:lang w:val="es-ES"/>
        </w:rPr>
        <w:t xml:space="preserve"> </w:t>
      </w:r>
      <w:r w:rsidR="00D8685B" w:rsidRPr="00D8685B">
        <w:rPr>
          <w:rFonts w:ascii="Book Antiqua" w:hAnsi="Book Antiqua"/>
          <w:color w:val="000000"/>
          <w:lang w:val="es-PR"/>
        </w:rPr>
        <w:t>Red de Tecnologías de Información y Comunicación del Movimiento Victoria Ciudadana</w:t>
      </w:r>
      <w:r w:rsidR="00D8685B">
        <w:rPr>
          <w:rFonts w:ascii="Book Antiqua" w:hAnsi="Book Antiqua"/>
          <w:szCs w:val="24"/>
          <w:lang w:val="es-ES"/>
        </w:rPr>
        <w:t xml:space="preserve">, </w:t>
      </w:r>
      <w:proofErr w:type="spellStart"/>
      <w:r w:rsidR="00617D62">
        <w:rPr>
          <w:rFonts w:ascii="Book Antiqua" w:hAnsi="Book Antiqua"/>
          <w:szCs w:val="24"/>
          <w:lang w:val="es-ES"/>
        </w:rPr>
        <w:t>Glorimar</w:t>
      </w:r>
      <w:proofErr w:type="spellEnd"/>
      <w:r w:rsidR="00617D62">
        <w:rPr>
          <w:rFonts w:ascii="Book Antiqua" w:hAnsi="Book Antiqua"/>
          <w:szCs w:val="24"/>
          <w:lang w:val="es-ES"/>
        </w:rPr>
        <w:t xml:space="preserve"> Ripoll </w:t>
      </w:r>
      <w:proofErr w:type="spellStart"/>
      <w:r w:rsidR="00617D62">
        <w:rPr>
          <w:rFonts w:ascii="Book Antiqua" w:hAnsi="Book Antiqua"/>
          <w:szCs w:val="24"/>
          <w:lang w:val="es-ES"/>
        </w:rPr>
        <w:t>Balet</w:t>
      </w:r>
      <w:proofErr w:type="spellEnd"/>
      <w:r w:rsidR="00617D62">
        <w:rPr>
          <w:rFonts w:ascii="Book Antiqua" w:hAnsi="Book Antiqua"/>
          <w:szCs w:val="24"/>
          <w:lang w:val="es-ES"/>
        </w:rPr>
        <w:t xml:space="preserve">, Engine-4, Internet </w:t>
      </w:r>
      <w:proofErr w:type="spellStart"/>
      <w:r w:rsidR="00617D62">
        <w:rPr>
          <w:rFonts w:ascii="Book Antiqua" w:hAnsi="Book Antiqua"/>
          <w:szCs w:val="24"/>
          <w:lang w:val="es-ES"/>
        </w:rPr>
        <w:t>Society</w:t>
      </w:r>
      <w:proofErr w:type="spellEnd"/>
      <w:r w:rsidR="00617D62">
        <w:rPr>
          <w:rFonts w:ascii="Book Antiqua" w:hAnsi="Book Antiqua"/>
          <w:szCs w:val="24"/>
          <w:lang w:val="es-ES"/>
        </w:rPr>
        <w:t xml:space="preserve"> Puerto Rico </w:t>
      </w:r>
      <w:proofErr w:type="spellStart"/>
      <w:r w:rsidR="00617D62">
        <w:rPr>
          <w:rFonts w:ascii="Book Antiqua" w:hAnsi="Book Antiqua"/>
          <w:szCs w:val="24"/>
          <w:lang w:val="es-ES"/>
        </w:rPr>
        <w:t>Chapter</w:t>
      </w:r>
      <w:proofErr w:type="spellEnd"/>
      <w:r w:rsidR="00617D62">
        <w:rPr>
          <w:rFonts w:ascii="Book Antiqua" w:hAnsi="Book Antiqua"/>
          <w:szCs w:val="24"/>
          <w:lang w:val="es-ES"/>
        </w:rPr>
        <w:t xml:space="preserve">, Héctor De Jesús Cortés, </w:t>
      </w:r>
      <w:proofErr w:type="spellStart"/>
      <w:r w:rsidR="00617D62">
        <w:rPr>
          <w:rFonts w:ascii="Book Antiqua" w:hAnsi="Book Antiqua"/>
          <w:szCs w:val="24"/>
          <w:lang w:val="es-ES"/>
        </w:rPr>
        <w:t>Invest</w:t>
      </w:r>
      <w:proofErr w:type="spellEnd"/>
      <w:r w:rsidR="00617D62">
        <w:rPr>
          <w:rFonts w:ascii="Book Antiqua" w:hAnsi="Book Antiqua"/>
          <w:szCs w:val="24"/>
          <w:lang w:val="es-ES"/>
        </w:rPr>
        <w:t xml:space="preserve"> Puerto Rico, Departamento de Hacienda, </w:t>
      </w:r>
      <w:r w:rsidR="00617D62">
        <w:rPr>
          <w:rFonts w:ascii="Book Antiqua" w:hAnsi="Book Antiqua"/>
          <w:szCs w:val="24"/>
          <w:lang w:val="es-ES"/>
        </w:rPr>
        <w:lastRenderedPageBreak/>
        <w:t xml:space="preserve">Departamento de Desarrollo Económico y Comercio, Fideicomiso para Ciencia, Tecnología e Investigación de Puerto Rico, </w:t>
      </w:r>
      <w:r w:rsidR="00BE51D7">
        <w:rPr>
          <w:rFonts w:ascii="Book Antiqua" w:hAnsi="Book Antiqua"/>
          <w:szCs w:val="24"/>
          <w:lang w:val="es-ES"/>
        </w:rPr>
        <w:t>Universidad de Puerto Rico y la Universidad de Puerto Rico, Recinto de Río Piedras</w:t>
      </w:r>
      <w:r w:rsidR="005F0399" w:rsidRPr="00663441">
        <w:rPr>
          <w:rFonts w:ascii="Book Antiqua" w:hAnsi="Book Antiqua"/>
          <w:szCs w:val="24"/>
          <w:lang w:val="es-ES"/>
        </w:rPr>
        <w:t>.</w:t>
      </w:r>
      <w:r w:rsidR="002C6BC0" w:rsidRPr="00663441">
        <w:rPr>
          <w:rFonts w:ascii="Book Antiqua" w:hAnsi="Book Antiqua"/>
          <w:szCs w:val="24"/>
          <w:lang w:val="es-ES"/>
        </w:rPr>
        <w:t xml:space="preserve"> A </w:t>
      </w:r>
      <w:r w:rsidR="00A267E9" w:rsidRPr="00663441">
        <w:rPr>
          <w:rFonts w:ascii="Book Antiqua" w:hAnsi="Book Antiqua"/>
          <w:szCs w:val="24"/>
          <w:lang w:val="es-ES"/>
        </w:rPr>
        <w:t>continuación,</w:t>
      </w:r>
      <w:r w:rsidR="002C6BC0" w:rsidRPr="00663441">
        <w:rPr>
          <w:rFonts w:ascii="Book Antiqua" w:hAnsi="Book Antiqua"/>
          <w:szCs w:val="24"/>
          <w:lang w:val="es-ES"/>
        </w:rPr>
        <w:t xml:space="preserve"> </w:t>
      </w:r>
      <w:r w:rsidR="00191A8E" w:rsidRPr="00663441">
        <w:rPr>
          <w:rFonts w:ascii="Book Antiqua" w:hAnsi="Book Antiqua"/>
          <w:szCs w:val="24"/>
          <w:lang w:val="es-ES"/>
        </w:rPr>
        <w:t xml:space="preserve">se desprende la posición </w:t>
      </w:r>
      <w:r w:rsidR="00F2451A" w:rsidRPr="00663441">
        <w:rPr>
          <w:rFonts w:ascii="Book Antiqua" w:hAnsi="Book Antiqua"/>
          <w:szCs w:val="24"/>
          <w:lang w:val="es-ES"/>
        </w:rPr>
        <w:t xml:space="preserve">expuesta por </w:t>
      </w:r>
      <w:r w:rsidR="00167DE8" w:rsidRPr="00663441">
        <w:rPr>
          <w:rFonts w:ascii="Book Antiqua" w:hAnsi="Book Antiqua"/>
          <w:szCs w:val="24"/>
          <w:lang w:val="es-ES"/>
        </w:rPr>
        <w:t>la instrumentalidad</w:t>
      </w:r>
      <w:r w:rsidR="0037624F">
        <w:rPr>
          <w:rFonts w:ascii="Book Antiqua" w:hAnsi="Book Antiqua"/>
          <w:szCs w:val="24"/>
          <w:lang w:val="es-ES"/>
        </w:rPr>
        <w:t xml:space="preserve"> </w:t>
      </w:r>
      <w:r w:rsidR="00167DE8" w:rsidRPr="00663441">
        <w:rPr>
          <w:rFonts w:ascii="Book Antiqua" w:hAnsi="Book Antiqua"/>
          <w:szCs w:val="24"/>
          <w:lang w:val="es-ES"/>
        </w:rPr>
        <w:t>consultada.</w:t>
      </w:r>
    </w:p>
    <w:p w14:paraId="0981759B" w14:textId="77777777" w:rsidR="00987355" w:rsidRPr="00987355" w:rsidRDefault="00987355" w:rsidP="00987355">
      <w:pPr>
        <w:pStyle w:val="ColorfulList-Accent11"/>
        <w:spacing w:line="276" w:lineRule="auto"/>
        <w:ind w:left="0"/>
        <w:jc w:val="both"/>
        <w:rPr>
          <w:rFonts w:ascii="Book Antiqua" w:hAnsi="Book Antiqua"/>
          <w:b/>
          <w:szCs w:val="24"/>
          <w:lang w:val="es-ES"/>
        </w:rPr>
      </w:pPr>
    </w:p>
    <w:p w14:paraId="33A79065" w14:textId="6DED2719" w:rsidR="00987355" w:rsidRDefault="00987355" w:rsidP="0067658E">
      <w:pPr>
        <w:pStyle w:val="ColorfulList-Accent11"/>
        <w:spacing w:line="276" w:lineRule="auto"/>
        <w:ind w:left="0"/>
        <w:jc w:val="center"/>
        <w:rPr>
          <w:rFonts w:ascii="Book Antiqua" w:hAnsi="Book Antiqua"/>
          <w:b/>
          <w:szCs w:val="24"/>
        </w:rPr>
      </w:pPr>
      <w:r w:rsidRPr="00987355">
        <w:rPr>
          <w:rFonts w:ascii="Book Antiqua" w:hAnsi="Book Antiqua"/>
          <w:b/>
          <w:szCs w:val="24"/>
        </w:rPr>
        <w:t>PUERTO RICO INNOVATION AND TECHNOLOGY SER</w:t>
      </w:r>
      <w:r>
        <w:rPr>
          <w:rFonts w:ascii="Book Antiqua" w:hAnsi="Book Antiqua"/>
          <w:b/>
          <w:szCs w:val="24"/>
        </w:rPr>
        <w:t>VICE</w:t>
      </w:r>
    </w:p>
    <w:p w14:paraId="69329386" w14:textId="77777777" w:rsidR="0067658E" w:rsidRDefault="0067658E" w:rsidP="0067658E">
      <w:pPr>
        <w:pStyle w:val="ColorfulList-Accent11"/>
        <w:spacing w:line="276" w:lineRule="auto"/>
        <w:ind w:left="0"/>
        <w:jc w:val="center"/>
        <w:rPr>
          <w:rFonts w:ascii="Book Antiqua" w:hAnsi="Book Antiqua"/>
          <w:b/>
          <w:szCs w:val="24"/>
        </w:rPr>
      </w:pPr>
    </w:p>
    <w:p w14:paraId="43F65BDE" w14:textId="77777777" w:rsidR="00BE51D7" w:rsidRPr="00BE51D7" w:rsidRDefault="00BE51D7" w:rsidP="00BE51D7">
      <w:pPr>
        <w:pStyle w:val="NormalWeb"/>
        <w:spacing w:line="276" w:lineRule="auto"/>
        <w:ind w:firstLine="720"/>
        <w:jc w:val="both"/>
        <w:rPr>
          <w:rFonts w:ascii="Book Antiqua" w:hAnsi="Book Antiqua"/>
          <w:color w:val="000000"/>
          <w:lang w:val="es-PR"/>
        </w:rPr>
      </w:pPr>
      <w:r w:rsidRPr="00BE51D7">
        <w:rPr>
          <w:rFonts w:ascii="Book Antiqua" w:hAnsi="Book Antiqua"/>
          <w:color w:val="000000"/>
          <w:lang w:val="es-PR"/>
        </w:rPr>
        <w:t>La Puerto Rico Innovation and Technology Service (PRITS), representada por su subdirector ejecutivo Poincaré Díaz Peña, presenta su memorial explicativo ante la Comisión de Ciencia, Tecnología e Inteligencia Artificial del Senado en relación con el Proyecto del Senado 769, que propone la creación del Instituto de Desarrollo e Innovación en Inteligencia Artificial de Puerto Rico. La agencia describe la medida como una propuesta que busca establecer una política pública de manejo proactivo y responsable de la inteligencia artificial para impulsar el desarrollo sostenible, la competitividad económica y la colaboración entre los sectores público, privado y académico.</w:t>
      </w:r>
    </w:p>
    <w:p w14:paraId="5D2F34E7" w14:textId="77777777" w:rsidR="00BE51D7" w:rsidRPr="00BE51D7" w:rsidRDefault="00BE51D7" w:rsidP="00BE51D7">
      <w:pPr>
        <w:pStyle w:val="NormalWeb"/>
        <w:spacing w:line="276" w:lineRule="auto"/>
        <w:ind w:firstLine="720"/>
        <w:jc w:val="both"/>
        <w:rPr>
          <w:rFonts w:ascii="Book Antiqua" w:hAnsi="Book Antiqua"/>
          <w:color w:val="000000"/>
          <w:lang w:val="es-PR"/>
        </w:rPr>
      </w:pPr>
      <w:r w:rsidRPr="00BE51D7">
        <w:rPr>
          <w:rFonts w:ascii="Book Antiqua" w:hAnsi="Book Antiqua"/>
          <w:color w:val="000000"/>
          <w:lang w:val="es-PR"/>
        </w:rPr>
        <w:t>PRITS expone que la medida busca posicionar a Puerto Rico como un eje regional y mundial en el desarrollo y aplicación de tecnologías de inteligencia artificial, mediante la creación de una entidad sin fines de lucro con autonomía operativa y la formación de un Fondo de Desarrollo e Innovación en Inteligencia Artificial de Puerto Rico, financiado con aportaciones públicas y privadas. Destaca que el modelo de gobernanza propuesto está inspirado en ejemplos internacionales como el Georgia Research Alliance, el Massachusetts Technology Collaborative y el Research Triangle Park de Carolina del Norte.</w:t>
      </w:r>
    </w:p>
    <w:p w14:paraId="770D7947" w14:textId="77777777" w:rsidR="00BE51D7" w:rsidRPr="00BE51D7" w:rsidRDefault="00BE51D7" w:rsidP="00BE51D7">
      <w:pPr>
        <w:pStyle w:val="NormalWeb"/>
        <w:spacing w:line="276" w:lineRule="auto"/>
        <w:ind w:firstLine="720"/>
        <w:jc w:val="both"/>
        <w:rPr>
          <w:rFonts w:ascii="Book Antiqua" w:hAnsi="Book Antiqua"/>
          <w:color w:val="000000"/>
          <w:lang w:val="es-PR"/>
        </w:rPr>
      </w:pPr>
      <w:r w:rsidRPr="00BE51D7">
        <w:rPr>
          <w:rFonts w:ascii="Book Antiqua" w:hAnsi="Book Antiqua"/>
          <w:color w:val="000000"/>
          <w:lang w:val="es-PR"/>
        </w:rPr>
        <w:t>En su análisis, PRITS manifiesta que respalda la aprobación del proyecto por entender que está alineado con la política pública de innovación y transformación digital establecida en la Ley 75-2019, conocida como “Ley de la Puerto Rico Innovation and Technology Service”. Señala que el Instituto fortalecería el ecosistema tecnológico de la isla al integrar esfuerzos intersectoriales para el desarrollo ético y responsable de la inteligencia artificial, a la vez que contribuiría a la modernización gubernamental, la eficiencia de los servicios públicos y la formación de talento especializado.</w:t>
      </w:r>
    </w:p>
    <w:p w14:paraId="5AF28031" w14:textId="77777777" w:rsidR="00BE51D7" w:rsidRPr="00BE51D7" w:rsidRDefault="00BE51D7" w:rsidP="00BE51D7">
      <w:pPr>
        <w:pStyle w:val="NormalWeb"/>
        <w:spacing w:line="276" w:lineRule="auto"/>
        <w:ind w:firstLine="720"/>
        <w:jc w:val="both"/>
        <w:rPr>
          <w:rFonts w:ascii="Book Antiqua" w:hAnsi="Book Antiqua"/>
          <w:color w:val="000000"/>
          <w:lang w:val="es-PR"/>
        </w:rPr>
      </w:pPr>
      <w:r w:rsidRPr="00BE51D7">
        <w:rPr>
          <w:rFonts w:ascii="Book Antiqua" w:hAnsi="Book Antiqua"/>
          <w:color w:val="000000"/>
          <w:lang w:val="es-PR"/>
        </w:rPr>
        <w:t xml:space="preserve">La agencia considera acertado el modelo de una entidad sin fines de lucro de interés público, al combinar flexibilidad administrativa con supervisión estatal. También señala que los deberes y funciones del Instituto, en especial los artículos 5, 12 y 22 del proyecto, están en consonancia con las funciones de PRITS relacionadas con la transformación digital, la gobernanza tecnológica y la ciberseguridad. Resalta la disposición que formaliza la coordinación entre el Instituto y PRITS para asesorar </w:t>
      </w:r>
      <w:r w:rsidRPr="00BE51D7">
        <w:rPr>
          <w:rFonts w:ascii="Book Antiqua" w:hAnsi="Book Antiqua"/>
          <w:color w:val="000000"/>
          <w:lang w:val="es-PR"/>
        </w:rPr>
        <w:lastRenderedPageBreak/>
        <w:t>técnicamente a las agencias y municipios, lo cual refuerza la interoperabilidad, la eficiencia y la protección de datos dentro de la infraestructura tecnológica del gobierno.</w:t>
      </w:r>
    </w:p>
    <w:p w14:paraId="242CCB1E" w14:textId="77777777" w:rsidR="00BE51D7" w:rsidRPr="00BE51D7" w:rsidRDefault="00BE51D7" w:rsidP="00BE51D7">
      <w:pPr>
        <w:pStyle w:val="NormalWeb"/>
        <w:spacing w:line="276" w:lineRule="auto"/>
        <w:ind w:firstLine="720"/>
        <w:jc w:val="both"/>
        <w:rPr>
          <w:rFonts w:ascii="Book Antiqua" w:hAnsi="Book Antiqua"/>
          <w:color w:val="000000"/>
          <w:lang w:val="es-PR"/>
        </w:rPr>
      </w:pPr>
      <w:r w:rsidRPr="00BE51D7">
        <w:rPr>
          <w:rFonts w:ascii="Book Antiqua" w:hAnsi="Book Antiqua"/>
          <w:color w:val="000000"/>
          <w:lang w:val="es-PR"/>
        </w:rPr>
        <w:t>PRITS destaca como elemento esencial la creación de un consorcio universitario para el desarrollo de un centro de computación avanzada en inteligencia artificial, el cual fomentaría la investigación aplicada y la colaboración entre universidades y empresas. Además, subraya la importancia de que la implementación de la medida se realice dentro de una infraestructura tecnológica segura, en coordinación con las políticas de ciberseguridad y ética digital vigentes.</w:t>
      </w:r>
    </w:p>
    <w:p w14:paraId="50340A66" w14:textId="1DF14879" w:rsidR="00987355" w:rsidRDefault="00BE51D7" w:rsidP="00BE51D7">
      <w:pPr>
        <w:pStyle w:val="ColorfulList-Accent11"/>
        <w:spacing w:line="276" w:lineRule="auto"/>
        <w:ind w:left="0" w:firstLine="720"/>
        <w:jc w:val="both"/>
        <w:rPr>
          <w:rFonts w:ascii="Book Antiqua" w:hAnsi="Book Antiqua"/>
          <w:color w:val="000000"/>
          <w:szCs w:val="24"/>
          <w:lang w:val="es-PR"/>
        </w:rPr>
      </w:pPr>
      <w:r w:rsidRPr="00BE51D7">
        <w:rPr>
          <w:rFonts w:ascii="Book Antiqua" w:hAnsi="Book Antiqua"/>
          <w:color w:val="000000"/>
          <w:lang w:val="es-PR"/>
        </w:rPr>
        <w:t>En su conclusión, PRITS reafirma su respaldo a la aprobación del Proyecto del Senado 769 y reitera su compromiso de colaborar en su implantación, al tiempo que recomienda que se solicite el insumo del Departamento de Desarrollo Económico y Comercio, el Departamento de Hacienda, la Universidad de Puerto Rico y el Municipio de Bayamón para fortalecer la evaluación legislativa de la medida.</w:t>
      </w:r>
    </w:p>
    <w:p w14:paraId="668271BE" w14:textId="77777777" w:rsidR="00BE51D7" w:rsidRDefault="00BE51D7" w:rsidP="00BE51D7">
      <w:pPr>
        <w:pStyle w:val="ColorfulList-Accent11"/>
        <w:spacing w:line="276" w:lineRule="auto"/>
        <w:ind w:left="0"/>
        <w:jc w:val="center"/>
        <w:rPr>
          <w:rFonts w:ascii="Book Antiqua" w:hAnsi="Book Antiqua"/>
          <w:color w:val="000000"/>
          <w:szCs w:val="24"/>
          <w:lang w:val="es-PR"/>
        </w:rPr>
      </w:pPr>
    </w:p>
    <w:p w14:paraId="5B5AF8C8" w14:textId="62F88F34" w:rsidR="00BE51D7" w:rsidRDefault="00BE51D7" w:rsidP="00BE51D7">
      <w:pPr>
        <w:pStyle w:val="ColorfulList-Accent11"/>
        <w:spacing w:line="276" w:lineRule="auto"/>
        <w:ind w:left="0"/>
        <w:jc w:val="center"/>
        <w:rPr>
          <w:rFonts w:ascii="Book Antiqua" w:hAnsi="Book Antiqua"/>
          <w:b/>
          <w:bCs/>
          <w:color w:val="000000"/>
          <w:szCs w:val="24"/>
          <w:lang w:val="es-PR"/>
        </w:rPr>
      </w:pPr>
      <w:r w:rsidRPr="00BE51D7">
        <w:rPr>
          <w:rFonts w:ascii="Book Antiqua" w:hAnsi="Book Antiqua"/>
          <w:b/>
          <w:bCs/>
          <w:color w:val="000000"/>
          <w:szCs w:val="24"/>
          <w:lang w:val="es-PR"/>
        </w:rPr>
        <w:t>BRAINHI, INC.</w:t>
      </w:r>
    </w:p>
    <w:p w14:paraId="021123C3" w14:textId="77777777" w:rsidR="00BE51D7" w:rsidRPr="00BE51D7" w:rsidRDefault="00BE51D7" w:rsidP="00BE51D7">
      <w:pPr>
        <w:pStyle w:val="ColorfulList-Accent11"/>
        <w:spacing w:line="276" w:lineRule="auto"/>
        <w:ind w:left="0"/>
        <w:jc w:val="center"/>
        <w:rPr>
          <w:rFonts w:ascii="Book Antiqua" w:hAnsi="Book Antiqua"/>
          <w:b/>
          <w:bCs/>
          <w:color w:val="000000"/>
          <w:szCs w:val="24"/>
          <w:lang w:val="es-PR"/>
        </w:rPr>
      </w:pPr>
    </w:p>
    <w:p w14:paraId="2E132BB5" w14:textId="30AA01E0" w:rsidR="00BE51D7" w:rsidRPr="00BE51D7" w:rsidRDefault="00BE51D7" w:rsidP="00BE51D7">
      <w:pPr>
        <w:pStyle w:val="NormalWeb"/>
        <w:spacing w:line="276" w:lineRule="auto"/>
        <w:ind w:firstLine="720"/>
        <w:jc w:val="both"/>
        <w:rPr>
          <w:rFonts w:ascii="Book Antiqua" w:hAnsi="Book Antiqua"/>
          <w:color w:val="000000"/>
          <w:lang w:val="es-PR"/>
        </w:rPr>
      </w:pPr>
      <w:r w:rsidRPr="00BE51D7">
        <w:rPr>
          <w:rFonts w:ascii="Book Antiqua" w:hAnsi="Book Antiqua"/>
          <w:color w:val="000000"/>
          <w:lang w:val="es-PR"/>
        </w:rPr>
        <w:t>Emmanuel F. Oquendo-Rosa, director ejecutivo de BrainHi Inc.</w:t>
      </w:r>
      <w:r w:rsidR="00DC0838">
        <w:rPr>
          <w:rFonts w:ascii="Book Antiqua" w:hAnsi="Book Antiqua"/>
          <w:color w:val="000000"/>
          <w:lang w:val="es-PR"/>
        </w:rPr>
        <w:t xml:space="preserve">, expone </w:t>
      </w:r>
      <w:r w:rsidRPr="00BE51D7">
        <w:rPr>
          <w:rFonts w:ascii="Book Antiqua" w:hAnsi="Book Antiqua"/>
          <w:color w:val="000000"/>
          <w:lang w:val="es-PR"/>
        </w:rPr>
        <w:t>que la inteligencia artificial es una tecnología transformadora con el potencial de atender retos sociales profundos como el acceso a la salud, la educación personalizada, la modernización gubernamental y el aumento de la productividad empresarial. Sostiene que esta tecnología debe desarrollarse con ética, responsabilidad social y propósito, y que Puerto Rico tiene la capacidad de convertirse en un referente de innovación al servicio de la gente. Destaca su experiencia con BrainHi, empresa fundada en 2017 para ayudar a oficinas médicas a reconectarse con sus pacientes tras el huracán María, como ejemplo de cómo la innovación local puede producir soluciones de impacto. Afirma que la inteligencia artificial generativa representa una oportunidad única para democratizar la innovación y permitir que el talento puertorriqueño participe de la economía global que esta tecnología impulsa. Señala que la isla posee condiciones favorables, como su tamaño compacto, su red empresarial ágil y su solidez académica, que pueden convertirla en un laboratorio de innovación ética aplicada.</w:t>
      </w:r>
    </w:p>
    <w:p w14:paraId="3080979F" w14:textId="080886CA" w:rsidR="00BE51D7" w:rsidRPr="00D2183F" w:rsidRDefault="00DC0838" w:rsidP="00BE51D7">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Oquendo-Rosa</w:t>
      </w:r>
      <w:r w:rsidR="00BE51D7" w:rsidRPr="00D2183F">
        <w:rPr>
          <w:rFonts w:ascii="Book Antiqua" w:hAnsi="Book Antiqua"/>
          <w:color w:val="000000"/>
          <w:lang w:val="es-PR"/>
        </w:rPr>
        <w:t xml:space="preserve"> destaca que el Instituto debe atender tres prioridades fundamentales para garantizar su éxito. La primera es definir el rol de Puerto Rico dentro de la cadena de valor global de la inteligencia artificial, identificando áreas en las que pueda aportar valor añadido mediante la aplicación práctica de la tecnología en sectores como la manufactura, la salud o la energía. La segunda prioridad es establecer una estrategia clara de gobernanza de datos, que asegure el acceso, la calidad, la protección y la confianza en el manejo de la información, inspirándose en ejemplos como Singapur y </w:t>
      </w:r>
      <w:r w:rsidR="00BE51D7" w:rsidRPr="00D2183F">
        <w:rPr>
          <w:rFonts w:ascii="Book Antiqua" w:hAnsi="Book Antiqua"/>
          <w:color w:val="000000"/>
          <w:lang w:val="es-PR"/>
        </w:rPr>
        <w:lastRenderedPageBreak/>
        <w:t>California, donde políticas de datos abiertos y marcos éticos de uso responsable han impulsado la innovación. La tercera prioridad es el desarrollo del talento y del emprendimiento tecnológico local, integrando la alfabetización digital y el pensamiento computacional desde la educación escolar, fomentando programas de adiestramiento profesional y creando espacios de innovación en universidades y escuelas.</w:t>
      </w:r>
    </w:p>
    <w:p w14:paraId="50457292" w14:textId="77777777" w:rsidR="00BE51D7" w:rsidRPr="00D2183F" w:rsidRDefault="00BE51D7" w:rsidP="00BE51D7">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Oquendo formula varias recomendaciones para garantizar que el Instituto sea efectivo y sostenible. Señala que debe operar con una cultura de resultados medibles y rendición de cuentas, estableciendo metas claras, indicadores de desempeño y evaluaciones periódicas que permitan conocer su impacto real. Propone adoptar un modelo de colaboración público-privada similar al de la Georgia Research Alliance, que ha demostrado resultados tangibles en la creación de empleos, atracción de inversión y desarrollo empresarial. También recomienda evitar la duplicidad de funciones con entidades que ya promueven la innovación, como la Universidad de Puerto Rico, el Fideicomiso de Ciencia y Tecnología y organizaciones de emprendimiento, mediante acuerdos de colaboración que fortalezcan el ecosistema existente.</w:t>
      </w:r>
    </w:p>
    <w:p w14:paraId="47D89178" w14:textId="32F35C5E" w:rsidR="0067658E" w:rsidRPr="00D2183F" w:rsidRDefault="00BE51D7" w:rsidP="00DC0838">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En su conclusión, Oquendo afirma que la inteligencia artificial puede multiplicar el talento de los puertorriqueños y transformar los retos sociales en oportunidades. Sostiene que el Instituto debe ser una plataforma que una la ciencia, la empresa y el gobierno en una misión común de desarrollar tecnología desde Puerto Rico con impacto global.</w:t>
      </w:r>
    </w:p>
    <w:p w14:paraId="4371EAB6" w14:textId="77777777" w:rsidR="00DC0838" w:rsidRPr="00D2183F" w:rsidRDefault="00DC0838" w:rsidP="00DC0838">
      <w:pPr>
        <w:pStyle w:val="NormalWeb"/>
        <w:spacing w:line="276" w:lineRule="auto"/>
        <w:ind w:firstLine="720"/>
        <w:jc w:val="both"/>
        <w:rPr>
          <w:rFonts w:ascii="Book Antiqua" w:hAnsi="Book Antiqua"/>
          <w:color w:val="000000"/>
          <w:lang w:val="es-PR"/>
        </w:rPr>
      </w:pPr>
    </w:p>
    <w:p w14:paraId="568C2B10" w14:textId="38BEDDF1" w:rsidR="00346AC3" w:rsidRPr="00D2183F" w:rsidRDefault="00346AC3" w:rsidP="0059655C">
      <w:pPr>
        <w:pStyle w:val="ColorfulList-Accent11"/>
        <w:spacing w:line="276" w:lineRule="auto"/>
        <w:ind w:left="0"/>
        <w:jc w:val="center"/>
        <w:rPr>
          <w:rFonts w:ascii="Book Antiqua" w:hAnsi="Book Antiqua"/>
          <w:b/>
          <w:szCs w:val="24"/>
          <w:lang w:val="es-ES"/>
        </w:rPr>
      </w:pPr>
      <w:r w:rsidRPr="00D2183F">
        <w:rPr>
          <w:rFonts w:ascii="Book Antiqua" w:hAnsi="Book Antiqua"/>
          <w:b/>
          <w:szCs w:val="24"/>
          <w:lang w:val="es-ES"/>
        </w:rPr>
        <w:t>MICROSOFT</w:t>
      </w:r>
    </w:p>
    <w:p w14:paraId="182729F0" w14:textId="77777777" w:rsidR="00346AC3" w:rsidRPr="00D2183F" w:rsidRDefault="00346AC3" w:rsidP="00346AC3">
      <w:pPr>
        <w:pStyle w:val="ColorfulList-Accent11"/>
        <w:spacing w:line="276" w:lineRule="auto"/>
        <w:ind w:left="0"/>
        <w:jc w:val="both"/>
        <w:rPr>
          <w:rFonts w:ascii="Book Antiqua" w:hAnsi="Book Antiqua"/>
          <w:b/>
          <w:szCs w:val="24"/>
          <w:lang w:val="es-ES"/>
        </w:rPr>
      </w:pPr>
    </w:p>
    <w:p w14:paraId="2F23B146" w14:textId="32A68D9D" w:rsidR="00346AC3" w:rsidRPr="00D2183F" w:rsidRDefault="00346AC3" w:rsidP="00346AC3">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Microsoft, a través de su director para la región del Caribe y Puerto Rico, Andy Kaplan, señala que la inteligencia artificial representa un motor de desarrollo que requiere la colaboración entre gobiernos, industria y sociedad civil para garantizar un acceso equitativo a sus beneficios. Explica que Microsoft impulsa esta colaboración mediante inversión en infraestructura tecnológica, programas de capacitación y herramientas que promueven la productividad y la preparación de la fuerza laboral para los empleos del futuro.</w:t>
      </w:r>
    </w:p>
    <w:p w14:paraId="0754A82B" w14:textId="47842B05" w:rsidR="00346AC3" w:rsidRPr="00D2183F" w:rsidRDefault="00346AC3" w:rsidP="00346AC3">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 xml:space="preserve">El memorial </w:t>
      </w:r>
      <w:r w:rsidR="001302FC" w:rsidRPr="00D2183F">
        <w:rPr>
          <w:rFonts w:ascii="Book Antiqua" w:hAnsi="Book Antiqua"/>
          <w:color w:val="000000"/>
          <w:lang w:val="es-PR"/>
        </w:rPr>
        <w:t>establece</w:t>
      </w:r>
      <w:r w:rsidRPr="00D2183F">
        <w:rPr>
          <w:rFonts w:ascii="Book Antiqua" w:hAnsi="Book Antiqua"/>
          <w:color w:val="000000"/>
          <w:lang w:val="es-PR"/>
        </w:rPr>
        <w:t xml:space="preserve"> que la adopción de la inteligencia artificial debe regirse por principios de responsabilidad, equidad, transparencia y seguridad, orientados a la defensa de los valores democráticos y los derechos humanos. También discute el impacto global de la tecnología y la necesidad de que las jurisdicciones desarrollen marcos normativos coherentes que aseguren su uso responsable.</w:t>
      </w:r>
    </w:p>
    <w:p w14:paraId="55C43603" w14:textId="77777777" w:rsidR="00346AC3" w:rsidRPr="00346AC3" w:rsidRDefault="00346AC3" w:rsidP="00346AC3">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 xml:space="preserve">Microsoft presenta varias recomendaciones para fortalecer la medida. Sugiere incorporar estándares y guías internacionales, como la norma ISO 42001 sobre sistemas </w:t>
      </w:r>
      <w:r w:rsidRPr="00D2183F">
        <w:rPr>
          <w:rFonts w:ascii="Book Antiqua" w:hAnsi="Book Antiqua"/>
          <w:color w:val="000000"/>
          <w:lang w:val="es-PR"/>
        </w:rPr>
        <w:lastRenderedPageBreak/>
        <w:t>de gestión de inteligencia artificial y el Marco de Gestión de Riesgos de Inteligencia Artificial (AI RMF) del Instituto Nacional de Estándares y Tecnología (NIST). Recomienda además considerar el Código Internacional de Conducta para Sistemas Avanzados de Inteligencia Artificial del Proceso de Hiroshima (HAIP), que promueve prácticas de evaluación de riesgos, mitigación de vulnerabilidades, transparencia y seguridad. Asimismo, sugiere la coordinación con organismos internacionales como la Organización para la Cooperación y el Desarrollo Económico (OCDE) y la Alianza Mundial sobre Inteligencia Artificial (GPAI).</w:t>
      </w:r>
    </w:p>
    <w:p w14:paraId="6358FA5D" w14:textId="77777777" w:rsidR="00346AC3" w:rsidRPr="00346AC3" w:rsidRDefault="00346AC3" w:rsidP="00346AC3">
      <w:pPr>
        <w:pStyle w:val="NormalWeb"/>
        <w:spacing w:line="276" w:lineRule="auto"/>
        <w:ind w:firstLine="720"/>
        <w:jc w:val="both"/>
        <w:rPr>
          <w:rFonts w:ascii="Book Antiqua" w:hAnsi="Book Antiqua"/>
          <w:color w:val="000000"/>
          <w:lang w:val="es-PR"/>
        </w:rPr>
      </w:pPr>
      <w:r w:rsidRPr="00346AC3">
        <w:rPr>
          <w:rFonts w:ascii="Book Antiqua" w:hAnsi="Book Antiqua"/>
          <w:color w:val="000000"/>
          <w:lang w:val="es-PR"/>
        </w:rPr>
        <w:t>En su análisis del proyecto, el memorial reconoce como positivo que se incluyan principios relacionados con la transparencia, la ética, la rendición de cuentas y la colaboración entre sectores. Señala la conveniencia de adoptar procesos de gobernanza interdisciplinarios y de incorporar mecanismos de revisión continua que permitan adaptar la política pública a los avances tecnológicos. Además, recomienda fortalecer los componentes éticos mediante la inclusión de evaluaciones de impacto previas, mecanismos de monitoreo, respuesta ante incidentes y la actualización constante de políticas internas.</w:t>
      </w:r>
    </w:p>
    <w:p w14:paraId="6789A37D" w14:textId="3480C7AA" w:rsidR="00346AC3" w:rsidRPr="00346AC3" w:rsidRDefault="001302FC" w:rsidP="00346AC3">
      <w:pPr>
        <w:pStyle w:val="NormalWeb"/>
        <w:spacing w:line="276" w:lineRule="auto"/>
        <w:ind w:firstLine="720"/>
        <w:jc w:val="both"/>
        <w:rPr>
          <w:rFonts w:ascii="Book Antiqua" w:hAnsi="Book Antiqua"/>
          <w:color w:val="000000"/>
          <w:lang w:val="es-PR"/>
        </w:rPr>
      </w:pPr>
      <w:r>
        <w:rPr>
          <w:rFonts w:ascii="Book Antiqua" w:hAnsi="Book Antiqua"/>
          <w:color w:val="000000"/>
          <w:lang w:val="es-PR"/>
        </w:rPr>
        <w:t>La ponencia</w:t>
      </w:r>
      <w:r w:rsidR="00346AC3" w:rsidRPr="00346AC3">
        <w:rPr>
          <w:rFonts w:ascii="Book Antiqua" w:hAnsi="Book Antiqua"/>
          <w:color w:val="000000"/>
          <w:lang w:val="es-PR"/>
        </w:rPr>
        <w:t xml:space="preserve"> también subraya la importancia de la formación y capacitación en inteligencia artificial, destacando la necesidad de crear programas educativos y de becas que promuevan la diversidad y la inclusión en los equipos de desarrollo. Concluye señalando que los principios éticos deben traducirse en acciones concretas, a través de normas, estructuras de gobernanza y herramientas prácticas que aseguren el desarrollo responsable de la inteligencia artificial.</w:t>
      </w:r>
    </w:p>
    <w:p w14:paraId="2D2DF1C2" w14:textId="77777777" w:rsidR="00346AC3" w:rsidRDefault="00346AC3" w:rsidP="0059655C">
      <w:pPr>
        <w:pStyle w:val="ColorfulList-Accent11"/>
        <w:spacing w:line="276" w:lineRule="auto"/>
        <w:ind w:left="0"/>
        <w:jc w:val="center"/>
        <w:rPr>
          <w:rFonts w:ascii="Book Antiqua" w:hAnsi="Book Antiqua"/>
          <w:b/>
          <w:szCs w:val="24"/>
          <w:lang w:val="es-ES"/>
        </w:rPr>
      </w:pPr>
    </w:p>
    <w:p w14:paraId="62418DCA" w14:textId="00AF34A4" w:rsidR="00346AC3" w:rsidRDefault="00346AC3" w:rsidP="0059655C">
      <w:pPr>
        <w:pStyle w:val="ColorfulList-Accent11"/>
        <w:spacing w:line="276" w:lineRule="auto"/>
        <w:ind w:left="0"/>
        <w:jc w:val="center"/>
        <w:rPr>
          <w:rFonts w:ascii="Book Antiqua" w:hAnsi="Book Antiqua"/>
          <w:b/>
          <w:szCs w:val="24"/>
          <w:lang w:val="es-ES"/>
        </w:rPr>
      </w:pPr>
      <w:r>
        <w:rPr>
          <w:rFonts w:ascii="Book Antiqua" w:hAnsi="Book Antiqua"/>
          <w:b/>
          <w:szCs w:val="24"/>
          <w:lang w:val="es-ES"/>
        </w:rPr>
        <w:t>ACEROLA STRATEGIES LLC</w:t>
      </w:r>
    </w:p>
    <w:p w14:paraId="2D6B3D08" w14:textId="77777777" w:rsidR="00346AC3" w:rsidRDefault="00346AC3" w:rsidP="0059655C">
      <w:pPr>
        <w:pStyle w:val="ColorfulList-Accent11"/>
        <w:spacing w:line="276" w:lineRule="auto"/>
        <w:ind w:left="0"/>
        <w:jc w:val="center"/>
        <w:rPr>
          <w:rFonts w:ascii="Book Antiqua" w:hAnsi="Book Antiqua"/>
          <w:b/>
          <w:szCs w:val="24"/>
          <w:lang w:val="es-ES"/>
        </w:rPr>
      </w:pPr>
    </w:p>
    <w:p w14:paraId="7BE909DB" w14:textId="6C045ED9" w:rsidR="00346AC3" w:rsidRPr="00346AC3" w:rsidRDefault="00346AC3" w:rsidP="00346AC3">
      <w:pPr>
        <w:pStyle w:val="NormalWeb"/>
        <w:spacing w:line="276" w:lineRule="auto"/>
        <w:ind w:firstLine="720"/>
        <w:jc w:val="both"/>
        <w:rPr>
          <w:rFonts w:ascii="Book Antiqua" w:hAnsi="Book Antiqua"/>
          <w:color w:val="000000"/>
          <w:lang w:val="es-PR"/>
        </w:rPr>
      </w:pPr>
      <w:r w:rsidRPr="00346AC3">
        <w:rPr>
          <w:rFonts w:ascii="Book Antiqua" w:hAnsi="Book Antiqua"/>
          <w:color w:val="000000"/>
          <w:lang w:val="es-PR"/>
        </w:rPr>
        <w:t xml:space="preserve">El doctor Ubaldo M. Córdova Figueroa, catedrático del Recinto Universitario de Mayagüez de la Universidad de Puerto Rico y principal oficial ejecutivo de Acerola Strategies LLC, </w:t>
      </w:r>
      <w:r w:rsidR="001302FC">
        <w:rPr>
          <w:rFonts w:ascii="Book Antiqua" w:hAnsi="Book Antiqua"/>
          <w:color w:val="000000"/>
          <w:lang w:val="es-PR"/>
        </w:rPr>
        <w:t>enfatiza</w:t>
      </w:r>
      <w:r w:rsidRPr="00346AC3">
        <w:rPr>
          <w:rFonts w:ascii="Book Antiqua" w:hAnsi="Book Antiqua"/>
          <w:color w:val="000000"/>
          <w:lang w:val="es-PR"/>
        </w:rPr>
        <w:t xml:space="preserve"> la importancia de la medida como una política pública integral que busca posicionar a Puerto Rico como referente regional y global en el desarrollo responsable de la inteligencia artificial. Expone que la creación del Instituto representa una oportunidad histórica para alinear la ciencia, la tecnología y la política pública bajo un marco institucional coherente y ejecutable.</w:t>
      </w:r>
    </w:p>
    <w:p w14:paraId="362C1843" w14:textId="77777777" w:rsidR="00346AC3" w:rsidRPr="00346AC3" w:rsidRDefault="00346AC3" w:rsidP="00346AC3">
      <w:pPr>
        <w:pStyle w:val="NormalWeb"/>
        <w:spacing w:line="276" w:lineRule="auto"/>
        <w:ind w:firstLine="720"/>
        <w:jc w:val="both"/>
        <w:rPr>
          <w:rFonts w:ascii="Book Antiqua" w:hAnsi="Book Antiqua"/>
          <w:color w:val="000000"/>
          <w:lang w:val="es-PR"/>
        </w:rPr>
      </w:pPr>
      <w:r w:rsidRPr="00346AC3">
        <w:rPr>
          <w:rFonts w:ascii="Book Antiqua" w:hAnsi="Book Antiqua"/>
          <w:color w:val="000000"/>
          <w:lang w:val="es-PR"/>
        </w:rPr>
        <w:t xml:space="preserve">El memorial analiza seis ejes que sustentan la necesidad de la medida. Primero, señala la brecha de inversión en investigación y desarrollo en Puerto Rico, que representa solo el 0.37% del producto interno bruto, muy por debajo del promedio de los Estados Unidos, y resalta la urgencia de establecer una política pública que fomente la inversión en infraestructura científica, la retención de talento y la innovación aplicada. Segundo, </w:t>
      </w:r>
      <w:r w:rsidRPr="00346AC3">
        <w:rPr>
          <w:rFonts w:ascii="Book Antiqua" w:hAnsi="Book Antiqua"/>
          <w:color w:val="000000"/>
          <w:lang w:val="es-PR"/>
        </w:rPr>
        <w:lastRenderedPageBreak/>
        <w:t>explica que la inteligencia artificial redefine la ciencia y la economía mundial, por lo que la isla debe actuar con decisión para no quedar rezagada y aprovechar su posición estratégica, su talento y su conexión con el ecosistema estadounidense. Tercero, describe el estado actual del ecosistema local de inteligencia artificial, caracterizado por esfuerzos dispersos y limitaciones estructurales en infraestructura, coordinación e incentivos, y sostiene que el Instituto puede servir como el mecanismo que articule y fortalezca esos esfuerzos.</w:t>
      </w:r>
    </w:p>
    <w:p w14:paraId="54AB8600" w14:textId="77777777" w:rsidR="00346AC3" w:rsidRPr="00346AC3" w:rsidRDefault="00346AC3" w:rsidP="00346AC3">
      <w:pPr>
        <w:pStyle w:val="NormalWeb"/>
        <w:spacing w:line="276" w:lineRule="auto"/>
        <w:ind w:firstLine="720"/>
        <w:jc w:val="both"/>
        <w:rPr>
          <w:rFonts w:ascii="Book Antiqua" w:hAnsi="Book Antiqua"/>
          <w:color w:val="000000"/>
          <w:lang w:val="es-PR"/>
        </w:rPr>
      </w:pPr>
      <w:r w:rsidRPr="00346AC3">
        <w:rPr>
          <w:rFonts w:ascii="Book Antiqua" w:hAnsi="Book Antiqua"/>
          <w:color w:val="000000"/>
          <w:lang w:val="es-PR"/>
        </w:rPr>
        <w:t>El doctor Córdova detalla que el Instituto propuesto se concibe como una entidad de colaboración multisectorial con la Universidad de Puerto Rico, el Fideicomiso de Ciencia, Tecnología e Investigación y la Engine-4 Foundation en Bayamón, donde se concentraría infraestructura tecnológica avanzada, como laboratorios 5G, sistemas de robótica, impresión 3D y cómputo de alto rendimiento. Explica que el Instituto tendría la capacidad de generar ingresos a través de contratos, licencias, filantropía y servicios, lo que garantizaría su sostenibilidad y fortalecería su función de catalizador de innovación científica y económica. Según expone, la medida permitiría crear empleos de alto valor, impulsar proyectos aplicados en áreas como la salud, la energía y la manufactura, y atraer inversión privada y fondos federales.</w:t>
      </w:r>
    </w:p>
    <w:p w14:paraId="534088AA" w14:textId="77777777" w:rsidR="00346AC3" w:rsidRPr="00D2183F" w:rsidRDefault="00346AC3" w:rsidP="00346AC3">
      <w:pPr>
        <w:pStyle w:val="NormalWeb"/>
        <w:spacing w:line="276" w:lineRule="auto"/>
        <w:ind w:firstLine="720"/>
        <w:jc w:val="both"/>
        <w:rPr>
          <w:rFonts w:ascii="Book Antiqua" w:hAnsi="Book Antiqua"/>
          <w:color w:val="000000"/>
          <w:lang w:val="es-PR"/>
        </w:rPr>
      </w:pPr>
      <w:r w:rsidRPr="00346AC3">
        <w:rPr>
          <w:rFonts w:ascii="Book Antiqua" w:hAnsi="Book Antiqua"/>
          <w:color w:val="000000"/>
          <w:lang w:val="es-PR"/>
        </w:rPr>
        <w:t xml:space="preserve">El memorial incluye varias recomendaciones para fortalecer el texto legislativo. Entre </w:t>
      </w:r>
      <w:r w:rsidRPr="00D2183F">
        <w:rPr>
          <w:rFonts w:ascii="Book Antiqua" w:hAnsi="Book Antiqua"/>
          <w:color w:val="000000"/>
          <w:lang w:val="es-PR"/>
        </w:rPr>
        <w:t>ellas, propone enmendar el artículo que define los propósitos del Instituto para establecer expresamente la investigación científica como mandato central, orientada a la generación de propiedad intelectual, patentes y productos comercializables. Recomienda que el acuerdo operacional con la Engine-4 Foundation tenga una duración mínima de cinco años y máxima de diez, con métricas de desempeño e informes de cumplimiento. Sugiere ajustar la composición de la junta directiva para otorgar mayor representación técnica al sector privado mediante nombramientos escalonados y términos de tres, cuatro y cinco años, así como establecer un proceso de selección del director ejecutivo que incluya la participación de Engine-4.</w:t>
      </w:r>
    </w:p>
    <w:p w14:paraId="6DC7B35A" w14:textId="77777777" w:rsidR="00346AC3" w:rsidRPr="00D2183F" w:rsidRDefault="00346AC3" w:rsidP="00346AC3">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También propone ampliar el consorcio del Instituto para incluir empresas, organizaciones sin fines de lucro, fundaciones y laboratorios industriales, y ajustar la asignación presupuestaria para que la aportación del Fondo de Incentivos Económicos sea de diez millones de dólares o el 7.5% de lo recaudado, lo que sea mayor. Además, recomienda formalizar la colaboración con la Universidad de Puerto Rico mediante la designación de investigadores del Instituto como profesores afiliados, con facultad para dirigir proyectos académicos y de investigación.</w:t>
      </w:r>
    </w:p>
    <w:p w14:paraId="21387C7B" w14:textId="77777777" w:rsidR="00346AC3" w:rsidRPr="00346AC3" w:rsidRDefault="00346AC3" w:rsidP="00346AC3">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En su conclusión, el doctor Córdova sostiene que</w:t>
      </w:r>
      <w:r w:rsidRPr="00346AC3">
        <w:rPr>
          <w:rFonts w:ascii="Book Antiqua" w:hAnsi="Book Antiqua"/>
          <w:color w:val="000000"/>
          <w:lang w:val="es-PR"/>
        </w:rPr>
        <w:t xml:space="preserve"> el Instituto propuesto es esencial para cerrar la brecha en investigación y desarrollo, atraer fondos externos y promover un ecosistema de innovación sostenible y ético. Afirma que la creación de esta estructura </w:t>
      </w:r>
      <w:r w:rsidRPr="00346AC3">
        <w:rPr>
          <w:rFonts w:ascii="Book Antiqua" w:hAnsi="Book Antiqua"/>
          <w:color w:val="000000"/>
          <w:lang w:val="es-PR"/>
        </w:rPr>
        <w:lastRenderedPageBreak/>
        <w:t>institucional permitiría transformar el conocimiento científico en desarrollo económico, fortalecer la educación tecnológica y consolidar la posición de Puerto Rico como un actor competitivo en la economía global basada en la inteligencia artificial.</w:t>
      </w:r>
    </w:p>
    <w:p w14:paraId="593720E0" w14:textId="77777777" w:rsidR="00346AC3" w:rsidRDefault="00346AC3" w:rsidP="0059655C">
      <w:pPr>
        <w:pStyle w:val="ColorfulList-Accent11"/>
        <w:spacing w:line="276" w:lineRule="auto"/>
        <w:ind w:left="0"/>
        <w:jc w:val="center"/>
        <w:rPr>
          <w:rFonts w:ascii="Book Antiqua" w:hAnsi="Book Antiqua"/>
          <w:b/>
          <w:szCs w:val="24"/>
          <w:lang w:val="es-ES"/>
        </w:rPr>
      </w:pPr>
    </w:p>
    <w:p w14:paraId="7D0416ED" w14:textId="3448A60A" w:rsidR="00346AC3" w:rsidRDefault="00346AC3" w:rsidP="0059655C">
      <w:pPr>
        <w:pStyle w:val="ColorfulList-Accent11"/>
        <w:spacing w:line="276" w:lineRule="auto"/>
        <w:ind w:left="0"/>
        <w:jc w:val="center"/>
        <w:rPr>
          <w:rFonts w:ascii="Book Antiqua" w:hAnsi="Book Antiqua"/>
          <w:b/>
          <w:szCs w:val="24"/>
          <w:lang w:val="es-ES"/>
        </w:rPr>
      </w:pPr>
      <w:r>
        <w:rPr>
          <w:rFonts w:ascii="Book Antiqua" w:hAnsi="Book Antiqua"/>
          <w:b/>
          <w:szCs w:val="24"/>
          <w:lang w:val="es-ES"/>
        </w:rPr>
        <w:t>VICTOR DÍAZ RODRÍGUEZ</w:t>
      </w:r>
    </w:p>
    <w:p w14:paraId="76F3FBC3" w14:textId="77777777" w:rsidR="00346AC3" w:rsidRDefault="00346AC3" w:rsidP="0059655C">
      <w:pPr>
        <w:pStyle w:val="ColorfulList-Accent11"/>
        <w:spacing w:line="276" w:lineRule="auto"/>
        <w:ind w:left="0"/>
        <w:jc w:val="center"/>
        <w:rPr>
          <w:rFonts w:ascii="Book Antiqua" w:hAnsi="Book Antiqua"/>
          <w:b/>
          <w:szCs w:val="24"/>
          <w:lang w:val="es-ES"/>
        </w:rPr>
      </w:pPr>
    </w:p>
    <w:p w14:paraId="1F310090" w14:textId="660AA2E1" w:rsidR="00346AC3" w:rsidRPr="00346AC3" w:rsidRDefault="00346AC3" w:rsidP="00346AC3">
      <w:pPr>
        <w:pStyle w:val="NormalWeb"/>
        <w:spacing w:line="276" w:lineRule="auto"/>
        <w:ind w:firstLine="720"/>
        <w:jc w:val="both"/>
        <w:rPr>
          <w:rFonts w:ascii="Book Antiqua" w:hAnsi="Book Antiqua"/>
          <w:color w:val="000000"/>
          <w:lang w:val="es-PR"/>
        </w:rPr>
      </w:pPr>
      <w:r w:rsidRPr="00346AC3">
        <w:rPr>
          <w:rFonts w:ascii="Book Antiqua" w:hAnsi="Book Antiqua"/>
          <w:color w:val="000000"/>
          <w:lang w:val="es-PR"/>
        </w:rPr>
        <w:t>Víctor Díaz Rodríguez, profesor de la Universidad de Puerto Rico en Mayagüez y exdirector de la Oficina de Sistemas de Información de la Universidad</w:t>
      </w:r>
      <w:r w:rsidR="001302FC">
        <w:rPr>
          <w:rFonts w:ascii="Book Antiqua" w:hAnsi="Book Antiqua"/>
          <w:color w:val="000000"/>
          <w:lang w:val="es-PR"/>
        </w:rPr>
        <w:t>, e</w:t>
      </w:r>
      <w:r w:rsidRPr="00346AC3">
        <w:rPr>
          <w:rFonts w:ascii="Book Antiqua" w:hAnsi="Book Antiqua"/>
          <w:color w:val="000000"/>
          <w:lang w:val="es-PR"/>
        </w:rPr>
        <w:t>xpone su apoyo a los fines y estructuras del proyecto, por entender que establece un marco institucional adecuado para promover la investigación, la formación de talento y la modernización del gobierno mediante el uso responsable de la inteligencia artificial. Señala que el Instituto propuesto puede convertirse en un organismo ágil y transparente que articule la colaboración entre los sectores académico, gubernamental y privado.</w:t>
      </w:r>
    </w:p>
    <w:p w14:paraId="35EF5E45" w14:textId="77777777" w:rsidR="00346AC3" w:rsidRPr="00346AC3" w:rsidRDefault="00346AC3" w:rsidP="00346AC3">
      <w:pPr>
        <w:pStyle w:val="NormalWeb"/>
        <w:spacing w:line="276" w:lineRule="auto"/>
        <w:ind w:firstLine="720"/>
        <w:jc w:val="both"/>
        <w:rPr>
          <w:rFonts w:ascii="Book Antiqua" w:hAnsi="Book Antiqua"/>
          <w:color w:val="000000"/>
          <w:lang w:val="es-PR"/>
        </w:rPr>
      </w:pPr>
      <w:r w:rsidRPr="00346AC3">
        <w:rPr>
          <w:rFonts w:ascii="Book Antiqua" w:hAnsi="Book Antiqua"/>
          <w:color w:val="000000"/>
          <w:lang w:val="es-PR"/>
        </w:rPr>
        <w:t>Díaz Rodríguez considera acertadas las funciones que el proyecto asigna al Instituto, como la creación de un plan estratégico con metas a corto, mediano y largo plazo, el establecimiento de centros de excelencia, la promoción de programas de formación y la adopción de políticas de ética, inteligencia artificial responsable y datos abiertos. Enfatiza que el éxito del Instituto dependerá de su capacidad para integrar el conocimiento académico con las necesidades sociales y económicas de Puerto Rico, y que la academia debe desempeñar un papel central en la formación de talento, la transferencia tecnológica y la promoción de estándares de ética, privacidad y seguridad.</w:t>
      </w:r>
    </w:p>
    <w:p w14:paraId="3B003B42" w14:textId="32A4374D" w:rsidR="00346AC3" w:rsidRPr="00346AC3" w:rsidRDefault="00346AC3" w:rsidP="00346AC3">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Este plantea tres prioridades de política pública que deben quedar explícitas en la implantación del Instituto: aplicar tempranamente la inteligencia artificial a procesos administrativos de alto impacto en el gobierno, adoptar un modelo de gobernanza adaptativo que responda a la rápida evolución tecnológica y concentrar los esfuerzos en resolver problemas reales de alto valor social y económico. Además, recomienda reforzar la rendición de cuentas mediante la publicación anual de informes sobre avances tecnológicos y resultados medibles, que incluyan indicadores como reducción de tiempos de trámite, ahorros presupuestarios, adopción de usuarios y efectos en empleo y productividad.</w:t>
      </w:r>
    </w:p>
    <w:p w14:paraId="12EE23AD" w14:textId="77777777" w:rsidR="00346AC3" w:rsidRPr="00346AC3" w:rsidRDefault="00346AC3" w:rsidP="00346AC3">
      <w:pPr>
        <w:pStyle w:val="NormalWeb"/>
        <w:spacing w:line="276" w:lineRule="auto"/>
        <w:ind w:firstLine="720"/>
        <w:jc w:val="both"/>
        <w:rPr>
          <w:rFonts w:ascii="Book Antiqua" w:hAnsi="Book Antiqua"/>
          <w:color w:val="000000"/>
          <w:lang w:val="es-PR"/>
        </w:rPr>
      </w:pPr>
      <w:r w:rsidRPr="00346AC3">
        <w:rPr>
          <w:rFonts w:ascii="Book Antiqua" w:hAnsi="Book Antiqua"/>
          <w:color w:val="000000"/>
          <w:lang w:val="es-PR"/>
        </w:rPr>
        <w:t xml:space="preserve">Díaz Rodríguez destaca la importancia de la relación del Instituto con la Universidad de Puerto Rico, argumentando que esta cuenta con la infraestructura, el conocimiento y el talento necesarios para apoyar la investigación, la innovación y la formación de profesionales en inteligencia artificial. Sugiere que el Instituto priorice proyectos enfocados en desafíos específicos de la isla, como la gestión de datos, la ciberseguridad y los servicios públicos, y que durante su primer año de funcionamiento </w:t>
      </w:r>
      <w:r w:rsidRPr="00346AC3">
        <w:rPr>
          <w:rFonts w:ascii="Book Antiqua" w:hAnsi="Book Antiqua"/>
          <w:color w:val="000000"/>
          <w:lang w:val="es-PR"/>
        </w:rPr>
        <w:lastRenderedPageBreak/>
        <w:t>se desarrollen proyectos piloto en agencias con alto volumen transaccional para demostrar resultados tempranos y fortalecer la confianza ciudadana.</w:t>
      </w:r>
    </w:p>
    <w:p w14:paraId="09BFD3E7" w14:textId="5D180AE7" w:rsidR="00346AC3" w:rsidRDefault="00346AC3" w:rsidP="001302FC">
      <w:pPr>
        <w:pStyle w:val="ColorfulList-Accent11"/>
        <w:spacing w:line="276" w:lineRule="auto"/>
        <w:ind w:left="0" w:firstLine="720"/>
        <w:jc w:val="both"/>
        <w:rPr>
          <w:rFonts w:ascii="Book Antiqua" w:hAnsi="Book Antiqua"/>
          <w:color w:val="000000"/>
          <w:lang w:val="es-PR"/>
        </w:rPr>
      </w:pPr>
      <w:r w:rsidRPr="00346AC3">
        <w:rPr>
          <w:rFonts w:ascii="Book Antiqua" w:hAnsi="Book Antiqua"/>
          <w:color w:val="000000"/>
          <w:lang w:val="es-PR"/>
        </w:rPr>
        <w:t>En su conclusión, sostiene que el Proyecto del Senado 769 ofrece un marco institucional pertinente y oportuno para que Puerto Rico se convierta en un referente regional en el desarrollo e implementación de inteligencia artificial, siempre que su implantación se realice con rigor técnico, apertura, evaluación continua y resultados verificables</w:t>
      </w:r>
      <w:r>
        <w:rPr>
          <w:rFonts w:ascii="Book Antiqua" w:hAnsi="Book Antiqua"/>
          <w:color w:val="000000"/>
          <w:lang w:val="es-PR"/>
        </w:rPr>
        <w:t>.</w:t>
      </w:r>
    </w:p>
    <w:p w14:paraId="62DC1E8E" w14:textId="77777777" w:rsidR="00D8685B" w:rsidRPr="00346AC3" w:rsidRDefault="00D8685B" w:rsidP="001302FC">
      <w:pPr>
        <w:pStyle w:val="ColorfulList-Accent11"/>
        <w:spacing w:line="276" w:lineRule="auto"/>
        <w:ind w:left="0" w:firstLine="720"/>
        <w:jc w:val="both"/>
        <w:rPr>
          <w:rFonts w:ascii="Book Antiqua" w:hAnsi="Book Antiqua"/>
          <w:b/>
          <w:szCs w:val="24"/>
          <w:lang w:val="es-ES"/>
        </w:rPr>
      </w:pPr>
    </w:p>
    <w:p w14:paraId="3F8DB2B5" w14:textId="45B5D9E6" w:rsidR="00346AC3" w:rsidRPr="00D8685B" w:rsidRDefault="00D8685B" w:rsidP="0059655C">
      <w:pPr>
        <w:pStyle w:val="ColorfulList-Accent11"/>
        <w:spacing w:line="276" w:lineRule="auto"/>
        <w:ind w:left="0"/>
        <w:jc w:val="center"/>
        <w:rPr>
          <w:rFonts w:ascii="Book Antiqua" w:hAnsi="Book Antiqua"/>
          <w:b/>
          <w:bCs/>
          <w:szCs w:val="24"/>
          <w:lang w:val="es-ES"/>
        </w:rPr>
      </w:pPr>
      <w:r w:rsidRPr="00D8685B">
        <w:rPr>
          <w:rFonts w:ascii="Book Antiqua" w:hAnsi="Book Antiqua"/>
          <w:b/>
          <w:bCs/>
          <w:color w:val="000000"/>
          <w:lang w:val="es-PR"/>
        </w:rPr>
        <w:t>RED DE TECNOLOGÍAS DE INFORMACIÓN Y COMUNICACIÓN DEL MOVIMIENTO VICTORIA CIUDADANA</w:t>
      </w:r>
    </w:p>
    <w:p w14:paraId="14B18897" w14:textId="77777777" w:rsidR="00D8685B" w:rsidRDefault="00D8685B" w:rsidP="0059655C">
      <w:pPr>
        <w:pStyle w:val="ColorfulList-Accent11"/>
        <w:spacing w:line="276" w:lineRule="auto"/>
        <w:ind w:left="0"/>
        <w:jc w:val="center"/>
        <w:rPr>
          <w:rFonts w:ascii="Book Antiqua" w:hAnsi="Book Antiqua"/>
          <w:b/>
          <w:szCs w:val="24"/>
          <w:lang w:val="es-ES"/>
        </w:rPr>
      </w:pPr>
    </w:p>
    <w:p w14:paraId="6ED4370D" w14:textId="77777777" w:rsidR="00D8685B" w:rsidRPr="00D8685B" w:rsidRDefault="00D8685B" w:rsidP="00D8685B">
      <w:pPr>
        <w:pStyle w:val="NormalWeb"/>
        <w:spacing w:line="276" w:lineRule="auto"/>
        <w:ind w:firstLine="720"/>
        <w:jc w:val="both"/>
        <w:rPr>
          <w:rFonts w:ascii="Book Antiqua" w:hAnsi="Book Antiqua"/>
          <w:color w:val="000000"/>
          <w:lang w:val="es-PR"/>
        </w:rPr>
      </w:pPr>
      <w:r w:rsidRPr="00D8685B">
        <w:rPr>
          <w:rFonts w:ascii="Book Antiqua" w:hAnsi="Book Antiqua"/>
          <w:color w:val="000000"/>
          <w:lang w:val="es-PR"/>
        </w:rPr>
        <w:t>La Red de Tecnologías de Información y Comunicación del Movimiento Victoria Ciudadana, representada por Marcel Rivera Ayuso, reconoce el valor del Instituto propuesto por el P. del S. 769 como iniciativa de innovación pública y desarrollo económico, pero advierte sobre riesgos éticos y de gobernanza. Señala posibles conflictos de interés al permitir que el Instituto establezca sus propias normas éticas sin estar sujeto a la Ley de Ética Gubernamental, y al facultarlo para participar económicamente en empresas privadas. También alerta sobre un potencial conflicto jurisdiccional con PRITS, que podría generar duplicidad o privatización de funciones públicas, y cuestiona la designación directa de Engine-4 Foundation como sede y beneficiaria principal de fondos públicos sin proceso competitivo.</w:t>
      </w:r>
    </w:p>
    <w:p w14:paraId="5E50DFFD" w14:textId="77777777" w:rsidR="00D8685B" w:rsidRPr="00D8685B" w:rsidRDefault="00D8685B" w:rsidP="00D8685B">
      <w:pPr>
        <w:pStyle w:val="NormalWeb"/>
        <w:spacing w:line="276" w:lineRule="auto"/>
        <w:ind w:firstLine="720"/>
        <w:jc w:val="both"/>
        <w:rPr>
          <w:rFonts w:ascii="Book Antiqua" w:hAnsi="Book Antiqua"/>
          <w:color w:val="000000"/>
          <w:lang w:val="es-PR"/>
        </w:rPr>
      </w:pPr>
      <w:r w:rsidRPr="00D8685B">
        <w:rPr>
          <w:rFonts w:ascii="Book Antiqua" w:hAnsi="Book Antiqua"/>
          <w:color w:val="000000"/>
          <w:lang w:val="es-PR"/>
        </w:rPr>
        <w:t>La Red recomienda mantener la figura del Instituto como entidad sin fines de lucro, pero adscrita a PRITS, con sede en la Universidad de Puerto Rico en Bayamón. Propone ampliar la representación universitaria en la junta directiva e incluir lineamientos éticos basados en la Ley de Ética Gubernamental. Concluye que, con estas enmiendas, el proyecto podría fortalecer la capacidad tecnológica del gobierno, garantizar la transparencia y fomentar la innovación pública con participación ciudadana.</w:t>
      </w:r>
    </w:p>
    <w:p w14:paraId="540EF44D" w14:textId="77777777" w:rsidR="00D8685B" w:rsidRPr="00D8685B" w:rsidRDefault="00D8685B" w:rsidP="00D8685B">
      <w:pPr>
        <w:pStyle w:val="ColorfulList-Accent11"/>
        <w:spacing w:line="276" w:lineRule="auto"/>
        <w:ind w:left="0"/>
        <w:jc w:val="center"/>
        <w:rPr>
          <w:rFonts w:ascii="Book Antiqua" w:hAnsi="Book Antiqua"/>
          <w:b/>
          <w:szCs w:val="24"/>
          <w:lang w:val="es-PR"/>
        </w:rPr>
      </w:pPr>
    </w:p>
    <w:p w14:paraId="64B4C3E5" w14:textId="79D1CD1D" w:rsidR="00346AC3" w:rsidRDefault="00346AC3" w:rsidP="0059655C">
      <w:pPr>
        <w:pStyle w:val="ColorfulList-Accent11"/>
        <w:spacing w:line="276" w:lineRule="auto"/>
        <w:ind w:left="0"/>
        <w:jc w:val="center"/>
        <w:rPr>
          <w:rFonts w:ascii="Book Antiqua" w:hAnsi="Book Antiqua"/>
          <w:b/>
          <w:szCs w:val="24"/>
          <w:lang w:val="es-ES"/>
        </w:rPr>
      </w:pPr>
      <w:r>
        <w:rPr>
          <w:rFonts w:ascii="Book Antiqua" w:hAnsi="Book Antiqua"/>
          <w:b/>
          <w:szCs w:val="24"/>
          <w:lang w:val="es-ES"/>
        </w:rPr>
        <w:t>GLORIMAR RIPOLL BALET</w:t>
      </w:r>
    </w:p>
    <w:p w14:paraId="55E8FF83" w14:textId="77777777" w:rsidR="00346AC3" w:rsidRDefault="00346AC3" w:rsidP="0059655C">
      <w:pPr>
        <w:pStyle w:val="ColorfulList-Accent11"/>
        <w:spacing w:line="276" w:lineRule="auto"/>
        <w:ind w:left="0"/>
        <w:jc w:val="center"/>
        <w:rPr>
          <w:rFonts w:ascii="Book Antiqua" w:hAnsi="Book Antiqua"/>
          <w:b/>
          <w:szCs w:val="24"/>
          <w:lang w:val="es-ES"/>
        </w:rPr>
      </w:pPr>
    </w:p>
    <w:p w14:paraId="2D67A0D1" w14:textId="10825C35" w:rsidR="00346AC3" w:rsidRPr="00346AC3" w:rsidRDefault="00346AC3" w:rsidP="00346AC3">
      <w:pPr>
        <w:pStyle w:val="NormalWeb"/>
        <w:spacing w:line="276" w:lineRule="auto"/>
        <w:ind w:firstLine="720"/>
        <w:jc w:val="both"/>
        <w:rPr>
          <w:rFonts w:ascii="Book Antiqua" w:hAnsi="Book Antiqua"/>
          <w:color w:val="000000"/>
          <w:lang w:val="es-PR"/>
        </w:rPr>
      </w:pPr>
      <w:r w:rsidRPr="00346AC3">
        <w:rPr>
          <w:rFonts w:ascii="Book Antiqua" w:hAnsi="Book Antiqua"/>
          <w:color w:val="000000"/>
          <w:lang w:val="es-PR"/>
        </w:rPr>
        <w:t xml:space="preserve">Glorimar Ripoll Balet </w:t>
      </w:r>
      <w:r w:rsidR="001302FC">
        <w:rPr>
          <w:rFonts w:ascii="Book Antiqua" w:hAnsi="Book Antiqua"/>
          <w:color w:val="000000"/>
          <w:lang w:val="es-PR"/>
        </w:rPr>
        <w:t>e</w:t>
      </w:r>
      <w:r w:rsidRPr="00346AC3">
        <w:rPr>
          <w:rFonts w:ascii="Book Antiqua" w:hAnsi="Book Antiqua"/>
          <w:color w:val="000000"/>
          <w:lang w:val="es-PR"/>
        </w:rPr>
        <w:t>xpone que comparece en carácter personal, destacando su experiencia como fundadora y primera directora ejecutiva del Puerto Rico Innovation and Technology Service (PRITS), así como su trayectoria en el United States Digital Service (USDS) y en el sector privado. Desde esa experiencia, ofrece observaciones y recomendaciones sobre la medida.</w:t>
      </w:r>
    </w:p>
    <w:p w14:paraId="7B91489D" w14:textId="727A5A22" w:rsidR="00346AC3" w:rsidRPr="00346AC3" w:rsidRDefault="00346AC3" w:rsidP="00346AC3">
      <w:pPr>
        <w:pStyle w:val="NormalWeb"/>
        <w:spacing w:line="276" w:lineRule="auto"/>
        <w:ind w:firstLine="720"/>
        <w:jc w:val="both"/>
        <w:rPr>
          <w:rFonts w:ascii="Book Antiqua" w:hAnsi="Book Antiqua"/>
          <w:color w:val="000000"/>
          <w:lang w:val="es-PR"/>
        </w:rPr>
      </w:pPr>
      <w:r w:rsidRPr="00346AC3">
        <w:rPr>
          <w:rFonts w:ascii="Book Antiqua" w:hAnsi="Book Antiqua"/>
          <w:color w:val="000000"/>
          <w:lang w:val="es-PR"/>
        </w:rPr>
        <w:lastRenderedPageBreak/>
        <w:t>Ripoll Balet expresa su apoyo al Proyecto del Senado 769</w:t>
      </w:r>
      <w:r w:rsidR="001302FC">
        <w:rPr>
          <w:rFonts w:ascii="Book Antiqua" w:hAnsi="Book Antiqua"/>
          <w:color w:val="000000"/>
          <w:lang w:val="es-PR"/>
        </w:rPr>
        <w:t xml:space="preserve"> y </w:t>
      </w:r>
      <w:r w:rsidRPr="00346AC3">
        <w:rPr>
          <w:rFonts w:ascii="Book Antiqua" w:hAnsi="Book Antiqua"/>
          <w:color w:val="000000"/>
          <w:lang w:val="es-PR"/>
        </w:rPr>
        <w:t>descri</w:t>
      </w:r>
      <w:r w:rsidR="001302FC">
        <w:rPr>
          <w:rFonts w:ascii="Book Antiqua" w:hAnsi="Book Antiqua"/>
          <w:color w:val="000000"/>
          <w:lang w:val="es-PR"/>
        </w:rPr>
        <w:t>be la medida</w:t>
      </w:r>
      <w:r w:rsidRPr="00346AC3">
        <w:rPr>
          <w:rFonts w:ascii="Book Antiqua" w:hAnsi="Book Antiqua"/>
          <w:color w:val="000000"/>
          <w:lang w:val="es-PR"/>
        </w:rPr>
        <w:t xml:space="preserve"> como una legislación ambiciosa y visionaria. Sostiene que la propuesta llega en un momento clave y que puede posicionar a Puerto Rico entre las jurisdicciones pioneras en el desarrollo y la aplicación responsable de la inteligencia artificial. Destaca que la medida incluye una declaración de política pública sólida y reconoce la importancia de la transparencia, la rendición de cuentas y los resultados medibles como pilares esenciales para el éxito del Instituto.</w:t>
      </w:r>
    </w:p>
    <w:p w14:paraId="0F9BB54F" w14:textId="77777777" w:rsidR="00346AC3" w:rsidRPr="00346AC3" w:rsidRDefault="00346AC3" w:rsidP="00346AC3">
      <w:pPr>
        <w:pStyle w:val="NormalWeb"/>
        <w:spacing w:line="276" w:lineRule="auto"/>
        <w:ind w:firstLine="720"/>
        <w:jc w:val="both"/>
        <w:rPr>
          <w:rFonts w:ascii="Book Antiqua" w:hAnsi="Book Antiqua"/>
          <w:color w:val="000000"/>
          <w:lang w:val="es-PR"/>
        </w:rPr>
      </w:pPr>
      <w:r w:rsidRPr="00346AC3">
        <w:rPr>
          <w:rFonts w:ascii="Book Antiqua" w:hAnsi="Book Antiqua"/>
          <w:color w:val="000000"/>
          <w:lang w:val="es-PR"/>
        </w:rPr>
        <w:t>Apoya la designación de Engine-4 Foundation como socio operacional del Instituto, destacando su trayectoria y estabilidad institucional, pero aclara que sus recomendaciones no son objeciones, sino sugerencias constructivas para fortalecer la coordinación y la gobernanza. Señala que el propósito principal del proyecto es fomentar la investigación y la comercialización de tecnologías de inteligencia artificial, pero subraya que el texto también asigna al Instituto un rol en la modernización de los servicios públicos, lo cual se relaciona directamente con la función de PRITS bajo la Ley 75-2019.</w:t>
      </w:r>
    </w:p>
    <w:p w14:paraId="63875E5B" w14:textId="77777777" w:rsidR="00346AC3" w:rsidRPr="00D2183F" w:rsidRDefault="00346AC3" w:rsidP="00346AC3">
      <w:pPr>
        <w:pStyle w:val="NormalWeb"/>
        <w:spacing w:line="276" w:lineRule="auto"/>
        <w:ind w:firstLine="720"/>
        <w:jc w:val="both"/>
        <w:rPr>
          <w:rFonts w:ascii="Book Antiqua" w:hAnsi="Book Antiqua"/>
          <w:color w:val="000000"/>
          <w:lang w:val="es-PR"/>
        </w:rPr>
      </w:pPr>
      <w:r w:rsidRPr="00346AC3">
        <w:rPr>
          <w:rFonts w:ascii="Book Antiqua" w:hAnsi="Book Antiqua"/>
          <w:color w:val="000000"/>
          <w:lang w:val="es-PR"/>
        </w:rPr>
        <w:t xml:space="preserve">Observa que la política pública del Proyecto del Senado 769 presenta similitudes con la de la Ley 75-2019, que creó a PRITS como el organismo rector de la estrategia y la política pública de innovación y transformación digital del Gobierno de Puerto Rico. A su juicio, esa coincidencia requiere una coordinación claramente definida entre ambas entidades, de modo que se evite la duplicidad de funciones y se respete la autoridad de PRITS. Propone que la ley establezca expresamente que el Instituto opere alineado al Plan Estratégico de Innovación y Tecnología del Gobierno y que ambas entidades formalicen su colaboración mediante un mecanismo estructurado, como un comité conjunto o un </w:t>
      </w:r>
      <w:r w:rsidRPr="00D2183F">
        <w:rPr>
          <w:rFonts w:ascii="Book Antiqua" w:hAnsi="Book Antiqua"/>
          <w:color w:val="000000"/>
          <w:lang w:val="es-PR"/>
        </w:rPr>
        <w:t>memorando de entendimiento.</w:t>
      </w:r>
    </w:p>
    <w:p w14:paraId="5B3BADE9" w14:textId="77777777" w:rsidR="00346AC3" w:rsidRPr="00346AC3" w:rsidRDefault="00346AC3" w:rsidP="00346AC3">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Ripoll Balet considera indispensable fortalecer a PRITS, advirtiendo que la agencia carece de un director ejecutivo en propiedad y de personal especializado, lo que ha limitado su capacidad para ejecutar una política tecnológica efectiva. Expone que, sin un PRITS fortalecido, la coordinación con el Instituto y la implementación de la política pública podrían verse comprometidas. Enfatiza la necesidad de que el Gobierno y el Senado adopten medidas que doten a PRITS del liderato y los recursos necesarios para cumplir con sus funciones.</w:t>
      </w:r>
    </w:p>
    <w:p w14:paraId="1B8BB038" w14:textId="77777777" w:rsidR="00346AC3" w:rsidRPr="00346AC3" w:rsidRDefault="00346AC3" w:rsidP="00346AC3">
      <w:pPr>
        <w:pStyle w:val="NormalWeb"/>
        <w:spacing w:line="276" w:lineRule="auto"/>
        <w:ind w:firstLine="720"/>
        <w:jc w:val="both"/>
        <w:rPr>
          <w:rFonts w:ascii="Book Antiqua" w:hAnsi="Book Antiqua"/>
          <w:color w:val="000000"/>
          <w:lang w:val="es-PR"/>
        </w:rPr>
      </w:pPr>
      <w:r w:rsidRPr="00346AC3">
        <w:rPr>
          <w:rFonts w:ascii="Book Antiqua" w:hAnsi="Book Antiqua"/>
          <w:color w:val="000000"/>
          <w:lang w:val="es-PR"/>
        </w:rPr>
        <w:t xml:space="preserve">El memorial también aborda la importancia de reactivar la implementación de la Ley 122-2019, conocida como la “Ley de Datos Abiertos del Gobierno de Puerto Rico”, y de designar un oficial principal de datos. Ripoll Balet indica que los datos gubernamentales son la base de la innovación y que, sin una política pública de datos efectiva, los avances en inteligencia artificial se construirían sobre cimientos frágiles. Además, recomienda incorporar de manera más explícita la ciberseguridad como </w:t>
      </w:r>
      <w:r w:rsidRPr="00346AC3">
        <w:rPr>
          <w:rFonts w:ascii="Book Antiqua" w:hAnsi="Book Antiqua"/>
          <w:color w:val="000000"/>
          <w:lang w:val="es-PR"/>
        </w:rPr>
        <w:lastRenderedPageBreak/>
        <w:t>elemento esencial en el desarrollo de la inteligencia artificial, asegurando que las iniciativas del Instituto se alineen con el marco legal vigente en esa materia.</w:t>
      </w:r>
    </w:p>
    <w:p w14:paraId="58F40F63" w14:textId="77777777" w:rsidR="00346AC3" w:rsidRPr="00346AC3" w:rsidRDefault="00346AC3" w:rsidP="00346AC3">
      <w:pPr>
        <w:pStyle w:val="NormalWeb"/>
        <w:spacing w:line="276" w:lineRule="auto"/>
        <w:ind w:firstLine="720"/>
        <w:jc w:val="both"/>
        <w:rPr>
          <w:rFonts w:ascii="Book Antiqua" w:hAnsi="Book Antiqua"/>
          <w:color w:val="000000"/>
          <w:lang w:val="es-PR"/>
        </w:rPr>
      </w:pPr>
      <w:r w:rsidRPr="00346AC3">
        <w:rPr>
          <w:rFonts w:ascii="Book Antiqua" w:hAnsi="Book Antiqua"/>
          <w:color w:val="000000"/>
          <w:lang w:val="es-PR"/>
        </w:rPr>
        <w:t>Finalmente, sugiere revisar la composición de la junta directiva del Instituto para asegurar balance y diversidad, incluyendo representación equitativa de los sectores público, académico, industrial y científico, con el fin de garantizar independencia técnica, rigor profesional y transparencia. En su conclusión, Ripoll Balet expresa que el Proyecto del Senado 769 puede convertirse en un modelo de innovación para Puerto Rico si se fortalece la coordinación con PRITS, se reactivan las políticas de datos abiertos, se integra la ciberseguridad y se preserva la independencia científica.</w:t>
      </w:r>
    </w:p>
    <w:p w14:paraId="04A0CE22" w14:textId="77777777" w:rsidR="00346AC3" w:rsidRDefault="00346AC3" w:rsidP="0059655C">
      <w:pPr>
        <w:pStyle w:val="ColorfulList-Accent11"/>
        <w:spacing w:line="276" w:lineRule="auto"/>
        <w:ind w:left="0"/>
        <w:jc w:val="center"/>
        <w:rPr>
          <w:rFonts w:ascii="Book Antiqua" w:hAnsi="Book Antiqua"/>
          <w:b/>
          <w:szCs w:val="24"/>
          <w:lang w:val="es-ES"/>
        </w:rPr>
      </w:pPr>
    </w:p>
    <w:p w14:paraId="7E6B3F18" w14:textId="1675CA69" w:rsidR="00346AC3" w:rsidRDefault="00346AC3" w:rsidP="0059655C">
      <w:pPr>
        <w:pStyle w:val="ColorfulList-Accent11"/>
        <w:spacing w:line="276" w:lineRule="auto"/>
        <w:ind w:left="0"/>
        <w:jc w:val="center"/>
        <w:rPr>
          <w:rFonts w:ascii="Book Antiqua" w:hAnsi="Book Antiqua"/>
          <w:b/>
          <w:szCs w:val="24"/>
          <w:lang w:val="es-ES"/>
        </w:rPr>
      </w:pPr>
      <w:r>
        <w:rPr>
          <w:rFonts w:ascii="Book Antiqua" w:hAnsi="Book Antiqua"/>
          <w:b/>
          <w:szCs w:val="24"/>
          <w:lang w:val="es-ES"/>
        </w:rPr>
        <w:t>ENGINE-4</w:t>
      </w:r>
    </w:p>
    <w:p w14:paraId="7F1729D2" w14:textId="77777777" w:rsidR="00346AC3" w:rsidRDefault="00346AC3" w:rsidP="0059655C">
      <w:pPr>
        <w:pStyle w:val="ColorfulList-Accent11"/>
        <w:spacing w:line="276" w:lineRule="auto"/>
        <w:ind w:left="0"/>
        <w:jc w:val="center"/>
        <w:rPr>
          <w:rFonts w:ascii="Book Antiqua" w:hAnsi="Book Antiqua"/>
          <w:b/>
          <w:szCs w:val="24"/>
          <w:lang w:val="es-ES"/>
        </w:rPr>
      </w:pPr>
    </w:p>
    <w:p w14:paraId="7E671FBF" w14:textId="65DD3497" w:rsidR="00346AC3" w:rsidRPr="00346AC3" w:rsidRDefault="00346AC3" w:rsidP="00346AC3">
      <w:pPr>
        <w:pStyle w:val="NormalWeb"/>
        <w:spacing w:line="276" w:lineRule="auto"/>
        <w:ind w:firstLine="720"/>
        <w:jc w:val="both"/>
        <w:rPr>
          <w:rFonts w:ascii="Book Antiqua" w:hAnsi="Book Antiqua"/>
          <w:color w:val="000000"/>
          <w:lang w:val="es-PR"/>
        </w:rPr>
      </w:pPr>
      <w:r w:rsidRPr="00346AC3">
        <w:rPr>
          <w:rFonts w:ascii="Book Antiqua" w:hAnsi="Book Antiqua"/>
          <w:color w:val="000000"/>
          <w:lang w:val="es-PR"/>
        </w:rPr>
        <w:t xml:space="preserve">Luis A. Torres Pérez, cofundador y director ejecutivo de Engine-4 Foundation, </w:t>
      </w:r>
      <w:r w:rsidR="001302FC">
        <w:rPr>
          <w:rFonts w:ascii="Book Antiqua" w:hAnsi="Book Antiqua"/>
          <w:color w:val="000000"/>
          <w:lang w:val="es-PR"/>
        </w:rPr>
        <w:t xml:space="preserve">indica </w:t>
      </w:r>
      <w:r w:rsidRPr="00346AC3">
        <w:rPr>
          <w:rFonts w:ascii="Book Antiqua" w:hAnsi="Book Antiqua"/>
          <w:color w:val="000000"/>
          <w:lang w:val="es-PR"/>
        </w:rPr>
        <w:t>que Engine-4 es una organización sin fines de lucro con sede en Bayamón dedicada a promover la innovación, el emprendimiento y la educación tecnológica, con proyectos en inteligencia artificial, robótica, manufactura avanzada y tecnologías emergentes. Detalla que sus instalaciones cuentan con una infraestructura de clase mundial, incluyendo conectividad de fibra óptica de 500 Gbps, servidores locales de empresas tecnológicas globales, un laboratorio 5G y un centro de prototipado con impresoras 3D industriales, que pueden servir como base técnica para el desarrollo del Instituto propuesto.</w:t>
      </w:r>
    </w:p>
    <w:p w14:paraId="5539EECD" w14:textId="77777777" w:rsidR="00346AC3" w:rsidRPr="00346AC3" w:rsidRDefault="00346AC3" w:rsidP="00346AC3">
      <w:pPr>
        <w:pStyle w:val="NormalWeb"/>
        <w:spacing w:line="276" w:lineRule="auto"/>
        <w:ind w:firstLine="720"/>
        <w:jc w:val="both"/>
        <w:rPr>
          <w:rFonts w:ascii="Book Antiqua" w:hAnsi="Book Antiqua"/>
          <w:color w:val="000000"/>
          <w:lang w:val="es-PR"/>
        </w:rPr>
      </w:pPr>
      <w:r w:rsidRPr="00346AC3">
        <w:rPr>
          <w:rFonts w:ascii="Book Antiqua" w:hAnsi="Book Antiqua"/>
          <w:color w:val="000000"/>
          <w:lang w:val="es-PR"/>
        </w:rPr>
        <w:t>En su exposición, Torres Pérez explica que el proyecto busca atender la brecha de inversión en investigación y desarrollo existente en Puerto Rico, que representa solo el 0.37% del producto interno bruto, y fortalecer la capacidad del país para participar en la economía global de la inteligencia artificial. Analiza el contexto de transformación que vive la ciencia y la industria a nivel mundial, y argumenta que el proyecto puede posicionar a Puerto Rico como un centro regional de excelencia en inteligencia artificial, promoviendo la investigación aplicada, la educación tecnológica y la creación de empleos especializados.</w:t>
      </w:r>
    </w:p>
    <w:p w14:paraId="2A8B1773" w14:textId="77777777" w:rsidR="00346AC3" w:rsidRPr="00346AC3" w:rsidRDefault="00346AC3" w:rsidP="00346AC3">
      <w:pPr>
        <w:pStyle w:val="NormalWeb"/>
        <w:spacing w:line="276" w:lineRule="auto"/>
        <w:ind w:firstLine="720"/>
        <w:jc w:val="both"/>
        <w:rPr>
          <w:rFonts w:ascii="Book Antiqua" w:hAnsi="Book Antiqua"/>
          <w:color w:val="000000"/>
          <w:lang w:val="es-PR"/>
        </w:rPr>
      </w:pPr>
      <w:r w:rsidRPr="00346AC3">
        <w:rPr>
          <w:rFonts w:ascii="Book Antiqua" w:hAnsi="Book Antiqua"/>
          <w:color w:val="000000"/>
          <w:lang w:val="es-PR"/>
        </w:rPr>
        <w:t>El memorial describe la estructura y propósitos del Instituto, que integraría a la Universidad de Puerto Rico, el Fideicomiso de Ciencia, Tecnología e Investigación y Engine-4 Foundation como socios estratégicos. Expone que su establecimiento en Bayamón aprovecharía la infraestructura tecnológica ya existente y permitiría iniciar operaciones en menos tiempo y con menor costo. Además, señala que el Instituto operaría bajo un modelo de gobernanza multisectorial, combinando la academia, la industria, el gobierno y organizaciones sin fines de lucro para coordinar la investigación, la formación de talento y la atracción de fondos federales y privados.</w:t>
      </w:r>
    </w:p>
    <w:p w14:paraId="350F5C9D" w14:textId="77777777" w:rsidR="00346AC3" w:rsidRPr="00D2183F" w:rsidRDefault="00346AC3" w:rsidP="00346AC3">
      <w:pPr>
        <w:pStyle w:val="NormalWeb"/>
        <w:spacing w:line="276" w:lineRule="auto"/>
        <w:ind w:firstLine="720"/>
        <w:jc w:val="both"/>
        <w:rPr>
          <w:rFonts w:ascii="Book Antiqua" w:hAnsi="Book Antiqua"/>
          <w:color w:val="000000"/>
          <w:lang w:val="es-PR"/>
        </w:rPr>
      </w:pPr>
      <w:r w:rsidRPr="00346AC3">
        <w:rPr>
          <w:rFonts w:ascii="Book Antiqua" w:hAnsi="Book Antiqua"/>
          <w:color w:val="000000"/>
          <w:lang w:val="es-PR"/>
        </w:rPr>
        <w:lastRenderedPageBreak/>
        <w:t xml:space="preserve">Torres Pérez sostiene que el Instituto contribuiría al desarrollo económico, educativo y científico de Puerto Rico, promoviendo la creación de empresas emergentes y la </w:t>
      </w:r>
      <w:r w:rsidRPr="00D2183F">
        <w:rPr>
          <w:rFonts w:ascii="Book Antiqua" w:hAnsi="Book Antiqua"/>
          <w:color w:val="000000"/>
          <w:lang w:val="es-PR"/>
        </w:rPr>
        <w:t>aplicación de soluciones de inteligencia artificial a sectores como la salud, la manufactura, la energía y la educación. Enfatiza que la medida es necesaria para fortalecer la infraestructura científica, modernizar el gobierno y convertir al país en un actor competitivo en la economía del conocimiento.</w:t>
      </w:r>
    </w:p>
    <w:p w14:paraId="2960B19A" w14:textId="77777777" w:rsidR="00346AC3" w:rsidRPr="00346AC3" w:rsidRDefault="00346AC3" w:rsidP="00346AC3">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El documento incluye doce recomendaciones dirigidas a mejorar el texto legislativo y la implementación del proyecto. Entre ellas se destacan: crear un Consejo Asesor Internacional con expertos de universidades y organismos globales; fortalecer la independencia operativa del Instituto; diversificar las fuentes de financiamiento mediante fondos federales y aportaciones privadas; permitir la autogeneración de ingresos a través de servicios de consultoría, licencias y certificaciones; establecer un marco ético de inteligencia artificial basado en el modelo europeo “AI Ethics by Design”; desarrollar un portal de datos abiertos sobre inteligencia artificial; crear una división educativa denominada “AI Academy Puerto Rico”; establecer un fondo recurrente de becas e internados; crear un espacio de experimentación regulatoria (“AI Sandbox Gubernamental”) para probar soluciones en agencias públicas; expandir el programa de “Municipio Inteligente” a toda la isla; definir indicadores de impacto medibles y publicar informes anuales de transparencia.</w:t>
      </w:r>
    </w:p>
    <w:p w14:paraId="0F06EB74" w14:textId="7D8A2E1E" w:rsidR="00346AC3" w:rsidRPr="00346AC3" w:rsidRDefault="00346AC3" w:rsidP="00346AC3">
      <w:pPr>
        <w:pStyle w:val="ColorfulList-Accent11"/>
        <w:spacing w:line="276" w:lineRule="auto"/>
        <w:ind w:left="0" w:firstLine="720"/>
        <w:jc w:val="both"/>
        <w:rPr>
          <w:rFonts w:ascii="Book Antiqua" w:hAnsi="Book Antiqua"/>
          <w:b/>
          <w:szCs w:val="24"/>
          <w:lang w:val="es-ES"/>
        </w:rPr>
      </w:pPr>
      <w:r w:rsidRPr="00346AC3">
        <w:rPr>
          <w:rFonts w:ascii="Book Antiqua" w:hAnsi="Book Antiqua"/>
          <w:color w:val="000000"/>
          <w:lang w:val="es-PR"/>
        </w:rPr>
        <w:t>En su conclusión, Torres Pérez reafirma su respaldo al Proyecto del Senado 769 y expresa que su aprobación representa una oportunidad histórica para que Puerto Rico adopte una estrategia nacional que integre ciencia, tecnología e innovación como pilares del desarrollo económico y social. Agradece al Presidente del Senado y a la Comisión de Ciencia, Tecnología e Inteligencia Artificial por su liderazgo, y reitera la disposición de Engine-4 Foundation para colaborar con el Senado en el análisis técnico y la eventual implementación del Instituto propuesto</w:t>
      </w:r>
    </w:p>
    <w:p w14:paraId="6285A576" w14:textId="77777777" w:rsidR="00346AC3" w:rsidRDefault="00346AC3" w:rsidP="0059655C">
      <w:pPr>
        <w:pStyle w:val="ColorfulList-Accent11"/>
        <w:spacing w:line="276" w:lineRule="auto"/>
        <w:ind w:left="0"/>
        <w:jc w:val="center"/>
        <w:rPr>
          <w:rFonts w:ascii="Book Antiqua" w:hAnsi="Book Antiqua"/>
          <w:b/>
          <w:szCs w:val="24"/>
          <w:lang w:val="es-ES"/>
        </w:rPr>
      </w:pPr>
    </w:p>
    <w:p w14:paraId="434E67A6" w14:textId="7BFA119C" w:rsidR="00346AC3" w:rsidRDefault="00346AC3" w:rsidP="0059655C">
      <w:pPr>
        <w:pStyle w:val="ColorfulList-Accent11"/>
        <w:spacing w:line="276" w:lineRule="auto"/>
        <w:ind w:left="0"/>
        <w:jc w:val="center"/>
        <w:rPr>
          <w:rFonts w:ascii="Book Antiqua" w:hAnsi="Book Antiqua"/>
          <w:b/>
          <w:szCs w:val="24"/>
          <w:lang w:val="es-PR"/>
        </w:rPr>
      </w:pPr>
      <w:r w:rsidRPr="00346AC3">
        <w:rPr>
          <w:rFonts w:ascii="Book Antiqua" w:hAnsi="Book Antiqua"/>
          <w:b/>
          <w:szCs w:val="24"/>
          <w:lang w:val="es-PR"/>
        </w:rPr>
        <w:t>INTERNET SOCIETY PUERTO RICO</w:t>
      </w:r>
      <w:r w:rsidR="00DC0838">
        <w:rPr>
          <w:rFonts w:ascii="Book Antiqua" w:hAnsi="Book Antiqua"/>
          <w:b/>
          <w:szCs w:val="24"/>
          <w:lang w:val="es-PR"/>
        </w:rPr>
        <w:t xml:space="preserve"> CHAPTER</w:t>
      </w:r>
    </w:p>
    <w:p w14:paraId="64B16D0C" w14:textId="77777777" w:rsidR="00346AC3" w:rsidRDefault="00346AC3" w:rsidP="0059655C">
      <w:pPr>
        <w:pStyle w:val="ColorfulList-Accent11"/>
        <w:spacing w:line="276" w:lineRule="auto"/>
        <w:ind w:left="0"/>
        <w:jc w:val="center"/>
        <w:rPr>
          <w:rFonts w:ascii="Book Antiqua" w:hAnsi="Book Antiqua"/>
          <w:b/>
          <w:szCs w:val="24"/>
          <w:lang w:val="es-PR"/>
        </w:rPr>
      </w:pPr>
    </w:p>
    <w:p w14:paraId="0FD32C57" w14:textId="4EB5C50A" w:rsidR="00346AC3" w:rsidRPr="00346AC3" w:rsidRDefault="00346AC3" w:rsidP="001302FC">
      <w:pPr>
        <w:pStyle w:val="NormalWeb"/>
        <w:spacing w:line="276" w:lineRule="auto"/>
        <w:ind w:firstLine="720"/>
        <w:jc w:val="both"/>
        <w:rPr>
          <w:rFonts w:ascii="Book Antiqua" w:hAnsi="Book Antiqua"/>
          <w:color w:val="000000"/>
          <w:lang w:val="es-PR"/>
        </w:rPr>
      </w:pPr>
      <w:r w:rsidRPr="00346AC3">
        <w:rPr>
          <w:rFonts w:ascii="Book Antiqua" w:hAnsi="Book Antiqua"/>
          <w:color w:val="000000"/>
          <w:lang w:val="es-PR"/>
        </w:rPr>
        <w:t xml:space="preserve">El Capítulo de Puerto Rico de Internet Society (ISOC-PR), representado por su presidente Norberto Cruz Córdova, expresa su respaldo al Proyecto del Senado 769 y considera que representa una oportunidad histórica para posicionar a Puerto Rico como líder regional en innovación tecnológica responsable. Señala que el Instituto fortalecería la infraestructura tecnológica de la isla mediante la creación de un centro de computación de inteligencia artificial de vanguardia en las facilidades de Engine-4 Foundation, lo que permitiría el acceso a capacidades informáticas avanzadas para investigación y desarrollo. Destaca el modelo de gobernanza multisectorial que propone la medida, al </w:t>
      </w:r>
      <w:r w:rsidRPr="00346AC3">
        <w:rPr>
          <w:rFonts w:ascii="Book Antiqua" w:hAnsi="Book Antiqua"/>
          <w:color w:val="000000"/>
          <w:lang w:val="es-PR"/>
        </w:rPr>
        <w:lastRenderedPageBreak/>
        <w:t>integrar al gobierno, la academia, el sector privado y los municipios, y sostiene que ese modelo refleja las mejores prácticas internacionales en materia de gobernanza tecnológica.</w:t>
      </w:r>
    </w:p>
    <w:p w14:paraId="3358B82F" w14:textId="77777777" w:rsidR="00346AC3" w:rsidRPr="00346AC3" w:rsidRDefault="00346AC3" w:rsidP="00346AC3">
      <w:pPr>
        <w:pStyle w:val="NormalWeb"/>
        <w:spacing w:line="276" w:lineRule="auto"/>
        <w:ind w:firstLine="720"/>
        <w:jc w:val="both"/>
        <w:rPr>
          <w:rFonts w:ascii="Book Antiqua" w:hAnsi="Book Antiqua"/>
          <w:color w:val="000000"/>
          <w:lang w:val="es-PR"/>
        </w:rPr>
      </w:pPr>
      <w:r w:rsidRPr="00346AC3">
        <w:rPr>
          <w:rFonts w:ascii="Book Antiqua" w:hAnsi="Book Antiqua"/>
          <w:color w:val="000000"/>
          <w:lang w:val="es-PR"/>
        </w:rPr>
        <w:t>La ponencia subraya la importancia del desarrollo de talento local en áreas de ciencia, tecnología, ingeniería y matemáticas, mediante programas de capacitación, certificaciones y becas, que promuevan la formación de una fuerza laboral capaz de liderar la innovación tecnológica. ISOC-PR también destaca las disposiciones del proyecto que promueven la inteligencia artificial responsable y ética, a través de la creación de una política pública de IA responsable, un código de ética y un comité asesor especializado. Considera que estas salvaguardas se alinean con los principios de transparencia, privacidad, seguridad y derechos fundamentales que la organización defiende a nivel global.</w:t>
      </w:r>
    </w:p>
    <w:p w14:paraId="6D9EADDA" w14:textId="77777777" w:rsidR="00346AC3" w:rsidRPr="00D2183F" w:rsidRDefault="00346AC3" w:rsidP="00346AC3">
      <w:pPr>
        <w:pStyle w:val="NormalWeb"/>
        <w:spacing w:line="276" w:lineRule="auto"/>
        <w:ind w:firstLine="720"/>
        <w:jc w:val="both"/>
        <w:rPr>
          <w:rFonts w:ascii="Book Antiqua" w:hAnsi="Book Antiqua"/>
          <w:color w:val="000000"/>
          <w:lang w:val="es-PR"/>
        </w:rPr>
      </w:pPr>
      <w:r w:rsidRPr="00346AC3">
        <w:rPr>
          <w:rFonts w:ascii="Book Antiqua" w:hAnsi="Book Antiqua"/>
          <w:color w:val="000000"/>
          <w:lang w:val="es-PR"/>
        </w:rPr>
        <w:t xml:space="preserve">En cuanto al impacto económico, la organización plantea que la medida puede generar empleos de alta calidad, fortalecer los ecosistemas de innovación y fomentar la instalación de empresas tecnológicas en Puerto Rico. También resalta la coordinación propuesta entre el Instituto y la Puerto Rico Innovation and Technology Service (PRITS) para aplicar la inteligencia artificial en los servicios públicos, con el fin de mejorar la </w:t>
      </w:r>
      <w:r w:rsidRPr="00D2183F">
        <w:rPr>
          <w:rFonts w:ascii="Book Antiqua" w:hAnsi="Book Antiqua"/>
          <w:color w:val="000000"/>
          <w:lang w:val="es-PR"/>
        </w:rPr>
        <w:t>eficiencia gubernamental y reducir costos administrativos.</w:t>
      </w:r>
    </w:p>
    <w:p w14:paraId="7B8068AC" w14:textId="77777777" w:rsidR="00346AC3" w:rsidRPr="00346AC3" w:rsidRDefault="00346AC3" w:rsidP="00346AC3">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ISOC-PR formula varias recomendaciones para fortalecer el proyecto. Propone que el Instituto incluya programas de inclusión digital para comunidades rurales y grupos vulnerables; incorpore capacitación en gobernanza de Internet, ciberseguridad y privacidad; establezca mecanismos formales de colaboración con organizaciones de la sociedad civil; adopte marcos éticos internacionales desarrollados por organismos como la UNESCO y la OCDE; y amplíe la composición de su junta directiva para incluir representación de la sociedad civil, universidades privadas y el Comité Asesor de Inteligencia Artificial Responsable y Ética.</w:t>
      </w:r>
    </w:p>
    <w:p w14:paraId="7EDA7647" w14:textId="083C7EA8" w:rsidR="00346AC3" w:rsidRPr="00346AC3" w:rsidRDefault="00346AC3" w:rsidP="00346AC3">
      <w:pPr>
        <w:pStyle w:val="ColorfulList-Accent11"/>
        <w:spacing w:line="276" w:lineRule="auto"/>
        <w:ind w:left="0" w:firstLine="720"/>
        <w:jc w:val="both"/>
        <w:rPr>
          <w:rFonts w:ascii="Book Antiqua" w:hAnsi="Book Antiqua"/>
          <w:b/>
          <w:szCs w:val="24"/>
          <w:lang w:val="es-PR"/>
        </w:rPr>
      </w:pPr>
      <w:r w:rsidRPr="00346AC3">
        <w:rPr>
          <w:rFonts w:ascii="Book Antiqua" w:hAnsi="Book Antiqua"/>
          <w:color w:val="000000"/>
          <w:lang w:val="es-PR"/>
        </w:rPr>
        <w:t>En su conclusión, ISOC-PR reafirma su apoyo al Proyecto del Senado 769 y exhorta a su aprobación. Expone que la creación del Instituto representa una oportunidad estratégica para impulsar el desarrollo sostenible y la gobernanza digital responsable en Puerto Rico. Finalmente, la organización manifiesta su disposición a colaborar con el Senado y con el futuro Instituto como recurso técnico y socio estratégico en gobernanza digital, ciberseguridad, alfabetización tecnológica e inclusión digital.</w:t>
      </w:r>
    </w:p>
    <w:p w14:paraId="24D1B00E" w14:textId="77777777" w:rsidR="00346AC3" w:rsidRPr="00346AC3" w:rsidRDefault="00346AC3" w:rsidP="0059655C">
      <w:pPr>
        <w:pStyle w:val="ColorfulList-Accent11"/>
        <w:spacing w:line="276" w:lineRule="auto"/>
        <w:ind w:left="0"/>
        <w:jc w:val="center"/>
        <w:rPr>
          <w:rFonts w:ascii="Book Antiqua" w:hAnsi="Book Antiqua"/>
          <w:b/>
          <w:szCs w:val="24"/>
          <w:lang w:val="es-PR"/>
        </w:rPr>
      </w:pPr>
    </w:p>
    <w:p w14:paraId="4502F481" w14:textId="76AE32EB" w:rsidR="00E13BA5" w:rsidRDefault="00E13BA5" w:rsidP="0059655C">
      <w:pPr>
        <w:pStyle w:val="ColorfulList-Accent11"/>
        <w:spacing w:line="276" w:lineRule="auto"/>
        <w:ind w:left="0"/>
        <w:jc w:val="center"/>
        <w:rPr>
          <w:rFonts w:ascii="Book Antiqua" w:hAnsi="Book Antiqua"/>
          <w:b/>
          <w:szCs w:val="24"/>
          <w:lang w:val="es-PR"/>
        </w:rPr>
      </w:pPr>
      <w:r w:rsidRPr="00E13BA5">
        <w:rPr>
          <w:rFonts w:ascii="Book Antiqua" w:hAnsi="Book Antiqua"/>
          <w:b/>
          <w:szCs w:val="24"/>
          <w:lang w:val="es-PR"/>
        </w:rPr>
        <w:t xml:space="preserve">DR. HÉCTOR DE </w:t>
      </w:r>
      <w:r>
        <w:rPr>
          <w:rFonts w:ascii="Book Antiqua" w:hAnsi="Book Antiqua"/>
          <w:b/>
          <w:szCs w:val="24"/>
          <w:lang w:val="es-PR"/>
        </w:rPr>
        <w:t>JESÚS CORTÉS</w:t>
      </w:r>
    </w:p>
    <w:p w14:paraId="3BD09287" w14:textId="77777777" w:rsidR="00E13BA5" w:rsidRDefault="00E13BA5" w:rsidP="0059655C">
      <w:pPr>
        <w:pStyle w:val="ColorfulList-Accent11"/>
        <w:spacing w:line="276" w:lineRule="auto"/>
        <w:ind w:left="0"/>
        <w:jc w:val="center"/>
        <w:rPr>
          <w:rFonts w:ascii="Book Antiqua" w:hAnsi="Book Antiqua"/>
          <w:b/>
          <w:szCs w:val="24"/>
          <w:lang w:val="es-PR"/>
        </w:rPr>
      </w:pPr>
    </w:p>
    <w:p w14:paraId="793C8B38" w14:textId="78EE3152" w:rsidR="00E13BA5" w:rsidRPr="00E13BA5" w:rsidRDefault="00E13BA5" w:rsidP="00E13BA5">
      <w:pPr>
        <w:pStyle w:val="NormalWeb"/>
        <w:spacing w:line="276" w:lineRule="auto"/>
        <w:ind w:firstLine="720"/>
        <w:jc w:val="both"/>
        <w:rPr>
          <w:rFonts w:ascii="Book Antiqua" w:hAnsi="Book Antiqua"/>
          <w:color w:val="000000"/>
          <w:lang w:val="es-PR"/>
        </w:rPr>
      </w:pPr>
      <w:r w:rsidRPr="00E13BA5">
        <w:rPr>
          <w:rFonts w:ascii="Book Antiqua" w:hAnsi="Book Antiqua"/>
          <w:color w:val="000000"/>
          <w:lang w:val="es-PR"/>
        </w:rPr>
        <w:t>El doctor Héctor De Jesús Cortés, director de BioGénesis Puerto Rico y catedrático auxiliar del Departamento de Biología de la Universidad de Puerto Rico en Río Piedras,</w:t>
      </w:r>
      <w:r w:rsidR="009B29FE">
        <w:rPr>
          <w:rFonts w:ascii="Book Antiqua" w:hAnsi="Book Antiqua"/>
          <w:color w:val="000000"/>
          <w:lang w:val="es-PR"/>
        </w:rPr>
        <w:t xml:space="preserve"> </w:t>
      </w:r>
      <w:r w:rsidR="009B29FE">
        <w:rPr>
          <w:rFonts w:ascii="Book Antiqua" w:hAnsi="Book Antiqua"/>
          <w:color w:val="000000"/>
          <w:lang w:val="es-PR"/>
        </w:rPr>
        <w:lastRenderedPageBreak/>
        <w:t>e</w:t>
      </w:r>
      <w:r w:rsidRPr="00E13BA5">
        <w:rPr>
          <w:rFonts w:ascii="Book Antiqua" w:hAnsi="Book Antiqua"/>
          <w:color w:val="000000"/>
          <w:lang w:val="es-PR"/>
        </w:rPr>
        <w:t>n su escrito, resalta la importancia de la medida y afirma que la creación del Instituto representa una oportunidad histórica para transformar la manera en que Puerto Rico concibe la investigación y el desarrollo científico. Expone que la inteligencia artificial es una tecnología transformadora con un impacto creciente en todos los sectores, incluyendo la salud, la biotecnología y la agricultura, y que su desarrollo requiere infraestructura de cómputo avanzada y modelos de gobernanza sólidos.</w:t>
      </w:r>
    </w:p>
    <w:p w14:paraId="22B5CCEB" w14:textId="77777777" w:rsidR="00E13BA5" w:rsidRPr="00D2183F" w:rsidRDefault="00E13BA5" w:rsidP="00E13BA5">
      <w:pPr>
        <w:pStyle w:val="NormalWeb"/>
        <w:spacing w:line="276" w:lineRule="auto"/>
        <w:ind w:firstLine="720"/>
        <w:jc w:val="both"/>
        <w:rPr>
          <w:rFonts w:ascii="Book Antiqua" w:hAnsi="Book Antiqua"/>
          <w:color w:val="000000"/>
          <w:lang w:val="es-PR"/>
        </w:rPr>
      </w:pPr>
      <w:r w:rsidRPr="00E13BA5">
        <w:rPr>
          <w:rFonts w:ascii="Book Antiqua" w:hAnsi="Book Antiqua"/>
          <w:color w:val="000000"/>
          <w:lang w:val="es-PR"/>
        </w:rPr>
        <w:t>El com</w:t>
      </w:r>
      <w:r w:rsidRPr="00D2183F">
        <w:rPr>
          <w:rFonts w:ascii="Book Antiqua" w:hAnsi="Book Antiqua"/>
          <w:color w:val="000000"/>
          <w:lang w:val="es-PR"/>
        </w:rPr>
        <w:t>pareciente describe cómo las inversiones en supercomputación generan retornos económicos y académicos significativos y presenta ejemplos de iniciativas internacionales en Chile, Estados Unidos y América Latina para ilustrar la necesidad de que Puerto Rico adopte un modelo institucional que consolide sus capacidades en inteligencia artificial. Sostiene que la medida permitiría fortalecer la competitividad económica, el desarrollo tecnológico y la capacidad investigativa de la Universidad de Puerto Rico y otras instituciones académicas, al tiempo que fomentaría la creación de un ecosistema sostenible de innovación.</w:t>
      </w:r>
    </w:p>
    <w:p w14:paraId="33832AAA" w14:textId="77777777" w:rsidR="00E13BA5" w:rsidRPr="00D2183F" w:rsidRDefault="00E13BA5" w:rsidP="00E13BA5">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El doctor De Jesús Cortés expresa su apoyo a la creación del Instituto y somete una serie de recomendaciones para fortalecer su estructura y garantizar su sostenibilidad. Sugiere modificar la composición de la Junta de Directores para asegurar un balance entre el gobierno, la academia y la industria, reduciendo el número de representantes del sector privado designados por el gobernador y aumentando los nombramientos hechos directamente por la propia Junta, además de establecer términos escalonados y asegurar la inclusión de representantes de las ciencias de la vida o la biotecnología. Propone que el proceso de selección del director ejecutivo se realice mediante un comité de búsqueda independiente y que este pueda conformar su equipo gerencial sujeto a aprobación de la Junta.</w:t>
      </w:r>
    </w:p>
    <w:p w14:paraId="4A0886B0" w14:textId="77777777" w:rsidR="00E13BA5" w:rsidRPr="00D2183F" w:rsidRDefault="00E13BA5" w:rsidP="00E13BA5">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Recomienda asignar un capital semilla de 1.5 millones de dólares provenientes del Fondo para el Desarrollo e Innovación en Inteligencia Artificial para establecer el Centro de Computación del Instituto, con la meta de ofrecer servicios de cómputo de alto rendimiento a universidades, empresas y entidades gubernamentales. Propone, además, un modelo de sostenibilidad que combine el uso compartido de infraestructura con mecanismos de recuperación de costos y la búsqueda de fondos federales y alianzas internacionales.</w:t>
      </w:r>
    </w:p>
    <w:p w14:paraId="4423D9FD" w14:textId="77777777" w:rsidR="00E13BA5" w:rsidRPr="00D2183F" w:rsidRDefault="00E13BA5" w:rsidP="00E13BA5">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 xml:space="preserve">Finalmente, sugiere que el Instituto adopte políticas de ética y transparencia, incluyendo la creación de comités de ética con participación de profesionales en bioética, privacidad y derechos civiles, así como la publicación de informes anuales de desempeño e impacto social. En su conclusión, el doctor De Jesús Cortés reafirma su apoyo al Proyecto del Senado 769, aplaude la visión que lo inspira y sostiene que su aprobación </w:t>
      </w:r>
      <w:r w:rsidRPr="00D2183F">
        <w:rPr>
          <w:rFonts w:ascii="Book Antiqua" w:hAnsi="Book Antiqua"/>
          <w:color w:val="000000"/>
          <w:lang w:val="es-PR"/>
        </w:rPr>
        <w:lastRenderedPageBreak/>
        <w:t>permitiría diversificar la economía, fortalecer la educación y promover el bienestar social mediante el desarrollo responsable de la inteligencia artificial en Puerto Rico.</w:t>
      </w:r>
    </w:p>
    <w:p w14:paraId="289A789D" w14:textId="77777777" w:rsidR="00E13BA5" w:rsidRPr="00D2183F" w:rsidRDefault="00E13BA5" w:rsidP="00F35F08">
      <w:pPr>
        <w:pStyle w:val="ColorfulList-Accent11"/>
        <w:spacing w:line="276" w:lineRule="auto"/>
        <w:ind w:left="0"/>
        <w:rPr>
          <w:rFonts w:ascii="Book Antiqua" w:hAnsi="Book Antiqua"/>
          <w:b/>
          <w:szCs w:val="24"/>
          <w:lang w:val="es-PR"/>
        </w:rPr>
      </w:pPr>
    </w:p>
    <w:p w14:paraId="463CC582" w14:textId="5473146B" w:rsidR="00E13BA5" w:rsidRPr="00D2183F" w:rsidRDefault="00E13BA5" w:rsidP="0059655C">
      <w:pPr>
        <w:pStyle w:val="ColorfulList-Accent11"/>
        <w:spacing w:line="276" w:lineRule="auto"/>
        <w:ind w:left="0"/>
        <w:jc w:val="center"/>
        <w:rPr>
          <w:rFonts w:ascii="Book Antiqua" w:hAnsi="Book Antiqua"/>
          <w:b/>
          <w:szCs w:val="24"/>
          <w:lang w:val="es-PR"/>
        </w:rPr>
      </w:pPr>
      <w:r w:rsidRPr="00D2183F">
        <w:rPr>
          <w:rFonts w:ascii="Book Antiqua" w:hAnsi="Book Antiqua"/>
          <w:b/>
          <w:szCs w:val="24"/>
          <w:lang w:val="es-PR"/>
        </w:rPr>
        <w:t>INVEST PUERTO RICO</w:t>
      </w:r>
    </w:p>
    <w:p w14:paraId="70BDC9DA" w14:textId="77777777" w:rsidR="00E13BA5" w:rsidRPr="00D2183F" w:rsidRDefault="00E13BA5" w:rsidP="0059655C">
      <w:pPr>
        <w:pStyle w:val="ColorfulList-Accent11"/>
        <w:spacing w:line="276" w:lineRule="auto"/>
        <w:ind w:left="0"/>
        <w:jc w:val="center"/>
        <w:rPr>
          <w:rFonts w:ascii="Book Antiqua" w:hAnsi="Book Antiqua"/>
          <w:b/>
          <w:szCs w:val="24"/>
          <w:lang w:val="es-PR"/>
        </w:rPr>
      </w:pPr>
    </w:p>
    <w:p w14:paraId="70FFB3CF" w14:textId="64E715F1" w:rsidR="00E13BA5" w:rsidRPr="00D2183F" w:rsidRDefault="00E13BA5" w:rsidP="00E13BA5">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Invest Puerto Rico expone que las iniciativas de inteligencia artificial tienen el potencial de redefinir la imagen y competitividad de la isla, al diversificar su base económica y consolidarla como un centro regional de innovación en el Caribe y las Américas.</w:t>
      </w:r>
    </w:p>
    <w:p w14:paraId="1CA1EFDB" w14:textId="77777777" w:rsidR="00E13BA5" w:rsidRPr="00D2183F" w:rsidRDefault="00E13BA5" w:rsidP="00E13BA5">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El memorial describe que, en su labor de atraer inversión tecnológica, Invest Puerto Rico enfrenta preguntas sobre qué distingue a la isla frente a otras jurisdicciones, y sostiene que esta medida permitiría ofrecer una propuesta diferenciada basada en infraestructura de cómputo avanzada, talento especializado y espacios de innovación. Explica que la creación del centro de computación propuesto en el proyecto atendería tres necesidades críticas identificadas por las empresas tecnológicas: capacidad de procesamiento, personal capacitado en áreas como aprendizaje automático y visión computacional, y espacios físicos adecuados para investigación y desarrollo.</w:t>
      </w:r>
    </w:p>
    <w:p w14:paraId="0B7B6E5E" w14:textId="77777777" w:rsidR="00E13BA5" w:rsidRPr="00D2183F" w:rsidRDefault="00E13BA5" w:rsidP="00E13BA5">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La organización resalta que esta iniciativa permitiría cambiar la narrativa de promoción internacional de Puerto Rico, ofreciendo una propuesta competitiva ante inversionistas al poder contar con infraestructura tecnológica, incentivos a la investigación, capital semilla para empresas emergentes y programas de formación de talento. Indica que proyectos similares en estados como Massachusetts y Virginia han demostrado que las inversiones en inteligencia artificial atraen capital privado y fortalecen la economía del conocimiento.</w:t>
      </w:r>
    </w:p>
    <w:p w14:paraId="1945BC68" w14:textId="77777777" w:rsidR="00E13BA5" w:rsidRPr="00D2183F" w:rsidRDefault="00E13BA5" w:rsidP="00E13BA5">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En su análisis del impacto de la medida, Invest Puerto Rico detalla que la inteligencia artificial puede transformar sectores estratégicos locales como la manufactura avanzada, las biociencias y el sector aeroespacial, al optimizar procesos, reducir costos y generar ventajas competitivas. También señala que el proyecto promovería la instalación de centros de investigación, el crecimiento de empresas emergentes y el desarrollo de empleos especializados de alta calidad.</w:t>
      </w:r>
    </w:p>
    <w:p w14:paraId="2359945C" w14:textId="77777777" w:rsidR="00E13BA5" w:rsidRPr="00E13BA5" w:rsidRDefault="00E13BA5" w:rsidP="00E13BA5">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 xml:space="preserve">La organización somete seis recomendaciones principales para fortalecer el proyecto. Propone que Invest Puerto Rico tenga participación en la gobernanza del Instituto para asegurar alineación entre las capacidades tecnológicas y las estrategias de atracción de inversión. Recomienda ampliar la representación del sector privado en la junta de directores, incluir una estrategia formal de promoción internacional en colaboración con Invest Puerto Rico, y establecer coordinación con la National AI Initiative federal para aprovechar programas y fondos competitivos. También sugiere la </w:t>
      </w:r>
      <w:r w:rsidRPr="00D2183F">
        <w:rPr>
          <w:rFonts w:ascii="Book Antiqua" w:hAnsi="Book Antiqua"/>
          <w:color w:val="000000"/>
          <w:lang w:val="es-PR"/>
        </w:rPr>
        <w:lastRenderedPageBreak/>
        <w:t>creación de un Consejo Asesor del Ecosistema que integre universidades, organizaciones sin fines de lucro y asociaciones empresariales, y que el Departamento de Desarrollo Económico y Comercio supervise la armonización de esfuerzos y financiamiento entre entidades públicas y privadas.</w:t>
      </w:r>
    </w:p>
    <w:p w14:paraId="3E9D5833" w14:textId="77777777" w:rsidR="00E13BA5" w:rsidRPr="00E13BA5" w:rsidRDefault="00E13BA5" w:rsidP="00E13BA5">
      <w:pPr>
        <w:pStyle w:val="NormalWeb"/>
        <w:spacing w:line="276" w:lineRule="auto"/>
        <w:ind w:firstLine="720"/>
        <w:jc w:val="both"/>
        <w:rPr>
          <w:rFonts w:ascii="Book Antiqua" w:hAnsi="Book Antiqua"/>
          <w:color w:val="000000"/>
          <w:lang w:val="es-PR"/>
        </w:rPr>
      </w:pPr>
      <w:r w:rsidRPr="00E13BA5">
        <w:rPr>
          <w:rFonts w:ascii="Book Antiqua" w:hAnsi="Book Antiqua"/>
          <w:color w:val="000000"/>
          <w:lang w:val="es-PR"/>
        </w:rPr>
        <w:t>En su conclusión, Invest Puerto Rico expresa su apoyo al Proyecto del Senado 769 e indica que la medida representa una oportunidad para posicionar a la isla como líder en innovación tecnológica y atracción de inversión en inteligencia artificial. Reitera su disposición para colaborar con el Senado y con las agencias pertinentes en el desarrollo e implementación del Instituto propuesto.</w:t>
      </w:r>
    </w:p>
    <w:p w14:paraId="5A40D907" w14:textId="77777777" w:rsidR="00E13BA5" w:rsidRDefault="00E13BA5" w:rsidP="0059655C">
      <w:pPr>
        <w:pStyle w:val="ColorfulList-Accent11"/>
        <w:spacing w:line="276" w:lineRule="auto"/>
        <w:ind w:left="0"/>
        <w:jc w:val="center"/>
        <w:rPr>
          <w:rFonts w:ascii="Book Antiqua" w:hAnsi="Book Antiqua"/>
          <w:b/>
          <w:szCs w:val="24"/>
          <w:lang w:val="es-PR"/>
        </w:rPr>
      </w:pPr>
    </w:p>
    <w:p w14:paraId="41B07F0B" w14:textId="0A018909" w:rsidR="00E13BA5" w:rsidRDefault="00E13BA5" w:rsidP="0059655C">
      <w:pPr>
        <w:pStyle w:val="ColorfulList-Accent11"/>
        <w:spacing w:line="276" w:lineRule="auto"/>
        <w:ind w:left="0"/>
        <w:jc w:val="center"/>
        <w:rPr>
          <w:rFonts w:ascii="Book Antiqua" w:hAnsi="Book Antiqua"/>
          <w:b/>
          <w:szCs w:val="24"/>
          <w:lang w:val="es-PR"/>
        </w:rPr>
      </w:pPr>
      <w:r>
        <w:rPr>
          <w:rFonts w:ascii="Book Antiqua" w:hAnsi="Book Antiqua"/>
          <w:b/>
          <w:szCs w:val="24"/>
          <w:lang w:val="es-PR"/>
        </w:rPr>
        <w:t>DEPARTAMENTO DE HACIENDA</w:t>
      </w:r>
    </w:p>
    <w:p w14:paraId="37C8E09E" w14:textId="77777777" w:rsidR="00E13BA5" w:rsidRDefault="00E13BA5" w:rsidP="0059655C">
      <w:pPr>
        <w:pStyle w:val="ColorfulList-Accent11"/>
        <w:spacing w:line="276" w:lineRule="auto"/>
        <w:ind w:left="0"/>
        <w:jc w:val="center"/>
        <w:rPr>
          <w:rFonts w:ascii="Book Antiqua" w:hAnsi="Book Antiqua"/>
          <w:b/>
          <w:szCs w:val="24"/>
          <w:lang w:val="es-PR"/>
        </w:rPr>
      </w:pPr>
    </w:p>
    <w:p w14:paraId="5109763C" w14:textId="1041A1D6" w:rsidR="00E13BA5" w:rsidRPr="00E13BA5" w:rsidRDefault="00E13BA5" w:rsidP="00E13BA5">
      <w:pPr>
        <w:pStyle w:val="NormalWeb"/>
        <w:spacing w:line="276" w:lineRule="auto"/>
        <w:ind w:firstLine="720"/>
        <w:jc w:val="both"/>
        <w:rPr>
          <w:rFonts w:ascii="Book Antiqua" w:hAnsi="Book Antiqua"/>
          <w:color w:val="000000"/>
          <w:lang w:val="es-PR"/>
        </w:rPr>
      </w:pPr>
      <w:r w:rsidRPr="00E13BA5">
        <w:rPr>
          <w:rFonts w:ascii="Book Antiqua" w:hAnsi="Book Antiqua"/>
          <w:color w:val="000000"/>
          <w:lang w:val="es-PR"/>
        </w:rPr>
        <w:t>El Departamento de Hacienda, a través de su secretario, licenciado Ángel L. Pantoja Rodríguez, explica que su función principal es administrar las leyes tributarias y la política fiscal de la isla, por lo que tiene la responsabilidad de evaluar medidas legislativas que puedan tener un impacto sobre el Fondo General y los recaudos públicos.</w:t>
      </w:r>
    </w:p>
    <w:p w14:paraId="7309BDA7" w14:textId="77777777" w:rsidR="00E13BA5" w:rsidRPr="00E13BA5" w:rsidRDefault="00E13BA5" w:rsidP="00E13BA5">
      <w:pPr>
        <w:pStyle w:val="NormalWeb"/>
        <w:spacing w:line="276" w:lineRule="auto"/>
        <w:ind w:firstLine="720"/>
        <w:jc w:val="both"/>
        <w:rPr>
          <w:rFonts w:ascii="Book Antiqua" w:hAnsi="Book Antiqua"/>
          <w:color w:val="000000"/>
          <w:lang w:val="es-PR"/>
        </w:rPr>
      </w:pPr>
      <w:r w:rsidRPr="00E13BA5">
        <w:rPr>
          <w:rFonts w:ascii="Book Antiqua" w:hAnsi="Book Antiqua"/>
          <w:color w:val="000000"/>
          <w:lang w:val="es-PR"/>
        </w:rPr>
        <w:t>El memorial describe el contenido del proyecto, incluyendo la creación del Instituto y del Fondo para el Desarrollo e Innovación de Inteligencia Artificial de Puerto Rico, que se nutriría de diversas fuentes: una asignación anual de diez millones de dólares del Fondo de Incentivos Económicos (FIE), aportaciones de individuos inversionistas con decretos bajo la Ley 60-2019, créditos contributivos suplementarios a empresas que realicen actividades de investigación y desarrollo a través del Instituto, subvenciones federales y privadas, y aportaciones de instituciones académicas. Además, el proyecto enmienda las Secciones 5010.01(b) y 3030.01(a)(1) del Código de Incentivos de Puerto Rico para reflejar estos cambios.</w:t>
      </w:r>
    </w:p>
    <w:p w14:paraId="57BD920C" w14:textId="5B4A8627" w:rsidR="00E13BA5" w:rsidRPr="00E13BA5" w:rsidRDefault="00E13BA5" w:rsidP="00E13BA5">
      <w:pPr>
        <w:pStyle w:val="NormalWeb"/>
        <w:spacing w:line="276" w:lineRule="auto"/>
        <w:ind w:firstLine="720"/>
        <w:jc w:val="both"/>
        <w:rPr>
          <w:rFonts w:ascii="Book Antiqua" w:hAnsi="Book Antiqua"/>
          <w:color w:val="000000"/>
          <w:lang w:val="es-PR"/>
        </w:rPr>
      </w:pPr>
      <w:r w:rsidRPr="00E13BA5">
        <w:rPr>
          <w:rFonts w:ascii="Book Antiqua" w:hAnsi="Book Antiqua"/>
          <w:color w:val="000000"/>
          <w:lang w:val="es-PR"/>
        </w:rPr>
        <w:t>El Departamento analiza que el crédito contributivo suplementario propuesto</w:t>
      </w:r>
      <w:r>
        <w:rPr>
          <w:rFonts w:ascii="Book Antiqua" w:hAnsi="Book Antiqua"/>
          <w:color w:val="000000"/>
          <w:lang w:val="es-PR"/>
        </w:rPr>
        <w:t xml:space="preserve">, </w:t>
      </w:r>
      <w:r w:rsidRPr="00E13BA5">
        <w:rPr>
          <w:rFonts w:ascii="Book Antiqua" w:hAnsi="Book Antiqua"/>
          <w:color w:val="000000"/>
          <w:lang w:val="es-PR"/>
        </w:rPr>
        <w:t>un aumento del 50% al 60% en el crédito por investigación y desarrollo</w:t>
      </w:r>
      <w:r>
        <w:rPr>
          <w:rFonts w:ascii="Book Antiqua" w:hAnsi="Book Antiqua"/>
          <w:color w:val="000000"/>
          <w:lang w:val="es-PR"/>
        </w:rPr>
        <w:t xml:space="preserve">, </w:t>
      </w:r>
      <w:r w:rsidRPr="00E13BA5">
        <w:rPr>
          <w:rFonts w:ascii="Book Antiqua" w:hAnsi="Book Antiqua"/>
          <w:color w:val="000000"/>
          <w:lang w:val="es-PR"/>
        </w:rPr>
        <w:t>podría generar un impacto fiscal estimado de 35 millones de dólares anuales en reducción de recaudos, sin requerir un aumento en la inversión de las empresas beneficiarias. También observa que el aumento de 10 millones de dólares al Fondo de Incentivos Económicos para nutrir el nuevo Fondo de Inteligencia Artificial incrementaría el límite de ingresos transferidos a dicha cuenta de 125 millones a 135 millones de dólares.</w:t>
      </w:r>
    </w:p>
    <w:p w14:paraId="1E98C33C" w14:textId="77777777" w:rsidR="00E13BA5" w:rsidRPr="00E13BA5" w:rsidRDefault="00E13BA5" w:rsidP="00E13BA5">
      <w:pPr>
        <w:pStyle w:val="NormalWeb"/>
        <w:spacing w:line="276" w:lineRule="auto"/>
        <w:ind w:firstLine="720"/>
        <w:jc w:val="both"/>
        <w:rPr>
          <w:rFonts w:ascii="Book Antiqua" w:hAnsi="Book Antiqua"/>
          <w:color w:val="000000"/>
          <w:lang w:val="es-PR"/>
        </w:rPr>
      </w:pPr>
      <w:r w:rsidRPr="00E13BA5">
        <w:rPr>
          <w:rFonts w:ascii="Book Antiqua" w:hAnsi="Book Antiqua"/>
          <w:color w:val="000000"/>
          <w:lang w:val="es-PR"/>
        </w:rPr>
        <w:t xml:space="preserve">El memorial advierte que, según el Plan Fiscal certificado por la Junta de Supervisión Fiscal, toda medida legislativa que modifique el uso de fondos públicos o cree créditos contributivos debe cumplir con el principio de neutralidad fiscal, lo que implica identificar fuentes alternas de ingreso o reducciones en gasto público que compensen cualquier merma en los recaudos. Por ello, el Departamento recomienda que </w:t>
      </w:r>
      <w:r w:rsidRPr="00E13BA5">
        <w:rPr>
          <w:rFonts w:ascii="Book Antiqua" w:hAnsi="Book Antiqua"/>
          <w:color w:val="000000"/>
          <w:lang w:val="es-PR"/>
        </w:rPr>
        <w:lastRenderedPageBreak/>
        <w:t>se establezcan mecanismos claros para sustituir los 10 millones de dólares que pasarían a financiar el nuevo Fondo y para cubrir el costo adicional estimado de los créditos contributivos.</w:t>
      </w:r>
    </w:p>
    <w:p w14:paraId="65868559" w14:textId="77777777" w:rsidR="00E13BA5" w:rsidRPr="00E13BA5" w:rsidRDefault="00E13BA5" w:rsidP="00E13BA5">
      <w:pPr>
        <w:pStyle w:val="NormalWeb"/>
        <w:spacing w:line="276" w:lineRule="auto"/>
        <w:ind w:firstLine="720"/>
        <w:jc w:val="both"/>
        <w:rPr>
          <w:rFonts w:ascii="Book Antiqua" w:hAnsi="Book Antiqua"/>
          <w:color w:val="000000"/>
          <w:lang w:val="es-PR"/>
        </w:rPr>
      </w:pPr>
      <w:r w:rsidRPr="00E13BA5">
        <w:rPr>
          <w:rFonts w:ascii="Book Antiqua" w:hAnsi="Book Antiqua"/>
          <w:color w:val="000000"/>
          <w:lang w:val="es-PR"/>
        </w:rPr>
        <w:t>Además, señala que los cambios propuestos requerirán modificaciones en los formularios y sistemas internos del Departamento, particularmente en el Manejador de Créditos Contributivos, lo que implica tiempo y recursos adicionales para su implementación. Por esta razón, sugiere que el crédito suplementario propuesto entre en vigor para el año contributivo 2026. También indica que la Oficina de Presupuesto de la Asamblea Legislativa (OPAL) debe realizar un análisis de costo del proyecto, conforme a la Ley 1-2023 y al Plan Fiscal certificado, antes de su aprobación.</w:t>
      </w:r>
    </w:p>
    <w:p w14:paraId="1CED274D" w14:textId="4108CF8A" w:rsidR="00E13BA5" w:rsidRPr="00E13BA5" w:rsidRDefault="00E13BA5" w:rsidP="00E13BA5">
      <w:pPr>
        <w:pStyle w:val="ColorfulList-Accent11"/>
        <w:spacing w:line="276" w:lineRule="auto"/>
        <w:ind w:left="0" w:firstLine="720"/>
        <w:jc w:val="both"/>
        <w:rPr>
          <w:rFonts w:ascii="Book Antiqua" w:hAnsi="Book Antiqua"/>
          <w:b/>
          <w:szCs w:val="24"/>
          <w:lang w:val="es-PR"/>
        </w:rPr>
      </w:pPr>
      <w:r w:rsidRPr="00E13BA5">
        <w:rPr>
          <w:rFonts w:ascii="Book Antiqua" w:hAnsi="Book Antiqua"/>
          <w:color w:val="000000"/>
          <w:lang w:val="es-PR"/>
        </w:rPr>
        <w:t>Finalmente, el Departamento de Hacienda subraya que toda legislación con impacto fiscal debe ser evaluada responsablemente para evitar déficits futuros y cumplir con los requerimientos de la Junta de Supervisión Fiscal. Reitera que sus comentarios se limitan al análisis técnico y fiscal de la medida</w:t>
      </w:r>
      <w:r>
        <w:rPr>
          <w:rFonts w:ascii="Book Antiqua" w:hAnsi="Book Antiqua"/>
          <w:color w:val="000000"/>
          <w:lang w:val="es-PR"/>
        </w:rPr>
        <w:t>.</w:t>
      </w:r>
    </w:p>
    <w:p w14:paraId="54770ED7" w14:textId="77777777" w:rsidR="00E13BA5" w:rsidRDefault="00E13BA5" w:rsidP="0059655C">
      <w:pPr>
        <w:pStyle w:val="ColorfulList-Accent11"/>
        <w:spacing w:line="276" w:lineRule="auto"/>
        <w:ind w:left="0"/>
        <w:jc w:val="center"/>
        <w:rPr>
          <w:rFonts w:ascii="Book Antiqua" w:hAnsi="Book Antiqua"/>
          <w:b/>
          <w:szCs w:val="24"/>
          <w:lang w:val="es-PR"/>
        </w:rPr>
      </w:pPr>
    </w:p>
    <w:p w14:paraId="5767183C" w14:textId="289A5385" w:rsidR="00E13BA5" w:rsidRDefault="00576D7D" w:rsidP="0059655C">
      <w:pPr>
        <w:pStyle w:val="ColorfulList-Accent11"/>
        <w:spacing w:line="276" w:lineRule="auto"/>
        <w:ind w:left="0"/>
        <w:jc w:val="center"/>
        <w:rPr>
          <w:rFonts w:ascii="Book Antiqua" w:hAnsi="Book Antiqua"/>
          <w:b/>
          <w:szCs w:val="24"/>
          <w:lang w:val="es-PR"/>
        </w:rPr>
      </w:pPr>
      <w:r>
        <w:rPr>
          <w:rFonts w:ascii="Book Antiqua" w:hAnsi="Book Antiqua"/>
          <w:b/>
          <w:szCs w:val="24"/>
          <w:lang w:val="es-PR"/>
        </w:rPr>
        <w:t>DEPARTAMENTO DE DESARROLLO ECONÓMICO</w:t>
      </w:r>
    </w:p>
    <w:p w14:paraId="10AD8840" w14:textId="77777777" w:rsidR="00576D7D" w:rsidRDefault="00576D7D" w:rsidP="0059655C">
      <w:pPr>
        <w:pStyle w:val="ColorfulList-Accent11"/>
        <w:spacing w:line="276" w:lineRule="auto"/>
        <w:ind w:left="0"/>
        <w:jc w:val="center"/>
        <w:rPr>
          <w:rFonts w:ascii="Book Antiqua" w:hAnsi="Book Antiqua"/>
          <w:b/>
          <w:szCs w:val="24"/>
          <w:lang w:val="es-PR"/>
        </w:rPr>
      </w:pPr>
    </w:p>
    <w:p w14:paraId="270937F5" w14:textId="77C9760A" w:rsidR="00576D7D" w:rsidRPr="00576D7D" w:rsidRDefault="00576D7D" w:rsidP="00576D7D">
      <w:pPr>
        <w:pStyle w:val="NormalWeb"/>
        <w:spacing w:line="276" w:lineRule="auto"/>
        <w:ind w:firstLine="720"/>
        <w:jc w:val="both"/>
        <w:rPr>
          <w:rFonts w:ascii="Book Antiqua" w:hAnsi="Book Antiqua"/>
          <w:color w:val="000000"/>
          <w:lang w:val="es-PR"/>
        </w:rPr>
      </w:pPr>
      <w:r w:rsidRPr="00576D7D">
        <w:rPr>
          <w:rFonts w:ascii="Book Antiqua" w:hAnsi="Book Antiqua"/>
          <w:color w:val="000000"/>
          <w:lang w:val="es-PR"/>
        </w:rPr>
        <w:t>El Departamento de Desarrollo Económico y Comercio (DDEC) explica que su función es implantar y supervisar la política pública de desarrollo económico de la isla y reconoce la importancia de fomentar la investigación y crear ecosistemas que propicien el desarrollo de tecnologías emergentes como la inteligencia artificial. Señala que estas iniciativas son clave para posicionar a Puerto Rico como destino competitivo de inversión y crecimiento económico.</w:t>
      </w:r>
    </w:p>
    <w:p w14:paraId="27B4760A" w14:textId="77777777" w:rsidR="00576D7D" w:rsidRPr="00D2183F" w:rsidRDefault="00576D7D" w:rsidP="00576D7D">
      <w:pPr>
        <w:pStyle w:val="NormalWeb"/>
        <w:spacing w:line="276" w:lineRule="auto"/>
        <w:ind w:firstLine="720"/>
        <w:jc w:val="both"/>
        <w:rPr>
          <w:rFonts w:ascii="Book Antiqua" w:hAnsi="Book Antiqua"/>
          <w:color w:val="000000"/>
          <w:lang w:val="es-PR"/>
        </w:rPr>
      </w:pPr>
      <w:r w:rsidRPr="00576D7D">
        <w:rPr>
          <w:rFonts w:ascii="Book Antiqua" w:hAnsi="Book Antiqua"/>
          <w:color w:val="000000"/>
          <w:lang w:val="es-PR"/>
        </w:rPr>
        <w:t xml:space="preserve">El DDEC expresa que favorece la aprobación del proyecto y coincide con su intención de fortalecer la investigación y el desarrollo en inteligencia artificial. No obstante, somete varias </w:t>
      </w:r>
      <w:r w:rsidRPr="00D2183F">
        <w:rPr>
          <w:rFonts w:ascii="Book Antiqua" w:hAnsi="Book Antiqua"/>
          <w:color w:val="000000"/>
          <w:lang w:val="es-PR"/>
        </w:rPr>
        <w:t>recomendaciones para mejorar su gobernanza, financiamiento y estructura institucional. En primer lugar, recomienda que el Instituto propuesto sea creado como un programa dentro del Fideicomiso para Ciencia, Tecnología e Investigación de Puerto Rico. Argumenta que el Fideicomiso ya cuenta con experiencia, estructura operativa y credibilidad en la administración de fondos y proyectos tecnológicos, por lo que su integración garantizaría la viabilidad a largo plazo del Instituto, evitaría duplicidad de esfuerzos y permitiría aprovechar la infraestructura existente. También sugiere aumentar la composición de la Junta de Síndicos del Fideicomiso a quince miembros, incluyendo representantes de Engine-4, la Universidad de Puerto Rico y expertos del sector privado en inteligencia artificial.</w:t>
      </w:r>
    </w:p>
    <w:p w14:paraId="512134C6" w14:textId="77777777" w:rsidR="00576D7D" w:rsidRPr="00D2183F" w:rsidRDefault="00576D7D" w:rsidP="00576D7D">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 xml:space="preserve">En cuanto al financiamiento, el DDEC analiza que el proyecto propone destinar diez millones de dólares anuales del Fondo de Incentivos Económicos (FIE) y aumentar </w:t>
      </w:r>
      <w:r w:rsidRPr="00D2183F">
        <w:rPr>
          <w:rFonts w:ascii="Book Antiqua" w:hAnsi="Book Antiqua"/>
          <w:color w:val="000000"/>
          <w:lang w:val="es-PR"/>
        </w:rPr>
        <w:lastRenderedPageBreak/>
        <w:t>su tope de 125 millones a 135 millones de dólares. La agencia no objeta este mecanismo, pero recomienda considerar la eliminación total del tope actual del fondo, disponiendo que los diez millones se asignen al Fideicomiso solo si se cumplen metas anuales acordadas entre este y el DDEC. Además, respecto a la aportación adicional de cinco mil dólares anuales de los Individuos Residentes Inversionistas bajo la Ley 60-2019, el DDEC aclara que esta medida solo podría aplicarse prospectivamente, ya que los decretos existentes constituyen contratos que deben respetarse mientras estén vigentes.</w:t>
      </w:r>
    </w:p>
    <w:p w14:paraId="01F2734A" w14:textId="77777777" w:rsidR="00576D7D" w:rsidRPr="00576D7D" w:rsidRDefault="00576D7D" w:rsidP="00576D7D">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El DDEC también propone la creación de un Comité Asesor del Sector Privado como parte integral del Instituto, compuesto por entre siete y once expertos en inteligencia artificial, tecnología emergente, inversión y comercialización. Este comité tendría funciones consultivas, orientando la investigación, identificando oportunidades de colaboración entre industria y academia, y facilitando la transferencia tecnológica. La agencia explica que este modelo es consistente con las mejores prácticas internacionales y que permitiría al Instituto beneficiarse del conocimiento técnico del sector privado sin afectar su autonomía.</w:t>
      </w:r>
    </w:p>
    <w:p w14:paraId="4D3D8BD0" w14:textId="77777777" w:rsidR="00576D7D" w:rsidRPr="00576D7D" w:rsidRDefault="00576D7D" w:rsidP="00576D7D">
      <w:pPr>
        <w:pStyle w:val="NormalWeb"/>
        <w:spacing w:line="276" w:lineRule="auto"/>
        <w:ind w:firstLine="720"/>
        <w:jc w:val="both"/>
        <w:rPr>
          <w:rFonts w:ascii="Book Antiqua" w:hAnsi="Book Antiqua"/>
          <w:color w:val="000000"/>
          <w:lang w:val="es-PR"/>
        </w:rPr>
      </w:pPr>
      <w:r w:rsidRPr="00576D7D">
        <w:rPr>
          <w:rFonts w:ascii="Book Antiqua" w:hAnsi="Book Antiqua"/>
          <w:color w:val="000000"/>
          <w:lang w:val="es-PR"/>
        </w:rPr>
        <w:t>En su conclusión, el DDEC manifiesta que apoya la aprobación del Proyecto del Senado 769, sujeto a las recomendaciones presentadas sobre su estructura institucional, financiamiento y gobernanza. Reitera su disposición para colaborar con la Comisión del Senado en la evaluación e implementación de la medida.</w:t>
      </w:r>
    </w:p>
    <w:p w14:paraId="6FEAEF79" w14:textId="77777777" w:rsidR="00576D7D" w:rsidRDefault="00576D7D" w:rsidP="0059655C">
      <w:pPr>
        <w:pStyle w:val="ColorfulList-Accent11"/>
        <w:spacing w:line="276" w:lineRule="auto"/>
        <w:ind w:left="0"/>
        <w:jc w:val="center"/>
        <w:rPr>
          <w:rFonts w:ascii="Book Antiqua" w:hAnsi="Book Antiqua"/>
          <w:b/>
          <w:szCs w:val="24"/>
          <w:lang w:val="es-PR"/>
        </w:rPr>
      </w:pPr>
    </w:p>
    <w:p w14:paraId="79EBCB81" w14:textId="77777777" w:rsidR="00576D7D" w:rsidRPr="00576D7D" w:rsidRDefault="00576D7D" w:rsidP="00576D7D">
      <w:pPr>
        <w:pStyle w:val="NormalWeb"/>
        <w:jc w:val="center"/>
        <w:rPr>
          <w:rFonts w:ascii="Garamond" w:hAnsi="Garamond"/>
          <w:b/>
          <w:bCs/>
          <w:color w:val="000000"/>
          <w:lang w:val="es-PR"/>
        </w:rPr>
      </w:pPr>
      <w:r w:rsidRPr="00576D7D">
        <w:rPr>
          <w:rFonts w:ascii="Garamond" w:hAnsi="Garamond"/>
          <w:b/>
          <w:bCs/>
          <w:color w:val="000000"/>
          <w:lang w:val="es-PR"/>
        </w:rPr>
        <w:t>FIDEICOMISO PARA  CIENCIA, TECNOLOGIA E INVESTIGACION DE PR</w:t>
      </w:r>
    </w:p>
    <w:p w14:paraId="520AF32F" w14:textId="77777777" w:rsidR="00576D7D" w:rsidRDefault="00576D7D" w:rsidP="0059655C">
      <w:pPr>
        <w:pStyle w:val="ColorfulList-Accent11"/>
        <w:spacing w:line="276" w:lineRule="auto"/>
        <w:ind w:left="0"/>
        <w:jc w:val="center"/>
        <w:rPr>
          <w:rFonts w:ascii="Book Antiqua" w:hAnsi="Book Antiqua"/>
          <w:b/>
          <w:szCs w:val="24"/>
          <w:lang w:val="es-PR"/>
        </w:rPr>
      </w:pPr>
    </w:p>
    <w:p w14:paraId="6108ABED" w14:textId="5F01FE23" w:rsidR="00576D7D" w:rsidRPr="00576D7D" w:rsidRDefault="00576D7D" w:rsidP="00576D7D">
      <w:pPr>
        <w:pStyle w:val="NormalWeb"/>
        <w:spacing w:line="276" w:lineRule="auto"/>
        <w:ind w:firstLine="720"/>
        <w:jc w:val="both"/>
        <w:rPr>
          <w:rFonts w:ascii="Book Antiqua" w:hAnsi="Book Antiqua"/>
          <w:color w:val="000000"/>
          <w:lang w:val="es-PR"/>
        </w:rPr>
      </w:pPr>
      <w:r w:rsidRPr="00576D7D">
        <w:rPr>
          <w:rFonts w:ascii="Book Antiqua" w:hAnsi="Book Antiqua"/>
          <w:color w:val="000000"/>
          <w:lang w:val="es-PR"/>
        </w:rPr>
        <w:t>El Fideicomiso para Ciencia, Tecnología e Investigación de Puerto Rico (FCTIPR) explica que desde 2004 impulsa la investigación, el emprendimiento, la salud pública y la educación STEM, y que muchas de las funciones propuestas para el Instituto ya forman parte de su estructura actual. Detalla que ha apoyado más de 50 empresas locales de inteligencia artificial mediante programas como parallel18, BioLeap y Xpand, además de haber desarrollado aplicaciones de IA en salud pública, como su colaboración con Wovenware para el control de vectores tras el huracán María.</w:t>
      </w:r>
    </w:p>
    <w:p w14:paraId="24B87C44" w14:textId="77777777" w:rsidR="00576D7D" w:rsidRPr="00576D7D" w:rsidRDefault="00576D7D" w:rsidP="00576D7D">
      <w:pPr>
        <w:pStyle w:val="NormalWeb"/>
        <w:spacing w:line="276" w:lineRule="auto"/>
        <w:ind w:firstLine="720"/>
        <w:jc w:val="both"/>
        <w:rPr>
          <w:rFonts w:ascii="Book Antiqua" w:hAnsi="Book Antiqua"/>
          <w:color w:val="000000"/>
          <w:lang w:val="es-PR"/>
        </w:rPr>
      </w:pPr>
      <w:r w:rsidRPr="00576D7D">
        <w:rPr>
          <w:rFonts w:ascii="Book Antiqua" w:hAnsi="Book Antiqua"/>
          <w:color w:val="000000"/>
          <w:lang w:val="es-PR"/>
        </w:rPr>
        <w:t>El FCTIPR expone su infraestructura, capacidades y resultados medibles en áreas como subvenciones de investigación, transferencia de tecnología, incubación de empresas, inversión de capital y gestión de fondos, señalando que su ecosistema ya fomenta la colaboración entre los sectores público, privado y académico. Plantea que la creación de un nuevo instituto con funciones similares conllevaría duplicación de esfuerzos, competencia por talento y financiamiento, y el riesgo de fragmentar los recursos existentes en un contexto de limitaciones económicas.</w:t>
      </w:r>
    </w:p>
    <w:p w14:paraId="5483F606" w14:textId="77777777" w:rsidR="00576D7D" w:rsidRPr="00D2183F" w:rsidRDefault="00576D7D" w:rsidP="00576D7D">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lastRenderedPageBreak/>
        <w:t>El Fideicomiso presenta varias recomendaciones para integrar la propuesta del Instituto dentro de su marco operativo. Propone que se le designe como agente fiduciario y financiero del Instituto, que su Oficina de Transferencia de Tecnología sirva como la oficina oficial de inteligencia artificial para toda la isla, y que sus programas de subvenciones, aceleración y capital de riesgo sean utilizados para administrar los fondos y proyectos del Instituto. Además, sugiere alinear las operaciones de este con las de parallel18, Xpand y BioLeap, formalizar acuerdos de gobernanza colaborativa y definir claramente las áreas de servicio para evitar solapamientos.</w:t>
      </w:r>
    </w:p>
    <w:p w14:paraId="65821C4B" w14:textId="77777777" w:rsidR="00576D7D" w:rsidRPr="00D2183F" w:rsidRDefault="00576D7D" w:rsidP="00576D7D">
      <w:pPr>
        <w:pStyle w:val="NormalWeb"/>
        <w:spacing w:line="276" w:lineRule="auto"/>
        <w:ind w:firstLine="720"/>
        <w:jc w:val="both"/>
        <w:rPr>
          <w:rFonts w:ascii="Book Antiqua" w:hAnsi="Book Antiqua"/>
          <w:color w:val="000000"/>
          <w:lang w:val="es-PR"/>
        </w:rPr>
      </w:pPr>
      <w:r w:rsidRPr="00D2183F">
        <w:rPr>
          <w:rFonts w:ascii="Book Antiqua" w:hAnsi="Book Antiqua"/>
          <w:color w:val="000000"/>
          <w:lang w:val="es-PR"/>
        </w:rPr>
        <w:t>En su conclusión, el FCTIPR expresa que no busca impedir la creación del Instituto, sino que propone liderar o apoyar su implementación junto con Engine-4 Foundation y el Departamento de Desarrollo Económico y Comercio. Señala que con el respaldo legislativo y los recursos adecuados puede asumir eficazmente las funciones previstas, evitando duplicidad de estructuras y garantizando la continuidad del ecosistema de innovación que ya ha establecido.</w:t>
      </w:r>
    </w:p>
    <w:p w14:paraId="1644876E" w14:textId="77777777" w:rsidR="00576D7D" w:rsidRPr="00D2183F" w:rsidRDefault="00576D7D" w:rsidP="0059655C">
      <w:pPr>
        <w:pStyle w:val="ColorfulList-Accent11"/>
        <w:spacing w:line="276" w:lineRule="auto"/>
        <w:ind w:left="0"/>
        <w:jc w:val="center"/>
        <w:rPr>
          <w:rFonts w:ascii="Book Antiqua" w:hAnsi="Book Antiqua"/>
          <w:b/>
          <w:szCs w:val="24"/>
          <w:lang w:val="es-PR"/>
        </w:rPr>
      </w:pPr>
    </w:p>
    <w:p w14:paraId="29B8C366" w14:textId="77777777" w:rsidR="00576D7D" w:rsidRPr="00D2183F" w:rsidRDefault="00576D7D" w:rsidP="0059655C">
      <w:pPr>
        <w:pStyle w:val="ColorfulList-Accent11"/>
        <w:spacing w:line="276" w:lineRule="auto"/>
        <w:ind w:left="0"/>
        <w:jc w:val="center"/>
        <w:rPr>
          <w:rFonts w:ascii="Book Antiqua" w:hAnsi="Book Antiqua"/>
          <w:b/>
          <w:szCs w:val="24"/>
          <w:lang w:val="es-PR"/>
        </w:rPr>
      </w:pPr>
    </w:p>
    <w:p w14:paraId="462E5260" w14:textId="45E63568" w:rsidR="00576D7D" w:rsidRPr="00D2183F" w:rsidRDefault="00576D7D" w:rsidP="0059655C">
      <w:pPr>
        <w:pStyle w:val="ColorfulList-Accent11"/>
        <w:spacing w:line="276" w:lineRule="auto"/>
        <w:ind w:left="0"/>
        <w:jc w:val="center"/>
        <w:rPr>
          <w:rFonts w:ascii="Book Antiqua" w:hAnsi="Book Antiqua"/>
          <w:b/>
          <w:szCs w:val="24"/>
          <w:lang w:val="es-PR"/>
        </w:rPr>
      </w:pPr>
      <w:r w:rsidRPr="00D2183F">
        <w:rPr>
          <w:rFonts w:ascii="Book Antiqua" w:hAnsi="Book Antiqua"/>
          <w:b/>
          <w:szCs w:val="24"/>
          <w:lang w:val="es-PR"/>
        </w:rPr>
        <w:t>UNIVERSIDAD DE PUERTO RICO</w:t>
      </w:r>
    </w:p>
    <w:p w14:paraId="10072799" w14:textId="77777777" w:rsidR="00576D7D" w:rsidRPr="00D2183F" w:rsidRDefault="00576D7D" w:rsidP="0059655C">
      <w:pPr>
        <w:pStyle w:val="ColorfulList-Accent11"/>
        <w:spacing w:line="276" w:lineRule="auto"/>
        <w:ind w:left="0"/>
        <w:jc w:val="center"/>
        <w:rPr>
          <w:rFonts w:ascii="Book Antiqua" w:hAnsi="Book Antiqua"/>
          <w:b/>
          <w:szCs w:val="24"/>
          <w:lang w:val="es-PR"/>
        </w:rPr>
      </w:pPr>
    </w:p>
    <w:p w14:paraId="04A31658" w14:textId="0F2E1097" w:rsidR="00576D7D" w:rsidRPr="004223DC" w:rsidRDefault="00576D7D" w:rsidP="00576D7D">
      <w:pPr>
        <w:spacing w:line="276" w:lineRule="auto"/>
        <w:ind w:firstLine="720"/>
        <w:jc w:val="both"/>
        <w:rPr>
          <w:rFonts w:ascii="Book Antiqua" w:eastAsia="Times New Roman" w:hAnsi="Book Antiqua"/>
          <w:color w:val="000000"/>
          <w:szCs w:val="24"/>
          <w:lang w:val="es-PR"/>
        </w:rPr>
      </w:pPr>
      <w:r w:rsidRPr="004223DC">
        <w:rPr>
          <w:rFonts w:ascii="Book Antiqua" w:eastAsia="Times New Roman" w:hAnsi="Book Antiqua"/>
          <w:color w:val="000000"/>
          <w:szCs w:val="24"/>
          <w:lang w:val="es-PR"/>
        </w:rPr>
        <w:t>La Universidad de Puerto Rico respalda</w:t>
      </w:r>
      <w:r w:rsidR="00321DA5" w:rsidRPr="004223DC">
        <w:rPr>
          <w:rFonts w:ascii="Book Antiqua" w:eastAsia="Times New Roman" w:hAnsi="Book Antiqua"/>
          <w:color w:val="000000"/>
          <w:szCs w:val="24"/>
          <w:lang w:val="es-PR"/>
        </w:rPr>
        <w:t xml:space="preserve"> el propósito d</w:t>
      </w:r>
      <w:r w:rsidRPr="004223DC">
        <w:rPr>
          <w:rFonts w:ascii="Book Antiqua" w:eastAsia="Times New Roman" w:hAnsi="Book Antiqua"/>
          <w:color w:val="000000"/>
          <w:szCs w:val="24"/>
          <w:lang w:val="es-PR"/>
        </w:rPr>
        <w:t>el Proyecto del Senado 769, al coincidir con su objetivo de establecer una política pública integral que fomente el desarrollo ético, responsable y sostenible de la inteligencia artificial. La institución reconoce que la creación del Instituto de Desarrollo e Innovación en Inteligencia Artificial representa una oportunidad histórica para fortalecer la competitividad económica, promover la innovación tecnológica y consolidar a Puerto Rico como un centro regional e internacional de investigación y desarrollo en esta materia.</w:t>
      </w:r>
    </w:p>
    <w:p w14:paraId="7F9CE842" w14:textId="77777777" w:rsidR="00576D7D" w:rsidRPr="004223DC" w:rsidRDefault="00576D7D" w:rsidP="00576D7D">
      <w:pPr>
        <w:spacing w:line="276" w:lineRule="auto"/>
        <w:ind w:firstLine="720"/>
        <w:jc w:val="both"/>
        <w:rPr>
          <w:rFonts w:ascii="Book Antiqua" w:eastAsia="Times New Roman" w:hAnsi="Book Antiqua"/>
          <w:color w:val="000000"/>
          <w:szCs w:val="24"/>
          <w:lang w:val="es-PR"/>
        </w:rPr>
      </w:pPr>
      <w:r w:rsidRPr="004223DC">
        <w:rPr>
          <w:rFonts w:ascii="Book Antiqua" w:eastAsia="Times New Roman" w:hAnsi="Book Antiqua"/>
          <w:color w:val="000000"/>
          <w:szCs w:val="24"/>
          <w:lang w:val="es-PR"/>
        </w:rPr>
        <w:t>La UPR fundamenta su apoyo en su experiencia institucional y técnica, así como en su reciente Política de Uso de la Inteligencia Artificial, aprobada mediante la Certificación 66 (2024-2025), que establece principios de transparencia, ética, privacidad, inclusión y rendición de cuentas. Destaca, además, que cuenta con una sólida infraestructura tecnológica, capacidad de investigación aplicada y talento humano especializado en áreas como aprendizaje automático, bioinformática, robótica, procesamiento de lenguaje natural y ética tecnológica. Estas capacidades, junto con su infraestructura de red y ciberseguridad que interconecta las once unidades del sistema universitario, la posicionan como socio académico natural del futuro Instituto.</w:t>
      </w:r>
    </w:p>
    <w:p w14:paraId="41873851" w14:textId="77777777" w:rsidR="00576D7D" w:rsidRPr="004223DC" w:rsidRDefault="00576D7D" w:rsidP="00576D7D">
      <w:pPr>
        <w:spacing w:line="276" w:lineRule="auto"/>
        <w:ind w:firstLine="720"/>
        <w:jc w:val="both"/>
        <w:rPr>
          <w:rFonts w:ascii="Book Antiqua" w:eastAsia="Times New Roman" w:hAnsi="Book Antiqua"/>
          <w:color w:val="000000"/>
          <w:szCs w:val="24"/>
          <w:lang w:val="es-PR"/>
        </w:rPr>
      </w:pPr>
      <w:r w:rsidRPr="004223DC">
        <w:rPr>
          <w:rFonts w:ascii="Book Antiqua" w:eastAsia="Times New Roman" w:hAnsi="Book Antiqua"/>
          <w:color w:val="000000"/>
          <w:szCs w:val="24"/>
          <w:lang w:val="es-PR"/>
        </w:rPr>
        <w:t xml:space="preserve">La Universidad recomienda garantizar su participación formal en la Junta de </w:t>
      </w:r>
      <w:proofErr w:type="gramStart"/>
      <w:r w:rsidRPr="004223DC">
        <w:rPr>
          <w:rFonts w:ascii="Book Antiqua" w:eastAsia="Times New Roman" w:hAnsi="Book Antiqua"/>
          <w:color w:val="000000"/>
          <w:szCs w:val="24"/>
          <w:lang w:val="es-PR"/>
        </w:rPr>
        <w:t>Directores</w:t>
      </w:r>
      <w:proofErr w:type="gramEnd"/>
      <w:r w:rsidRPr="004223DC">
        <w:rPr>
          <w:rFonts w:ascii="Book Antiqua" w:eastAsia="Times New Roman" w:hAnsi="Book Antiqua"/>
          <w:color w:val="000000"/>
          <w:szCs w:val="24"/>
          <w:lang w:val="es-PR"/>
        </w:rPr>
        <w:t xml:space="preserve"> y en los comités asesores del Instituto, armonizar las políticas éticas y de gobernanza con su marco institucional, designarla como entidad coordinadora inicial del </w:t>
      </w:r>
      <w:r w:rsidRPr="004223DC">
        <w:rPr>
          <w:rFonts w:ascii="Book Antiqua" w:eastAsia="Times New Roman" w:hAnsi="Book Antiqua"/>
          <w:color w:val="000000"/>
          <w:szCs w:val="24"/>
          <w:lang w:val="es-PR"/>
        </w:rPr>
        <w:lastRenderedPageBreak/>
        <w:t>Consorcio Universitario de Computación en IA y permitirle liderar programas de formación y certificación en inteligencia artificial responsable. Además, exhorta a que los proyectos del Instituto cumplan con la Ley 122-2019 sobre datos abiertos y estándares de ciberseguridad, e incluye su propuesta de que el reglamento del Fondo de Innovación contemple métricas de impacto académico, social y económico.</w:t>
      </w:r>
    </w:p>
    <w:p w14:paraId="7B885D81" w14:textId="77777777" w:rsidR="00576D7D" w:rsidRPr="004223DC" w:rsidRDefault="00576D7D" w:rsidP="00576D7D">
      <w:pPr>
        <w:spacing w:line="276" w:lineRule="auto"/>
        <w:ind w:firstLine="720"/>
        <w:jc w:val="both"/>
        <w:rPr>
          <w:rFonts w:ascii="Book Antiqua" w:eastAsia="Times New Roman" w:hAnsi="Book Antiqua"/>
          <w:color w:val="000000"/>
          <w:szCs w:val="24"/>
          <w:lang w:val="es-PR"/>
        </w:rPr>
      </w:pPr>
      <w:r w:rsidRPr="004223DC">
        <w:rPr>
          <w:rFonts w:ascii="Book Antiqua" w:eastAsia="Times New Roman" w:hAnsi="Book Antiqua"/>
          <w:color w:val="000000"/>
          <w:szCs w:val="24"/>
          <w:lang w:val="es-PR"/>
        </w:rPr>
        <w:t>En conclusión, la Universidad de Puerto Rico reitera su compromiso con la investigación, la innovación responsable y el desarrollo sostenible de Puerto Rico, expresando su disposición a colaborar activamente como socio académico y técnico del nuevo Instituto de Inteligencia Artificial para contribuir a convertir la isla en un referente regional en innovación tecnológica.</w:t>
      </w:r>
    </w:p>
    <w:p w14:paraId="3A266C67" w14:textId="77777777" w:rsidR="00576D7D" w:rsidRPr="004223DC" w:rsidRDefault="00576D7D" w:rsidP="0059655C">
      <w:pPr>
        <w:pStyle w:val="ColorfulList-Accent11"/>
        <w:spacing w:line="276" w:lineRule="auto"/>
        <w:ind w:left="0"/>
        <w:jc w:val="center"/>
        <w:rPr>
          <w:rFonts w:ascii="Book Antiqua" w:hAnsi="Book Antiqua"/>
          <w:b/>
          <w:szCs w:val="24"/>
          <w:lang w:val="es-PR"/>
        </w:rPr>
      </w:pPr>
    </w:p>
    <w:p w14:paraId="116A6DAD" w14:textId="74B3D525" w:rsidR="00321DA5" w:rsidRPr="004223DC" w:rsidRDefault="00321DA5" w:rsidP="00321DA5">
      <w:pPr>
        <w:pStyle w:val="ColorfulList-Accent11"/>
        <w:spacing w:line="276" w:lineRule="auto"/>
        <w:ind w:left="0"/>
        <w:jc w:val="center"/>
        <w:rPr>
          <w:rFonts w:ascii="Book Antiqua" w:hAnsi="Book Antiqua"/>
          <w:b/>
          <w:szCs w:val="24"/>
          <w:lang w:val="es-PR"/>
        </w:rPr>
      </w:pPr>
      <w:r w:rsidRPr="004223DC">
        <w:rPr>
          <w:rFonts w:ascii="Book Antiqua" w:hAnsi="Book Antiqua"/>
          <w:b/>
          <w:szCs w:val="24"/>
          <w:lang w:val="es-PR"/>
        </w:rPr>
        <w:t>UNIVERSIDAD DE PUERTO RICO RECINTO DE RÍO PIEDRAS</w:t>
      </w:r>
    </w:p>
    <w:p w14:paraId="0A30C4BA" w14:textId="39688261" w:rsidR="00321DA5" w:rsidRPr="004223DC" w:rsidRDefault="00321DA5" w:rsidP="00321DA5">
      <w:pPr>
        <w:pStyle w:val="ColorfulList-Accent11"/>
        <w:spacing w:line="276" w:lineRule="auto"/>
        <w:ind w:left="0"/>
        <w:jc w:val="center"/>
        <w:rPr>
          <w:rFonts w:ascii="Book Antiqua" w:hAnsi="Book Antiqua"/>
          <w:b/>
          <w:szCs w:val="24"/>
          <w:lang w:val="es-PR"/>
        </w:rPr>
      </w:pPr>
    </w:p>
    <w:p w14:paraId="61D55A2C" w14:textId="146D8576" w:rsidR="00321DA5" w:rsidRPr="004223DC" w:rsidRDefault="00321DA5" w:rsidP="00321DA5">
      <w:pPr>
        <w:spacing w:line="276" w:lineRule="auto"/>
        <w:ind w:firstLine="720"/>
        <w:jc w:val="both"/>
        <w:rPr>
          <w:rFonts w:ascii="Book Antiqua" w:eastAsia="Times New Roman" w:hAnsi="Book Antiqua"/>
          <w:color w:val="000000"/>
          <w:szCs w:val="24"/>
          <w:lang w:val="es-PR"/>
        </w:rPr>
      </w:pPr>
      <w:r w:rsidRPr="004223DC">
        <w:rPr>
          <w:rFonts w:ascii="Book Antiqua" w:eastAsia="Times New Roman" w:hAnsi="Book Antiqua"/>
          <w:color w:val="000000"/>
          <w:szCs w:val="24"/>
          <w:lang w:val="es-PR"/>
        </w:rPr>
        <w:t>La Universidad de Puerto Rico, Recinto de Río Piedras, expresa apoyo condicionado al Proyecto del Senado 769, reconociendo su relevancia histórica y su potencial para transformar la economía y las instituciones mediante el desarrollo ético, inclusivo y sostenible de la inteligencia artificial. El compareciente valora positivamente la visión estratégica de la medida, su intención de coordinación interinstitucional, la creación de mecanismos de financiamiento innovadores y la integración con la Ley de Datos Abiertos. No obstante, advierte que el diseño actual presenta deficiencias sustantivas en materia de gobernanza, representación académica y salvaguardas éticas, las cuales deben corregirse mediante enmiendas específicas.</w:t>
      </w:r>
    </w:p>
    <w:p w14:paraId="50F14038" w14:textId="77777777" w:rsidR="00321DA5" w:rsidRPr="004223DC" w:rsidRDefault="00321DA5" w:rsidP="00321DA5">
      <w:pPr>
        <w:spacing w:line="276" w:lineRule="auto"/>
        <w:ind w:firstLine="720"/>
        <w:jc w:val="both"/>
        <w:rPr>
          <w:rFonts w:ascii="Book Antiqua" w:eastAsia="Times New Roman" w:hAnsi="Book Antiqua"/>
          <w:color w:val="000000"/>
          <w:szCs w:val="24"/>
          <w:lang w:val="es-PR"/>
        </w:rPr>
      </w:pPr>
      <w:r w:rsidRPr="004223DC">
        <w:rPr>
          <w:rFonts w:ascii="Book Antiqua" w:eastAsia="Times New Roman" w:hAnsi="Book Antiqua"/>
          <w:color w:val="000000"/>
          <w:szCs w:val="24"/>
          <w:lang w:val="es-PR"/>
        </w:rPr>
        <w:t xml:space="preserve">El memorial sostiene que el éxito del Instituto de Desarrollo e Innovación en Inteligencia Artificial depende de tres elementos fundamentales: la participación central de la Universidad de Puerto Rico, la integración de las ciencias sociales y humanidades en la estructura institucional y la adopción de salvaguardas éticas y sociales concretas. Subraya que la UPR posee las capacidades necesarias para liderar la estrategia de inteligencia artificial por su presencia regional, diversidad disciplinaria, compromiso con el bien público y trayectoria en investigación científica. Critica que el proyecto solo le otorgue un puesto en la Junta de </w:t>
      </w:r>
      <w:proofErr w:type="gramStart"/>
      <w:r w:rsidRPr="004223DC">
        <w:rPr>
          <w:rFonts w:ascii="Book Antiqua" w:eastAsia="Times New Roman" w:hAnsi="Book Antiqua"/>
          <w:color w:val="000000"/>
          <w:szCs w:val="24"/>
          <w:lang w:val="es-PR"/>
        </w:rPr>
        <w:t>Directores</w:t>
      </w:r>
      <w:proofErr w:type="gramEnd"/>
      <w:r w:rsidRPr="004223DC">
        <w:rPr>
          <w:rFonts w:ascii="Book Antiqua" w:eastAsia="Times New Roman" w:hAnsi="Book Antiqua"/>
          <w:color w:val="000000"/>
          <w:szCs w:val="24"/>
          <w:lang w:val="es-PR"/>
        </w:rPr>
        <w:t xml:space="preserve"> y propone ampliar esa representación a tres miembros o ajustar la composición de la Junta para lograr un balance adecuado entre gobierno, academia y sector privado.</w:t>
      </w:r>
    </w:p>
    <w:p w14:paraId="5239964F" w14:textId="77777777" w:rsidR="00321DA5" w:rsidRPr="004223DC" w:rsidRDefault="00321DA5" w:rsidP="00321DA5">
      <w:pPr>
        <w:spacing w:line="276" w:lineRule="auto"/>
        <w:ind w:firstLine="720"/>
        <w:jc w:val="both"/>
        <w:rPr>
          <w:rFonts w:ascii="Book Antiqua" w:eastAsia="Times New Roman" w:hAnsi="Book Antiqua"/>
          <w:color w:val="000000"/>
          <w:szCs w:val="24"/>
          <w:lang w:val="es-PR"/>
        </w:rPr>
      </w:pPr>
      <w:r w:rsidRPr="004223DC">
        <w:rPr>
          <w:rFonts w:ascii="Book Antiqua" w:eastAsia="Times New Roman" w:hAnsi="Book Antiqua"/>
          <w:color w:val="000000"/>
          <w:szCs w:val="24"/>
          <w:lang w:val="es-PR"/>
        </w:rPr>
        <w:t xml:space="preserve">La ponencia recomienda crear una División de Ética y Ciencias Sociales de Inteligencia Artificial dentro del Instituto, con autoridad para evaluar los impactos éticos, sociales y ecológicos de los proyectos, auditar sesgos algorítmicos y promover la educación pública sobre el uso responsable de estas tecnologías. Igualmente, propone eliminar la designación directa de Engine-4 </w:t>
      </w:r>
      <w:proofErr w:type="spellStart"/>
      <w:r w:rsidRPr="004223DC">
        <w:rPr>
          <w:rFonts w:ascii="Book Antiqua" w:eastAsia="Times New Roman" w:hAnsi="Book Antiqua"/>
          <w:color w:val="000000"/>
          <w:szCs w:val="24"/>
          <w:lang w:val="es-PR"/>
        </w:rPr>
        <w:t>Foundation</w:t>
      </w:r>
      <w:proofErr w:type="spellEnd"/>
      <w:r w:rsidRPr="004223DC">
        <w:rPr>
          <w:rFonts w:ascii="Book Antiqua" w:eastAsia="Times New Roman" w:hAnsi="Book Antiqua"/>
          <w:color w:val="000000"/>
          <w:szCs w:val="24"/>
          <w:lang w:val="es-PR"/>
        </w:rPr>
        <w:t xml:space="preserve"> como socio operacional y </w:t>
      </w:r>
      <w:r w:rsidRPr="004223DC">
        <w:rPr>
          <w:rFonts w:ascii="Book Antiqua" w:eastAsia="Times New Roman" w:hAnsi="Book Antiqua"/>
          <w:color w:val="000000"/>
          <w:szCs w:val="24"/>
          <w:lang w:val="es-PR"/>
        </w:rPr>
        <w:lastRenderedPageBreak/>
        <w:t>sustituirla por un proceso competitivo y transparente que permita la participación equitativa de la UPR, otras universidades y consorcios académicos. Además, sugiere establecer un Consejo Asesor Multidisciplinario permanente, incorporar evaluaciones de impacto social y ambiental a todos los proyectos, desarrollar programas de alfabetización pública en inteligencia artificial y asegurar una distribución equitativa de los fondos, priorizando la formación de talento, la investigación y los proyectos de beneficio comunitario.</w:t>
      </w:r>
    </w:p>
    <w:p w14:paraId="0648391B" w14:textId="77777777" w:rsidR="00321DA5" w:rsidRPr="004223DC" w:rsidRDefault="00321DA5" w:rsidP="00321DA5">
      <w:pPr>
        <w:spacing w:line="276" w:lineRule="auto"/>
        <w:ind w:firstLine="720"/>
        <w:jc w:val="both"/>
        <w:rPr>
          <w:rFonts w:ascii="Book Antiqua" w:eastAsia="Times New Roman" w:hAnsi="Book Antiqua"/>
          <w:color w:val="000000"/>
          <w:szCs w:val="24"/>
          <w:lang w:val="es-PR"/>
        </w:rPr>
      </w:pPr>
      <w:r w:rsidRPr="004223DC">
        <w:rPr>
          <w:rFonts w:ascii="Book Antiqua" w:eastAsia="Times New Roman" w:hAnsi="Book Antiqua"/>
          <w:color w:val="000000"/>
          <w:szCs w:val="24"/>
          <w:lang w:val="es-PR"/>
        </w:rPr>
        <w:t>En conclusión, la ponencia afirma que el Proyecto del Senado 769 ofrece una oportunidad histórica para encaminar a Puerto Rico hacia un modelo de desarrollo tecnológico responsable, pero advierte que, sin las enmiendas propuestas, podría perpetuar desigualdades y comprometer la sostenibilidad ambiental. Reitera su apoyo al proyecto condicionado a dichas modificaciones y destaca que el verdadero valor del país radica en fortalecer su talento humano, su capacidad investigativa y su compromiso ético con el bienestar colectivo.</w:t>
      </w:r>
    </w:p>
    <w:p w14:paraId="02E67263" w14:textId="77777777" w:rsidR="00576D7D" w:rsidRDefault="00576D7D" w:rsidP="00321DA5">
      <w:pPr>
        <w:pStyle w:val="ColorfulList-Accent11"/>
        <w:spacing w:line="276" w:lineRule="auto"/>
        <w:ind w:left="0"/>
        <w:rPr>
          <w:rFonts w:ascii="Book Antiqua" w:hAnsi="Book Antiqua"/>
          <w:b/>
          <w:szCs w:val="24"/>
          <w:lang w:val="es-PR"/>
        </w:rPr>
      </w:pPr>
    </w:p>
    <w:p w14:paraId="26B6A56C" w14:textId="302CEA89" w:rsidR="00475AFC" w:rsidRPr="00E13BA5" w:rsidRDefault="008838C3" w:rsidP="0059655C">
      <w:pPr>
        <w:pStyle w:val="ColorfulList-Accent11"/>
        <w:spacing w:line="276" w:lineRule="auto"/>
        <w:ind w:left="0"/>
        <w:jc w:val="center"/>
        <w:rPr>
          <w:rFonts w:ascii="Book Antiqua" w:hAnsi="Book Antiqua"/>
          <w:b/>
          <w:szCs w:val="24"/>
          <w:lang w:val="es-PR"/>
        </w:rPr>
      </w:pPr>
      <w:r w:rsidRPr="00E13BA5">
        <w:rPr>
          <w:rFonts w:ascii="Book Antiqua" w:hAnsi="Book Antiqua"/>
          <w:b/>
          <w:szCs w:val="24"/>
          <w:lang w:val="es-PR"/>
        </w:rPr>
        <w:t>IMPACTO FISCAL</w:t>
      </w:r>
    </w:p>
    <w:p w14:paraId="47F4DFB3" w14:textId="77777777" w:rsidR="006D0C1E" w:rsidRPr="00E13BA5" w:rsidRDefault="006D0C1E" w:rsidP="00D53BDD">
      <w:pPr>
        <w:pStyle w:val="ColorfulList-Accent11"/>
        <w:spacing w:line="276" w:lineRule="auto"/>
        <w:ind w:left="0" w:firstLine="720"/>
        <w:jc w:val="both"/>
        <w:rPr>
          <w:rFonts w:ascii="Book Antiqua" w:hAnsi="Book Antiqua"/>
          <w:bCs/>
          <w:szCs w:val="24"/>
          <w:lang w:val="es-PR"/>
        </w:rPr>
      </w:pPr>
    </w:p>
    <w:p w14:paraId="1836AA1A" w14:textId="1CDC4277" w:rsidR="00475AFC" w:rsidRPr="00663441" w:rsidRDefault="003E6CB3" w:rsidP="00D53BDD">
      <w:pPr>
        <w:pStyle w:val="ColorfulList-Accent11"/>
        <w:spacing w:line="276" w:lineRule="auto"/>
        <w:ind w:left="0" w:firstLine="720"/>
        <w:jc w:val="both"/>
        <w:rPr>
          <w:rFonts w:ascii="Book Antiqua" w:hAnsi="Book Antiqua"/>
          <w:b/>
          <w:szCs w:val="24"/>
          <w:lang w:val="es-ES"/>
        </w:rPr>
      </w:pPr>
      <w:r w:rsidRPr="00D2183F">
        <w:rPr>
          <w:rFonts w:ascii="Book Antiqua" w:hAnsi="Book Antiqua"/>
          <w:bCs/>
          <w:szCs w:val="24"/>
          <w:lang w:val="es-ES"/>
        </w:rPr>
        <w:t xml:space="preserve">En cumplimiento con el Art. 1.007 de la Ley 7-2020, según enmendada, conocida como el “Código Municipal de Puerto Rico”, la Comisión suscribiente certifica que la medida objeto de este informe no impone una obligación económica en el presupuesto de los gobiernos municipales. </w:t>
      </w:r>
    </w:p>
    <w:p w14:paraId="04285348" w14:textId="77777777" w:rsidR="008838C3" w:rsidRPr="00663441" w:rsidRDefault="008838C3" w:rsidP="00D53BDD">
      <w:pPr>
        <w:pStyle w:val="ColorfulList-Accent11"/>
        <w:spacing w:line="276" w:lineRule="auto"/>
        <w:ind w:left="0"/>
        <w:jc w:val="both"/>
        <w:rPr>
          <w:rFonts w:ascii="Book Antiqua" w:hAnsi="Book Antiqua"/>
          <w:bCs/>
          <w:szCs w:val="24"/>
          <w:lang w:val="es-ES"/>
        </w:rPr>
      </w:pPr>
    </w:p>
    <w:p w14:paraId="1A0FAE9A" w14:textId="77777777" w:rsidR="006D0C1E" w:rsidRDefault="00D454DC" w:rsidP="00393B69">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t>CONCLUSIÓN</w:t>
      </w:r>
    </w:p>
    <w:p w14:paraId="0453FDCB" w14:textId="77777777" w:rsidR="00785FF7" w:rsidRPr="00663441" w:rsidRDefault="00785FF7" w:rsidP="00393B69">
      <w:pPr>
        <w:pStyle w:val="ColorfulList-Accent11"/>
        <w:spacing w:line="276" w:lineRule="auto"/>
        <w:ind w:left="0"/>
        <w:jc w:val="center"/>
        <w:rPr>
          <w:rFonts w:ascii="Book Antiqua" w:hAnsi="Book Antiqua"/>
          <w:b/>
          <w:szCs w:val="24"/>
          <w:lang w:val="es-ES"/>
        </w:rPr>
      </w:pPr>
    </w:p>
    <w:p w14:paraId="66A9FB52" w14:textId="6CDC1D39" w:rsidR="00D454DC" w:rsidRPr="00663441" w:rsidRDefault="00D454DC" w:rsidP="00D53BDD">
      <w:pPr>
        <w:spacing w:before="120" w:after="120" w:line="276" w:lineRule="auto"/>
        <w:ind w:firstLine="720"/>
        <w:jc w:val="both"/>
        <w:rPr>
          <w:rFonts w:ascii="Book Antiqua" w:hAnsi="Book Antiqua"/>
          <w:szCs w:val="24"/>
          <w:lang w:val="es-ES"/>
        </w:rPr>
      </w:pPr>
      <w:r w:rsidRPr="00663441">
        <w:rPr>
          <w:rFonts w:ascii="Book Antiqua" w:hAnsi="Book Antiqua"/>
          <w:b/>
          <w:szCs w:val="24"/>
          <w:lang w:val="es-ES"/>
        </w:rPr>
        <w:t xml:space="preserve">POR TODO LO ANTES EXPUESTO, </w:t>
      </w:r>
      <w:r w:rsidRPr="00663441">
        <w:rPr>
          <w:rFonts w:ascii="Book Antiqua" w:hAnsi="Book Antiqua"/>
          <w:szCs w:val="24"/>
          <w:lang w:val="es-ES"/>
        </w:rPr>
        <w:t xml:space="preserve">la </w:t>
      </w:r>
      <w:r w:rsidR="00180A23" w:rsidRPr="00663441">
        <w:rPr>
          <w:rFonts w:ascii="Book Antiqua" w:hAnsi="Book Antiqua"/>
          <w:szCs w:val="24"/>
          <w:lang w:val="es-ES"/>
        </w:rPr>
        <w:t>Comisión</w:t>
      </w:r>
      <w:r w:rsidRPr="00663441">
        <w:rPr>
          <w:rFonts w:ascii="Book Antiqua" w:hAnsi="Book Antiqua"/>
          <w:spacing w:val="-3"/>
          <w:szCs w:val="24"/>
          <w:lang w:val="es-ES"/>
        </w:rPr>
        <w:t xml:space="preserve"> de </w:t>
      </w:r>
      <w:r w:rsidR="003767F3" w:rsidRPr="00663441">
        <w:rPr>
          <w:rFonts w:ascii="Book Antiqua" w:hAnsi="Book Antiqua"/>
          <w:spacing w:val="-3"/>
          <w:szCs w:val="24"/>
          <w:lang w:val="es-ES"/>
        </w:rPr>
        <w:t>Ciencia, Tecnología e Inteligencia Artificial</w:t>
      </w:r>
      <w:r w:rsidR="00180A23" w:rsidRPr="00663441">
        <w:rPr>
          <w:rFonts w:ascii="Book Antiqua" w:hAnsi="Book Antiqua"/>
          <w:spacing w:val="-3"/>
          <w:szCs w:val="24"/>
          <w:lang w:val="es-ES"/>
        </w:rPr>
        <w:t xml:space="preserve"> </w:t>
      </w:r>
      <w:r w:rsidRPr="00663441">
        <w:rPr>
          <w:rFonts w:ascii="Book Antiqua" w:hAnsi="Book Antiqua"/>
          <w:spacing w:val="-3"/>
          <w:szCs w:val="24"/>
          <w:lang w:val="es-ES"/>
        </w:rPr>
        <w:t>del Senado</w:t>
      </w:r>
      <w:r w:rsidRPr="00663441">
        <w:rPr>
          <w:rFonts w:ascii="Book Antiqua" w:hAnsi="Book Antiqua"/>
          <w:szCs w:val="24"/>
          <w:lang w:val="es-ES"/>
        </w:rPr>
        <w:t xml:space="preserve"> de Puerto Rico, previo estudio y consideración, tiene a bien presentar ante este Alto Cuerpo el Informe Positivo sobre </w:t>
      </w:r>
      <w:r w:rsidR="00785FF7">
        <w:rPr>
          <w:rFonts w:ascii="Book Antiqua" w:hAnsi="Book Antiqua"/>
          <w:szCs w:val="24"/>
          <w:lang w:val="es-ES"/>
        </w:rPr>
        <w:t xml:space="preserve">el </w:t>
      </w:r>
      <w:r w:rsidR="00785FF7" w:rsidRPr="00785FF7">
        <w:rPr>
          <w:rFonts w:ascii="Book Antiqua" w:hAnsi="Book Antiqua"/>
          <w:b/>
          <w:bCs/>
          <w:szCs w:val="24"/>
          <w:lang w:val="es-ES"/>
        </w:rPr>
        <w:t xml:space="preserve">Proyecto del Senado </w:t>
      </w:r>
      <w:r w:rsidR="00321DA5">
        <w:rPr>
          <w:rFonts w:ascii="Book Antiqua" w:hAnsi="Book Antiqua"/>
          <w:b/>
          <w:bCs/>
          <w:szCs w:val="24"/>
          <w:lang w:val="es-ES"/>
        </w:rPr>
        <w:t>769</w:t>
      </w:r>
      <w:r w:rsidRPr="00663441">
        <w:rPr>
          <w:rFonts w:ascii="Book Antiqua" w:hAnsi="Book Antiqua"/>
          <w:szCs w:val="24"/>
          <w:lang w:val="es-ES"/>
        </w:rPr>
        <w:t>, recomendando su aprobació</w:t>
      </w:r>
      <w:r w:rsidR="004E6C61">
        <w:rPr>
          <w:rFonts w:ascii="Book Antiqua" w:hAnsi="Book Antiqua"/>
          <w:szCs w:val="24"/>
          <w:lang w:val="es-ES"/>
        </w:rPr>
        <w:t>n</w:t>
      </w:r>
      <w:r w:rsidR="00785FF7">
        <w:rPr>
          <w:rFonts w:ascii="Book Antiqua" w:hAnsi="Book Antiqua"/>
          <w:szCs w:val="24"/>
          <w:lang w:val="es-ES"/>
        </w:rPr>
        <w:t xml:space="preserve">, </w:t>
      </w:r>
      <w:r w:rsidR="00321DA5">
        <w:rPr>
          <w:rFonts w:ascii="Book Antiqua" w:hAnsi="Book Antiqua"/>
          <w:szCs w:val="24"/>
          <w:lang w:val="es-ES"/>
        </w:rPr>
        <w:t xml:space="preserve">con las enmiendas contenidas en el </w:t>
      </w:r>
      <w:proofErr w:type="spellStart"/>
      <w:r w:rsidR="00321DA5">
        <w:rPr>
          <w:rFonts w:ascii="Book Antiqua" w:hAnsi="Book Antiqua"/>
          <w:szCs w:val="24"/>
          <w:lang w:val="es-ES"/>
        </w:rPr>
        <w:t>entirillado</w:t>
      </w:r>
      <w:proofErr w:type="spellEnd"/>
      <w:r w:rsidR="00321DA5">
        <w:rPr>
          <w:rFonts w:ascii="Book Antiqua" w:hAnsi="Book Antiqua"/>
          <w:szCs w:val="24"/>
          <w:lang w:val="es-ES"/>
        </w:rPr>
        <w:t xml:space="preserve"> electrónico que se acompaña</w:t>
      </w:r>
      <w:r w:rsidR="00D47914">
        <w:rPr>
          <w:rFonts w:ascii="Book Antiqua" w:hAnsi="Book Antiqua"/>
          <w:szCs w:val="24"/>
          <w:lang w:val="es-ES"/>
        </w:rPr>
        <w:t>.</w:t>
      </w:r>
    </w:p>
    <w:p w14:paraId="221B6D88" w14:textId="77777777" w:rsidR="00D454DC" w:rsidRPr="00663441" w:rsidRDefault="00D454DC" w:rsidP="00D53BDD">
      <w:pPr>
        <w:spacing w:line="276" w:lineRule="auto"/>
        <w:jc w:val="both"/>
        <w:rPr>
          <w:rFonts w:ascii="Book Antiqua" w:hAnsi="Book Antiqua"/>
          <w:szCs w:val="24"/>
          <w:lang w:val="es-ES"/>
        </w:rPr>
      </w:pPr>
    </w:p>
    <w:p w14:paraId="3BF45572" w14:textId="4B04D62F" w:rsidR="00791A78" w:rsidRDefault="00D454DC" w:rsidP="00D53BDD">
      <w:pPr>
        <w:spacing w:line="276" w:lineRule="auto"/>
        <w:jc w:val="both"/>
        <w:rPr>
          <w:rFonts w:ascii="Book Antiqua" w:hAnsi="Book Antiqua"/>
          <w:szCs w:val="24"/>
          <w:lang w:val="es-ES"/>
        </w:rPr>
      </w:pPr>
      <w:r w:rsidRPr="00663441">
        <w:rPr>
          <w:rFonts w:ascii="Book Antiqua" w:hAnsi="Book Antiqua"/>
          <w:szCs w:val="24"/>
          <w:lang w:val="es-ES"/>
        </w:rPr>
        <w:t>Respetuosamente sometido,</w:t>
      </w:r>
    </w:p>
    <w:p w14:paraId="05581CEA" w14:textId="77777777" w:rsidR="004E6C61" w:rsidRPr="00663441" w:rsidRDefault="004E6C61" w:rsidP="00D53BDD">
      <w:pPr>
        <w:spacing w:line="276" w:lineRule="auto"/>
        <w:jc w:val="both"/>
        <w:rPr>
          <w:rFonts w:ascii="Book Antiqua" w:hAnsi="Book Antiqua"/>
          <w:szCs w:val="24"/>
          <w:lang w:val="es-ES"/>
        </w:rPr>
      </w:pPr>
    </w:p>
    <w:p w14:paraId="0A28245F" w14:textId="77777777" w:rsidR="00961DAA" w:rsidRPr="00663441" w:rsidRDefault="00961DAA" w:rsidP="00D53BDD">
      <w:pPr>
        <w:spacing w:line="276" w:lineRule="auto"/>
        <w:jc w:val="both"/>
        <w:rPr>
          <w:rFonts w:ascii="Book Antiqua" w:hAnsi="Book Antiqua"/>
          <w:szCs w:val="24"/>
          <w:lang w:val="es-ES"/>
        </w:rPr>
      </w:pPr>
    </w:p>
    <w:p w14:paraId="1FFB198A" w14:textId="0EB8F72E" w:rsidR="007954BD" w:rsidRPr="00663441" w:rsidRDefault="00663441" w:rsidP="00D53BDD">
      <w:pPr>
        <w:spacing w:line="276" w:lineRule="auto"/>
        <w:jc w:val="both"/>
        <w:outlineLvl w:val="0"/>
        <w:rPr>
          <w:rFonts w:ascii="Book Antiqua" w:hAnsi="Book Antiqua"/>
          <w:b/>
          <w:szCs w:val="24"/>
          <w:lang w:val="es-ES"/>
        </w:rPr>
      </w:pPr>
      <w:r w:rsidRPr="00663441">
        <w:rPr>
          <w:rFonts w:ascii="Book Antiqua" w:hAnsi="Book Antiqua"/>
          <w:b/>
          <w:szCs w:val="24"/>
          <w:lang w:val="es-ES"/>
        </w:rPr>
        <w:t>Wilmer Reyes Berríos</w:t>
      </w:r>
      <w:r w:rsidR="007954BD" w:rsidRPr="00663441">
        <w:rPr>
          <w:rFonts w:ascii="Book Antiqua" w:hAnsi="Book Antiqua"/>
          <w:b/>
          <w:szCs w:val="24"/>
          <w:lang w:val="es-ES"/>
        </w:rPr>
        <w:t xml:space="preserve"> </w:t>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p>
    <w:p w14:paraId="7F0F909B" w14:textId="77777777" w:rsidR="007954BD"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Presidente</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p>
    <w:p w14:paraId="70CD9E68" w14:textId="77777777" w:rsidR="00663441"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 xml:space="preserve">Comisión de </w:t>
      </w:r>
      <w:r w:rsidR="00663441" w:rsidRPr="00663441">
        <w:rPr>
          <w:rFonts w:ascii="Book Antiqua" w:hAnsi="Book Antiqua"/>
          <w:szCs w:val="24"/>
          <w:lang w:val="es-ES"/>
        </w:rPr>
        <w:t>Ciencia, Tecnología</w:t>
      </w:r>
    </w:p>
    <w:p w14:paraId="40773EFD" w14:textId="303E9B64" w:rsidR="003F73D6" w:rsidRPr="00F802C3" w:rsidRDefault="00663441" w:rsidP="00D53BDD">
      <w:pPr>
        <w:spacing w:line="276" w:lineRule="auto"/>
        <w:jc w:val="both"/>
        <w:rPr>
          <w:rFonts w:ascii="Book Antiqua" w:hAnsi="Book Antiqua"/>
          <w:szCs w:val="24"/>
          <w:lang w:val="es-PR"/>
        </w:rPr>
      </w:pPr>
      <w:r w:rsidRPr="00663441">
        <w:rPr>
          <w:rFonts w:ascii="Book Antiqua" w:hAnsi="Book Antiqua"/>
          <w:szCs w:val="24"/>
          <w:lang w:val="es-ES"/>
        </w:rPr>
        <w:t>e Inteligencia Artificial</w:t>
      </w:r>
      <w:r w:rsidR="007954BD" w:rsidRPr="00663441">
        <w:rPr>
          <w:rFonts w:ascii="Book Antiqua" w:hAnsi="Book Antiqua"/>
          <w:szCs w:val="24"/>
          <w:lang w:val="es-ES"/>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p>
    <w:sectPr w:rsidR="003F73D6" w:rsidRPr="00F802C3" w:rsidSect="003F73D6">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1AADF" w14:textId="77777777" w:rsidR="009A6EC8" w:rsidRDefault="009A6EC8" w:rsidP="00F46986">
      <w:r>
        <w:separator/>
      </w:r>
    </w:p>
  </w:endnote>
  <w:endnote w:type="continuationSeparator" w:id="0">
    <w:p w14:paraId="15CF255E" w14:textId="77777777" w:rsidR="009A6EC8" w:rsidRDefault="009A6EC8"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ABF93" w14:textId="77777777" w:rsidR="009A6EC8" w:rsidRDefault="009A6EC8" w:rsidP="00F46986">
      <w:r>
        <w:separator/>
      </w:r>
    </w:p>
  </w:footnote>
  <w:footnote w:type="continuationSeparator" w:id="0">
    <w:p w14:paraId="403E3299" w14:textId="77777777" w:rsidR="009A6EC8" w:rsidRDefault="009A6EC8"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CEA24" w14:textId="18657285"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Comisión de</w:t>
    </w:r>
    <w:r w:rsidR="009D31CD">
      <w:rPr>
        <w:rFonts w:ascii="Book Antiqua" w:hAnsi="Book Antiqua"/>
        <w:b/>
        <w:sz w:val="20"/>
        <w:lang w:val="es-PR"/>
      </w:rPr>
      <w:t xml:space="preserve"> Ciencia, Tecnología e Inteligencia Artificial</w:t>
    </w:r>
  </w:p>
  <w:p w14:paraId="3C5F245F" w14:textId="36004A67" w:rsidR="003F73D6" w:rsidRPr="00AA356F" w:rsidRDefault="00F46986" w:rsidP="003F73D6">
    <w:pPr>
      <w:pStyle w:val="Header"/>
      <w:pBdr>
        <w:bottom w:val="single" w:sz="12" w:space="1" w:color="auto"/>
      </w:pBdr>
      <w:rPr>
        <w:rFonts w:ascii="Book Antiqua" w:hAnsi="Book Antiqua"/>
        <w:b/>
        <w:noProof/>
        <w:sz w:val="20"/>
        <w:lang w:val="es-PR"/>
      </w:rPr>
    </w:pPr>
    <w:r w:rsidRPr="00AA356F">
      <w:rPr>
        <w:rFonts w:ascii="Book Antiqua" w:hAnsi="Book Antiqua"/>
        <w:b/>
        <w:sz w:val="20"/>
        <w:lang w:val="es-PR"/>
      </w:rPr>
      <w:t xml:space="preserve">Informe Positivo </w:t>
    </w:r>
    <w:r w:rsidR="000150A3" w:rsidRPr="00AA356F">
      <w:rPr>
        <w:rFonts w:ascii="Book Antiqua" w:hAnsi="Book Antiqua"/>
        <w:b/>
        <w:sz w:val="20"/>
        <w:lang w:val="es-PR"/>
      </w:rPr>
      <w:t xml:space="preserve">sobre el </w:t>
    </w:r>
    <w:r w:rsidR="00BD2D76">
      <w:rPr>
        <w:rFonts w:ascii="Book Antiqua" w:hAnsi="Book Antiqua"/>
        <w:b/>
        <w:sz w:val="20"/>
        <w:lang w:val="es-PR"/>
      </w:rPr>
      <w:t xml:space="preserve">P. </w:t>
    </w:r>
    <w:r w:rsidR="009D31CD">
      <w:rPr>
        <w:rFonts w:ascii="Book Antiqua" w:hAnsi="Book Antiqua"/>
        <w:b/>
        <w:sz w:val="20"/>
        <w:lang w:val="es-PR"/>
      </w:rPr>
      <w:t>de</w:t>
    </w:r>
    <w:r w:rsidR="006E5202">
      <w:rPr>
        <w:rFonts w:ascii="Book Antiqua" w:hAnsi="Book Antiqua"/>
        <w:b/>
        <w:sz w:val="20"/>
        <w:lang w:val="es-PR"/>
      </w:rPr>
      <w:t xml:space="preserve">l S. </w:t>
    </w:r>
    <w:r w:rsidR="005672F0">
      <w:rPr>
        <w:rFonts w:ascii="Book Antiqua" w:hAnsi="Book Antiqua"/>
        <w:b/>
        <w:sz w:val="20"/>
        <w:lang w:val="es-PR"/>
      </w:rPr>
      <w:t>769</w:t>
    </w:r>
    <w:r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A92EA2">
      <w:rPr>
        <w:rFonts w:ascii="Book Antiqua" w:hAnsi="Book Antiqua"/>
        <w:b/>
        <w:noProof/>
        <w:sz w:val="20"/>
        <w:lang w:val="es-PR"/>
      </w:rPr>
      <w:t>2</w:t>
    </w:r>
    <w:r w:rsidR="00A467D9" w:rsidRPr="00AA356F">
      <w:rPr>
        <w:rFonts w:ascii="Book Antiqua" w:hAnsi="Book Antiqua"/>
        <w:b/>
        <w:noProof/>
        <w:sz w:val="20"/>
        <w:lang w:val="es-PR"/>
      </w:rPr>
      <w:fldChar w:fldCharType="end"/>
    </w:r>
  </w:p>
  <w:p w14:paraId="29031A51" w14:textId="77777777" w:rsidR="00AA356F" w:rsidRPr="00AA356F" w:rsidRDefault="00AA356F">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1117663">
    <w:abstractNumId w:val="13"/>
  </w:num>
  <w:num w:numId="2" w16cid:durableId="50351088">
    <w:abstractNumId w:val="0"/>
  </w:num>
  <w:num w:numId="3" w16cid:durableId="1154876565">
    <w:abstractNumId w:val="7"/>
  </w:num>
  <w:num w:numId="4" w16cid:durableId="1681589908">
    <w:abstractNumId w:val="8"/>
  </w:num>
  <w:num w:numId="5" w16cid:durableId="1854755883">
    <w:abstractNumId w:val="6"/>
  </w:num>
  <w:num w:numId="6" w16cid:durableId="890458889">
    <w:abstractNumId w:val="3"/>
  </w:num>
  <w:num w:numId="7" w16cid:durableId="1759910246">
    <w:abstractNumId w:val="5"/>
  </w:num>
  <w:num w:numId="8" w16cid:durableId="2029021296">
    <w:abstractNumId w:val="1"/>
  </w:num>
  <w:num w:numId="9" w16cid:durableId="1474903998">
    <w:abstractNumId w:val="2"/>
  </w:num>
  <w:num w:numId="10" w16cid:durableId="24646336">
    <w:abstractNumId w:val="11"/>
  </w:num>
  <w:num w:numId="11" w16cid:durableId="1846940509">
    <w:abstractNumId w:val="26"/>
  </w:num>
  <w:num w:numId="12" w16cid:durableId="1494252365">
    <w:abstractNumId w:val="15"/>
  </w:num>
  <w:num w:numId="13" w16cid:durableId="1339043230">
    <w:abstractNumId w:val="4"/>
  </w:num>
  <w:num w:numId="14" w16cid:durableId="184514904">
    <w:abstractNumId w:val="28"/>
  </w:num>
  <w:num w:numId="15" w16cid:durableId="942764343">
    <w:abstractNumId w:val="29"/>
  </w:num>
  <w:num w:numId="16" w16cid:durableId="2123189352">
    <w:abstractNumId w:val="25"/>
  </w:num>
  <w:num w:numId="17" w16cid:durableId="2138332722">
    <w:abstractNumId w:val="18"/>
  </w:num>
  <w:num w:numId="18" w16cid:durableId="1625043358">
    <w:abstractNumId w:val="12"/>
  </w:num>
  <w:num w:numId="19" w16cid:durableId="18150205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9828275">
    <w:abstractNumId w:val="21"/>
  </w:num>
  <w:num w:numId="21" w16cid:durableId="14151982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5832119">
    <w:abstractNumId w:val="24"/>
  </w:num>
  <w:num w:numId="23" w16cid:durableId="975796694">
    <w:abstractNumId w:val="20"/>
  </w:num>
  <w:num w:numId="24" w16cid:durableId="2075930050">
    <w:abstractNumId w:val="23"/>
  </w:num>
  <w:num w:numId="25" w16cid:durableId="181937630">
    <w:abstractNumId w:val="16"/>
  </w:num>
  <w:num w:numId="26" w16cid:durableId="656961581">
    <w:abstractNumId w:val="14"/>
  </w:num>
  <w:num w:numId="27" w16cid:durableId="1948001865">
    <w:abstractNumId w:val="27"/>
  </w:num>
  <w:num w:numId="28" w16cid:durableId="400835328">
    <w:abstractNumId w:val="10"/>
  </w:num>
  <w:num w:numId="29" w16cid:durableId="2045250637">
    <w:abstractNumId w:val="22"/>
  </w:num>
  <w:num w:numId="30" w16cid:durableId="18365349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6A3E"/>
    <w:rsid w:val="000071C9"/>
    <w:rsid w:val="00007493"/>
    <w:rsid w:val="000101FE"/>
    <w:rsid w:val="0001086A"/>
    <w:rsid w:val="000124BE"/>
    <w:rsid w:val="000131DC"/>
    <w:rsid w:val="000150A3"/>
    <w:rsid w:val="00015855"/>
    <w:rsid w:val="00020BDF"/>
    <w:rsid w:val="00020C9A"/>
    <w:rsid w:val="0002522C"/>
    <w:rsid w:val="000303CF"/>
    <w:rsid w:val="00030C65"/>
    <w:rsid w:val="00031789"/>
    <w:rsid w:val="000330B9"/>
    <w:rsid w:val="00033C41"/>
    <w:rsid w:val="0003587A"/>
    <w:rsid w:val="00037177"/>
    <w:rsid w:val="00037AB9"/>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3A16"/>
    <w:rsid w:val="0007576D"/>
    <w:rsid w:val="00081492"/>
    <w:rsid w:val="00081C09"/>
    <w:rsid w:val="00081D93"/>
    <w:rsid w:val="00082933"/>
    <w:rsid w:val="00082CE5"/>
    <w:rsid w:val="00083DF8"/>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7E1"/>
    <w:rsid w:val="000B6FE4"/>
    <w:rsid w:val="000B7C3F"/>
    <w:rsid w:val="000B7ED5"/>
    <w:rsid w:val="000C0E06"/>
    <w:rsid w:val="000C1BB9"/>
    <w:rsid w:val="000C1D5B"/>
    <w:rsid w:val="000C26B0"/>
    <w:rsid w:val="000C3043"/>
    <w:rsid w:val="000C385A"/>
    <w:rsid w:val="000C42AC"/>
    <w:rsid w:val="000C58B8"/>
    <w:rsid w:val="000C5B39"/>
    <w:rsid w:val="000D03B8"/>
    <w:rsid w:val="000D23D9"/>
    <w:rsid w:val="000D4B54"/>
    <w:rsid w:val="000D4D47"/>
    <w:rsid w:val="000D4DB8"/>
    <w:rsid w:val="000E08FB"/>
    <w:rsid w:val="000E290F"/>
    <w:rsid w:val="000E34BC"/>
    <w:rsid w:val="000E3505"/>
    <w:rsid w:val="000E413F"/>
    <w:rsid w:val="000E79DB"/>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C"/>
    <w:rsid w:val="001302FF"/>
    <w:rsid w:val="0013073A"/>
    <w:rsid w:val="00130A4D"/>
    <w:rsid w:val="00130D76"/>
    <w:rsid w:val="001314B8"/>
    <w:rsid w:val="001337C9"/>
    <w:rsid w:val="00133808"/>
    <w:rsid w:val="00134C43"/>
    <w:rsid w:val="00134FE3"/>
    <w:rsid w:val="00135608"/>
    <w:rsid w:val="001414C1"/>
    <w:rsid w:val="00143D36"/>
    <w:rsid w:val="00144022"/>
    <w:rsid w:val="00144172"/>
    <w:rsid w:val="00146F7C"/>
    <w:rsid w:val="00152C87"/>
    <w:rsid w:val="00152DA6"/>
    <w:rsid w:val="00153275"/>
    <w:rsid w:val="001532FA"/>
    <w:rsid w:val="001539E7"/>
    <w:rsid w:val="00153B7E"/>
    <w:rsid w:val="00153E6A"/>
    <w:rsid w:val="0015414D"/>
    <w:rsid w:val="00156BB0"/>
    <w:rsid w:val="00157BB2"/>
    <w:rsid w:val="0016137A"/>
    <w:rsid w:val="001616AE"/>
    <w:rsid w:val="0016493C"/>
    <w:rsid w:val="00164B12"/>
    <w:rsid w:val="00165CFA"/>
    <w:rsid w:val="00167DE8"/>
    <w:rsid w:val="00170AC5"/>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41D7"/>
    <w:rsid w:val="001946AD"/>
    <w:rsid w:val="00196242"/>
    <w:rsid w:val="001965AD"/>
    <w:rsid w:val="001A006E"/>
    <w:rsid w:val="001A0AFA"/>
    <w:rsid w:val="001A135D"/>
    <w:rsid w:val="001A229D"/>
    <w:rsid w:val="001A291E"/>
    <w:rsid w:val="001A3B7C"/>
    <w:rsid w:val="001A40DB"/>
    <w:rsid w:val="001B0930"/>
    <w:rsid w:val="001B0A99"/>
    <w:rsid w:val="001B1A10"/>
    <w:rsid w:val="001B305F"/>
    <w:rsid w:val="001B7116"/>
    <w:rsid w:val="001C10FD"/>
    <w:rsid w:val="001C2532"/>
    <w:rsid w:val="001C33F0"/>
    <w:rsid w:val="001C6680"/>
    <w:rsid w:val="001D03F6"/>
    <w:rsid w:val="001D0905"/>
    <w:rsid w:val="001D0D22"/>
    <w:rsid w:val="001D3370"/>
    <w:rsid w:val="001D353A"/>
    <w:rsid w:val="001D4112"/>
    <w:rsid w:val="001D4366"/>
    <w:rsid w:val="001D4C21"/>
    <w:rsid w:val="001D543D"/>
    <w:rsid w:val="001D5499"/>
    <w:rsid w:val="001E04D8"/>
    <w:rsid w:val="001E2755"/>
    <w:rsid w:val="001E4811"/>
    <w:rsid w:val="001E48B1"/>
    <w:rsid w:val="001E557F"/>
    <w:rsid w:val="001E6339"/>
    <w:rsid w:val="001F0F4F"/>
    <w:rsid w:val="001F3186"/>
    <w:rsid w:val="001F369E"/>
    <w:rsid w:val="001F4C56"/>
    <w:rsid w:val="001F50DA"/>
    <w:rsid w:val="001F7006"/>
    <w:rsid w:val="001F7CAE"/>
    <w:rsid w:val="002009C8"/>
    <w:rsid w:val="00202630"/>
    <w:rsid w:val="00202DBE"/>
    <w:rsid w:val="0020310E"/>
    <w:rsid w:val="002032AC"/>
    <w:rsid w:val="002044C3"/>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CE2"/>
    <w:rsid w:val="0022583D"/>
    <w:rsid w:val="00225CCD"/>
    <w:rsid w:val="00226201"/>
    <w:rsid w:val="00230212"/>
    <w:rsid w:val="00230AAA"/>
    <w:rsid w:val="00233267"/>
    <w:rsid w:val="0023328D"/>
    <w:rsid w:val="002338F2"/>
    <w:rsid w:val="0023663E"/>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6761"/>
    <w:rsid w:val="00287DD0"/>
    <w:rsid w:val="00287E3E"/>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1DA5"/>
    <w:rsid w:val="0032209A"/>
    <w:rsid w:val="0032469D"/>
    <w:rsid w:val="00324708"/>
    <w:rsid w:val="00324F95"/>
    <w:rsid w:val="003251AE"/>
    <w:rsid w:val="00325F61"/>
    <w:rsid w:val="00331D8B"/>
    <w:rsid w:val="00333838"/>
    <w:rsid w:val="00334D87"/>
    <w:rsid w:val="00335DD0"/>
    <w:rsid w:val="0033636E"/>
    <w:rsid w:val="00336792"/>
    <w:rsid w:val="00336BC3"/>
    <w:rsid w:val="00337643"/>
    <w:rsid w:val="003378CE"/>
    <w:rsid w:val="00340437"/>
    <w:rsid w:val="0034082A"/>
    <w:rsid w:val="003408D0"/>
    <w:rsid w:val="00341597"/>
    <w:rsid w:val="00342162"/>
    <w:rsid w:val="0034522F"/>
    <w:rsid w:val="00346AC3"/>
    <w:rsid w:val="0034722B"/>
    <w:rsid w:val="0034729D"/>
    <w:rsid w:val="003473C7"/>
    <w:rsid w:val="003474C3"/>
    <w:rsid w:val="00347528"/>
    <w:rsid w:val="003477A7"/>
    <w:rsid w:val="00347876"/>
    <w:rsid w:val="00347E4B"/>
    <w:rsid w:val="00351B33"/>
    <w:rsid w:val="003521E4"/>
    <w:rsid w:val="00352822"/>
    <w:rsid w:val="003573A2"/>
    <w:rsid w:val="00357D71"/>
    <w:rsid w:val="0036161D"/>
    <w:rsid w:val="003617CB"/>
    <w:rsid w:val="00363CF1"/>
    <w:rsid w:val="00364D0A"/>
    <w:rsid w:val="003671E7"/>
    <w:rsid w:val="00367786"/>
    <w:rsid w:val="00367D3B"/>
    <w:rsid w:val="00367DCE"/>
    <w:rsid w:val="003712B7"/>
    <w:rsid w:val="00371588"/>
    <w:rsid w:val="003725F7"/>
    <w:rsid w:val="00374424"/>
    <w:rsid w:val="00374A11"/>
    <w:rsid w:val="003757D8"/>
    <w:rsid w:val="0037624F"/>
    <w:rsid w:val="003767F3"/>
    <w:rsid w:val="00377009"/>
    <w:rsid w:val="00380706"/>
    <w:rsid w:val="00381042"/>
    <w:rsid w:val="00381995"/>
    <w:rsid w:val="00384116"/>
    <w:rsid w:val="003851D1"/>
    <w:rsid w:val="0038590B"/>
    <w:rsid w:val="00386E27"/>
    <w:rsid w:val="003906BA"/>
    <w:rsid w:val="00391580"/>
    <w:rsid w:val="00391E8C"/>
    <w:rsid w:val="0039301B"/>
    <w:rsid w:val="0039343D"/>
    <w:rsid w:val="003937E6"/>
    <w:rsid w:val="00393B69"/>
    <w:rsid w:val="00393E5E"/>
    <w:rsid w:val="00394671"/>
    <w:rsid w:val="00394958"/>
    <w:rsid w:val="00395C59"/>
    <w:rsid w:val="003A0740"/>
    <w:rsid w:val="003A089F"/>
    <w:rsid w:val="003A281D"/>
    <w:rsid w:val="003A35FC"/>
    <w:rsid w:val="003A4B2F"/>
    <w:rsid w:val="003A5291"/>
    <w:rsid w:val="003A6817"/>
    <w:rsid w:val="003A7D43"/>
    <w:rsid w:val="003B10AC"/>
    <w:rsid w:val="003B2429"/>
    <w:rsid w:val="003B5A92"/>
    <w:rsid w:val="003B6376"/>
    <w:rsid w:val="003B677E"/>
    <w:rsid w:val="003B7435"/>
    <w:rsid w:val="003C06F1"/>
    <w:rsid w:val="003C198A"/>
    <w:rsid w:val="003C2DB7"/>
    <w:rsid w:val="003C42F6"/>
    <w:rsid w:val="003C5F1C"/>
    <w:rsid w:val="003C742D"/>
    <w:rsid w:val="003D0069"/>
    <w:rsid w:val="003D075C"/>
    <w:rsid w:val="003D0A5D"/>
    <w:rsid w:val="003D1BDD"/>
    <w:rsid w:val="003D445B"/>
    <w:rsid w:val="003D5BAA"/>
    <w:rsid w:val="003D5CCD"/>
    <w:rsid w:val="003E01DE"/>
    <w:rsid w:val="003E3CE2"/>
    <w:rsid w:val="003E3D12"/>
    <w:rsid w:val="003E4F93"/>
    <w:rsid w:val="003E5451"/>
    <w:rsid w:val="003E5AEF"/>
    <w:rsid w:val="003E6CB3"/>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F22"/>
    <w:rsid w:val="004064CF"/>
    <w:rsid w:val="0040756D"/>
    <w:rsid w:val="004106DE"/>
    <w:rsid w:val="00411192"/>
    <w:rsid w:val="004112E5"/>
    <w:rsid w:val="00411B3A"/>
    <w:rsid w:val="00412980"/>
    <w:rsid w:val="004144F5"/>
    <w:rsid w:val="004166D4"/>
    <w:rsid w:val="004178DC"/>
    <w:rsid w:val="0042140E"/>
    <w:rsid w:val="004223DC"/>
    <w:rsid w:val="00424C0F"/>
    <w:rsid w:val="0042735D"/>
    <w:rsid w:val="00430378"/>
    <w:rsid w:val="00430D5E"/>
    <w:rsid w:val="00432BE0"/>
    <w:rsid w:val="004340B0"/>
    <w:rsid w:val="00435102"/>
    <w:rsid w:val="00436840"/>
    <w:rsid w:val="00436958"/>
    <w:rsid w:val="00436C40"/>
    <w:rsid w:val="00437A44"/>
    <w:rsid w:val="0044183D"/>
    <w:rsid w:val="00442799"/>
    <w:rsid w:val="00444352"/>
    <w:rsid w:val="004447DA"/>
    <w:rsid w:val="004448B3"/>
    <w:rsid w:val="004448E0"/>
    <w:rsid w:val="00445C12"/>
    <w:rsid w:val="004476C4"/>
    <w:rsid w:val="004500A4"/>
    <w:rsid w:val="004508F0"/>
    <w:rsid w:val="00451930"/>
    <w:rsid w:val="00457907"/>
    <w:rsid w:val="004628FC"/>
    <w:rsid w:val="00463FE5"/>
    <w:rsid w:val="00464FA6"/>
    <w:rsid w:val="00466E89"/>
    <w:rsid w:val="00467B2F"/>
    <w:rsid w:val="004730AF"/>
    <w:rsid w:val="00473209"/>
    <w:rsid w:val="004732F8"/>
    <w:rsid w:val="004739A3"/>
    <w:rsid w:val="00474A11"/>
    <w:rsid w:val="00475AFC"/>
    <w:rsid w:val="00477EDA"/>
    <w:rsid w:val="00483011"/>
    <w:rsid w:val="00484D22"/>
    <w:rsid w:val="004851EC"/>
    <w:rsid w:val="0048581A"/>
    <w:rsid w:val="00492BFA"/>
    <w:rsid w:val="00494134"/>
    <w:rsid w:val="004954FA"/>
    <w:rsid w:val="0049623F"/>
    <w:rsid w:val="004975F5"/>
    <w:rsid w:val="004A117F"/>
    <w:rsid w:val="004A3F41"/>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6A3F"/>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E6C61"/>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2685A"/>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A2"/>
    <w:rsid w:val="005457D2"/>
    <w:rsid w:val="00546B0C"/>
    <w:rsid w:val="00546D6E"/>
    <w:rsid w:val="0055023F"/>
    <w:rsid w:val="00550A68"/>
    <w:rsid w:val="00552044"/>
    <w:rsid w:val="005535F2"/>
    <w:rsid w:val="00555C54"/>
    <w:rsid w:val="00555DEB"/>
    <w:rsid w:val="005561AD"/>
    <w:rsid w:val="005619EB"/>
    <w:rsid w:val="00562DD6"/>
    <w:rsid w:val="00562EE0"/>
    <w:rsid w:val="00563D24"/>
    <w:rsid w:val="005643FB"/>
    <w:rsid w:val="00564618"/>
    <w:rsid w:val="00565117"/>
    <w:rsid w:val="0056587F"/>
    <w:rsid w:val="00566BF1"/>
    <w:rsid w:val="005672F0"/>
    <w:rsid w:val="00570D18"/>
    <w:rsid w:val="0057185B"/>
    <w:rsid w:val="00571EA0"/>
    <w:rsid w:val="00571F66"/>
    <w:rsid w:val="00572D21"/>
    <w:rsid w:val="00572D30"/>
    <w:rsid w:val="00573EA3"/>
    <w:rsid w:val="00574C7D"/>
    <w:rsid w:val="00575F0E"/>
    <w:rsid w:val="005769B9"/>
    <w:rsid w:val="00576D7D"/>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D4E"/>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7C6"/>
    <w:rsid w:val="005B2A54"/>
    <w:rsid w:val="005B30C4"/>
    <w:rsid w:val="005B3CA7"/>
    <w:rsid w:val="005B430C"/>
    <w:rsid w:val="005B4FC5"/>
    <w:rsid w:val="005B5E26"/>
    <w:rsid w:val="005C009E"/>
    <w:rsid w:val="005C1026"/>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2851"/>
    <w:rsid w:val="005E28B4"/>
    <w:rsid w:val="005E3D2C"/>
    <w:rsid w:val="005E5536"/>
    <w:rsid w:val="005E647A"/>
    <w:rsid w:val="005E6493"/>
    <w:rsid w:val="005E707A"/>
    <w:rsid w:val="005E75EA"/>
    <w:rsid w:val="005F0399"/>
    <w:rsid w:val="005F16E2"/>
    <w:rsid w:val="005F40DF"/>
    <w:rsid w:val="005F4615"/>
    <w:rsid w:val="005F47DC"/>
    <w:rsid w:val="005F4BF5"/>
    <w:rsid w:val="005F5894"/>
    <w:rsid w:val="005F5B92"/>
    <w:rsid w:val="005F6166"/>
    <w:rsid w:val="00600503"/>
    <w:rsid w:val="006006FF"/>
    <w:rsid w:val="00601029"/>
    <w:rsid w:val="0060109A"/>
    <w:rsid w:val="006029F3"/>
    <w:rsid w:val="00602B61"/>
    <w:rsid w:val="00602D6E"/>
    <w:rsid w:val="006047FD"/>
    <w:rsid w:val="00604B26"/>
    <w:rsid w:val="00610429"/>
    <w:rsid w:val="00610C87"/>
    <w:rsid w:val="00612AE0"/>
    <w:rsid w:val="006138D3"/>
    <w:rsid w:val="00614B6F"/>
    <w:rsid w:val="00615B0B"/>
    <w:rsid w:val="00617244"/>
    <w:rsid w:val="00617420"/>
    <w:rsid w:val="00617813"/>
    <w:rsid w:val="00617D62"/>
    <w:rsid w:val="00621570"/>
    <w:rsid w:val="00621BF2"/>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F9"/>
    <w:rsid w:val="006564FB"/>
    <w:rsid w:val="006565FC"/>
    <w:rsid w:val="006569FF"/>
    <w:rsid w:val="0065707C"/>
    <w:rsid w:val="00663441"/>
    <w:rsid w:val="00663ED2"/>
    <w:rsid w:val="00664E81"/>
    <w:rsid w:val="00666531"/>
    <w:rsid w:val="00666C53"/>
    <w:rsid w:val="00670352"/>
    <w:rsid w:val="00671902"/>
    <w:rsid w:val="00672273"/>
    <w:rsid w:val="0067381A"/>
    <w:rsid w:val="0067658E"/>
    <w:rsid w:val="00681120"/>
    <w:rsid w:val="00682A1F"/>
    <w:rsid w:val="00683A2D"/>
    <w:rsid w:val="00683E25"/>
    <w:rsid w:val="00684AE9"/>
    <w:rsid w:val="0068598E"/>
    <w:rsid w:val="00686C92"/>
    <w:rsid w:val="00686FE8"/>
    <w:rsid w:val="00687CE2"/>
    <w:rsid w:val="00691151"/>
    <w:rsid w:val="00691386"/>
    <w:rsid w:val="00692DA8"/>
    <w:rsid w:val="006934DF"/>
    <w:rsid w:val="00694166"/>
    <w:rsid w:val="006947D2"/>
    <w:rsid w:val="006970ED"/>
    <w:rsid w:val="00697ABB"/>
    <w:rsid w:val="006A0A04"/>
    <w:rsid w:val="006A154B"/>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D0170"/>
    <w:rsid w:val="006D04B7"/>
    <w:rsid w:val="006D0732"/>
    <w:rsid w:val="006D076B"/>
    <w:rsid w:val="006D0C1E"/>
    <w:rsid w:val="006D0F03"/>
    <w:rsid w:val="006D313F"/>
    <w:rsid w:val="006D3354"/>
    <w:rsid w:val="006D47F1"/>
    <w:rsid w:val="006D6205"/>
    <w:rsid w:val="006D77BE"/>
    <w:rsid w:val="006E29D1"/>
    <w:rsid w:val="006E3F1F"/>
    <w:rsid w:val="006E43FE"/>
    <w:rsid w:val="006E5202"/>
    <w:rsid w:val="006E689F"/>
    <w:rsid w:val="006E6939"/>
    <w:rsid w:val="006E77A9"/>
    <w:rsid w:val="006F1B6A"/>
    <w:rsid w:val="006F25A4"/>
    <w:rsid w:val="006F2F98"/>
    <w:rsid w:val="006F36A8"/>
    <w:rsid w:val="00701191"/>
    <w:rsid w:val="007019D6"/>
    <w:rsid w:val="00703B17"/>
    <w:rsid w:val="00704415"/>
    <w:rsid w:val="00704C3A"/>
    <w:rsid w:val="00716583"/>
    <w:rsid w:val="0071737C"/>
    <w:rsid w:val="00720FA1"/>
    <w:rsid w:val="007222E6"/>
    <w:rsid w:val="00722E8A"/>
    <w:rsid w:val="00723939"/>
    <w:rsid w:val="00723F12"/>
    <w:rsid w:val="007249EF"/>
    <w:rsid w:val="00725488"/>
    <w:rsid w:val="00727BCE"/>
    <w:rsid w:val="00730984"/>
    <w:rsid w:val="007329F9"/>
    <w:rsid w:val="0073465C"/>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717DA"/>
    <w:rsid w:val="00772C45"/>
    <w:rsid w:val="00772DCE"/>
    <w:rsid w:val="00772DE3"/>
    <w:rsid w:val="007734F0"/>
    <w:rsid w:val="007736E5"/>
    <w:rsid w:val="0077414D"/>
    <w:rsid w:val="00774A04"/>
    <w:rsid w:val="007774B7"/>
    <w:rsid w:val="00783B26"/>
    <w:rsid w:val="007845E9"/>
    <w:rsid w:val="00785FF7"/>
    <w:rsid w:val="007872AC"/>
    <w:rsid w:val="0079068D"/>
    <w:rsid w:val="007917CF"/>
    <w:rsid w:val="00791A78"/>
    <w:rsid w:val="00793D92"/>
    <w:rsid w:val="00794451"/>
    <w:rsid w:val="00794C0D"/>
    <w:rsid w:val="007954BD"/>
    <w:rsid w:val="0079590F"/>
    <w:rsid w:val="007971A0"/>
    <w:rsid w:val="007A08B0"/>
    <w:rsid w:val="007A210E"/>
    <w:rsid w:val="007A357D"/>
    <w:rsid w:val="007A4112"/>
    <w:rsid w:val="007A5022"/>
    <w:rsid w:val="007A66CA"/>
    <w:rsid w:val="007A6D20"/>
    <w:rsid w:val="007A6E9E"/>
    <w:rsid w:val="007A75A6"/>
    <w:rsid w:val="007B33F0"/>
    <w:rsid w:val="007B43F2"/>
    <w:rsid w:val="007B54F9"/>
    <w:rsid w:val="007B7C20"/>
    <w:rsid w:val="007C1FBB"/>
    <w:rsid w:val="007C2AF5"/>
    <w:rsid w:val="007C2E81"/>
    <w:rsid w:val="007C3549"/>
    <w:rsid w:val="007D0802"/>
    <w:rsid w:val="007D1416"/>
    <w:rsid w:val="007D1EBA"/>
    <w:rsid w:val="007D409B"/>
    <w:rsid w:val="007D45BA"/>
    <w:rsid w:val="007D4EB5"/>
    <w:rsid w:val="007D5173"/>
    <w:rsid w:val="007D6B2C"/>
    <w:rsid w:val="007D76C2"/>
    <w:rsid w:val="007E00CD"/>
    <w:rsid w:val="007E0679"/>
    <w:rsid w:val="007E1528"/>
    <w:rsid w:val="007E1AAE"/>
    <w:rsid w:val="007E23D2"/>
    <w:rsid w:val="007E28AC"/>
    <w:rsid w:val="007E4DF6"/>
    <w:rsid w:val="007E65A7"/>
    <w:rsid w:val="007F01F7"/>
    <w:rsid w:val="007F0947"/>
    <w:rsid w:val="007F0A22"/>
    <w:rsid w:val="007F10E6"/>
    <w:rsid w:val="007F3600"/>
    <w:rsid w:val="007F52F5"/>
    <w:rsid w:val="0080082A"/>
    <w:rsid w:val="00801CC3"/>
    <w:rsid w:val="0080230F"/>
    <w:rsid w:val="00803450"/>
    <w:rsid w:val="00803BD2"/>
    <w:rsid w:val="00804D7A"/>
    <w:rsid w:val="00805E8D"/>
    <w:rsid w:val="0080773F"/>
    <w:rsid w:val="00807D83"/>
    <w:rsid w:val="008104BE"/>
    <w:rsid w:val="00810E2E"/>
    <w:rsid w:val="00810F32"/>
    <w:rsid w:val="00811446"/>
    <w:rsid w:val="00811BA4"/>
    <w:rsid w:val="00811D5C"/>
    <w:rsid w:val="008125EF"/>
    <w:rsid w:val="008127BE"/>
    <w:rsid w:val="00812E0D"/>
    <w:rsid w:val="0081445B"/>
    <w:rsid w:val="00814919"/>
    <w:rsid w:val="00814DC3"/>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503DD"/>
    <w:rsid w:val="00850968"/>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9CA"/>
    <w:rsid w:val="008913A3"/>
    <w:rsid w:val="00891A8F"/>
    <w:rsid w:val="00891CDE"/>
    <w:rsid w:val="008922B6"/>
    <w:rsid w:val="0089478E"/>
    <w:rsid w:val="00896925"/>
    <w:rsid w:val="00897E1F"/>
    <w:rsid w:val="00897EA9"/>
    <w:rsid w:val="008A0149"/>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409B"/>
    <w:rsid w:val="008D5168"/>
    <w:rsid w:val="008D5632"/>
    <w:rsid w:val="008D5B1D"/>
    <w:rsid w:val="008D5FBB"/>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4F3E"/>
    <w:rsid w:val="008F522B"/>
    <w:rsid w:val="008F65E6"/>
    <w:rsid w:val="00900591"/>
    <w:rsid w:val="00900E49"/>
    <w:rsid w:val="00900EF4"/>
    <w:rsid w:val="009011B6"/>
    <w:rsid w:val="00901C33"/>
    <w:rsid w:val="009033E2"/>
    <w:rsid w:val="0090419C"/>
    <w:rsid w:val="0090428B"/>
    <w:rsid w:val="00907E31"/>
    <w:rsid w:val="00912019"/>
    <w:rsid w:val="00913206"/>
    <w:rsid w:val="009142D6"/>
    <w:rsid w:val="009156DB"/>
    <w:rsid w:val="009175B9"/>
    <w:rsid w:val="009214F2"/>
    <w:rsid w:val="00922839"/>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4417"/>
    <w:rsid w:val="00945F95"/>
    <w:rsid w:val="00950873"/>
    <w:rsid w:val="00950A01"/>
    <w:rsid w:val="00951A5D"/>
    <w:rsid w:val="009560A4"/>
    <w:rsid w:val="00956D14"/>
    <w:rsid w:val="00956D9C"/>
    <w:rsid w:val="009576FD"/>
    <w:rsid w:val="009615A3"/>
    <w:rsid w:val="00961958"/>
    <w:rsid w:val="00961DAA"/>
    <w:rsid w:val="009626EE"/>
    <w:rsid w:val="009638E9"/>
    <w:rsid w:val="009641ED"/>
    <w:rsid w:val="00966CAD"/>
    <w:rsid w:val="00967712"/>
    <w:rsid w:val="0096771E"/>
    <w:rsid w:val="00972148"/>
    <w:rsid w:val="00972536"/>
    <w:rsid w:val="009725F5"/>
    <w:rsid w:val="00975D4E"/>
    <w:rsid w:val="00975F8C"/>
    <w:rsid w:val="00976716"/>
    <w:rsid w:val="00977839"/>
    <w:rsid w:val="00981039"/>
    <w:rsid w:val="00982D44"/>
    <w:rsid w:val="0098370E"/>
    <w:rsid w:val="00983C9B"/>
    <w:rsid w:val="00985895"/>
    <w:rsid w:val="0098681A"/>
    <w:rsid w:val="0098728A"/>
    <w:rsid w:val="00987355"/>
    <w:rsid w:val="00990653"/>
    <w:rsid w:val="00990D13"/>
    <w:rsid w:val="00992B82"/>
    <w:rsid w:val="00993B0D"/>
    <w:rsid w:val="0099460E"/>
    <w:rsid w:val="009948E7"/>
    <w:rsid w:val="00996DDA"/>
    <w:rsid w:val="00997A1D"/>
    <w:rsid w:val="00997A8D"/>
    <w:rsid w:val="009A0637"/>
    <w:rsid w:val="009A0CBC"/>
    <w:rsid w:val="009A1AE0"/>
    <w:rsid w:val="009A2891"/>
    <w:rsid w:val="009A2F24"/>
    <w:rsid w:val="009A3059"/>
    <w:rsid w:val="009A310E"/>
    <w:rsid w:val="009A368A"/>
    <w:rsid w:val="009A4042"/>
    <w:rsid w:val="009A4D83"/>
    <w:rsid w:val="009A69A0"/>
    <w:rsid w:val="009A6CF5"/>
    <w:rsid w:val="009A6EC8"/>
    <w:rsid w:val="009A7751"/>
    <w:rsid w:val="009A7E3E"/>
    <w:rsid w:val="009B0E68"/>
    <w:rsid w:val="009B189B"/>
    <w:rsid w:val="009B1E74"/>
    <w:rsid w:val="009B292B"/>
    <w:rsid w:val="009B29FE"/>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E06DC"/>
    <w:rsid w:val="009E113F"/>
    <w:rsid w:val="009E3B1D"/>
    <w:rsid w:val="009E6380"/>
    <w:rsid w:val="009E64B5"/>
    <w:rsid w:val="009E7C4D"/>
    <w:rsid w:val="009F0098"/>
    <w:rsid w:val="009F0C3D"/>
    <w:rsid w:val="009F1485"/>
    <w:rsid w:val="009F2256"/>
    <w:rsid w:val="009F2D2C"/>
    <w:rsid w:val="009F5B7D"/>
    <w:rsid w:val="009F6514"/>
    <w:rsid w:val="009F6680"/>
    <w:rsid w:val="00A004B3"/>
    <w:rsid w:val="00A00834"/>
    <w:rsid w:val="00A00D80"/>
    <w:rsid w:val="00A0159D"/>
    <w:rsid w:val="00A01A32"/>
    <w:rsid w:val="00A045E2"/>
    <w:rsid w:val="00A047C4"/>
    <w:rsid w:val="00A06430"/>
    <w:rsid w:val="00A0650A"/>
    <w:rsid w:val="00A070E2"/>
    <w:rsid w:val="00A0773D"/>
    <w:rsid w:val="00A078DF"/>
    <w:rsid w:val="00A1044D"/>
    <w:rsid w:val="00A11DDB"/>
    <w:rsid w:val="00A13272"/>
    <w:rsid w:val="00A1376E"/>
    <w:rsid w:val="00A14A59"/>
    <w:rsid w:val="00A16987"/>
    <w:rsid w:val="00A17BAB"/>
    <w:rsid w:val="00A17D6E"/>
    <w:rsid w:val="00A20ADD"/>
    <w:rsid w:val="00A20FFA"/>
    <w:rsid w:val="00A216A0"/>
    <w:rsid w:val="00A218AF"/>
    <w:rsid w:val="00A2351A"/>
    <w:rsid w:val="00A25065"/>
    <w:rsid w:val="00A267E9"/>
    <w:rsid w:val="00A30805"/>
    <w:rsid w:val="00A31D62"/>
    <w:rsid w:val="00A31DA6"/>
    <w:rsid w:val="00A3203B"/>
    <w:rsid w:val="00A3241F"/>
    <w:rsid w:val="00A32C87"/>
    <w:rsid w:val="00A334A7"/>
    <w:rsid w:val="00A33F72"/>
    <w:rsid w:val="00A35B87"/>
    <w:rsid w:val="00A363CD"/>
    <w:rsid w:val="00A36AB1"/>
    <w:rsid w:val="00A3729E"/>
    <w:rsid w:val="00A37846"/>
    <w:rsid w:val="00A37C29"/>
    <w:rsid w:val="00A420D3"/>
    <w:rsid w:val="00A43441"/>
    <w:rsid w:val="00A43549"/>
    <w:rsid w:val="00A446FF"/>
    <w:rsid w:val="00A45D12"/>
    <w:rsid w:val="00A45DA2"/>
    <w:rsid w:val="00A467D9"/>
    <w:rsid w:val="00A46BB2"/>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F0837"/>
    <w:rsid w:val="00AF1F69"/>
    <w:rsid w:val="00AF5598"/>
    <w:rsid w:val="00AF5DA6"/>
    <w:rsid w:val="00AF61C4"/>
    <w:rsid w:val="00AF7A57"/>
    <w:rsid w:val="00AF7A5B"/>
    <w:rsid w:val="00B001DF"/>
    <w:rsid w:val="00B002B3"/>
    <w:rsid w:val="00B022E5"/>
    <w:rsid w:val="00B022F3"/>
    <w:rsid w:val="00B06430"/>
    <w:rsid w:val="00B06AB0"/>
    <w:rsid w:val="00B07899"/>
    <w:rsid w:val="00B07B47"/>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72BF"/>
    <w:rsid w:val="00B31944"/>
    <w:rsid w:val="00B35428"/>
    <w:rsid w:val="00B354CA"/>
    <w:rsid w:val="00B3712F"/>
    <w:rsid w:val="00B409BB"/>
    <w:rsid w:val="00B418B0"/>
    <w:rsid w:val="00B4296D"/>
    <w:rsid w:val="00B46E8F"/>
    <w:rsid w:val="00B47BFB"/>
    <w:rsid w:val="00B50825"/>
    <w:rsid w:val="00B50CB9"/>
    <w:rsid w:val="00B52DE1"/>
    <w:rsid w:val="00B549A3"/>
    <w:rsid w:val="00B54B39"/>
    <w:rsid w:val="00B57870"/>
    <w:rsid w:val="00B601A4"/>
    <w:rsid w:val="00B6333E"/>
    <w:rsid w:val="00B63D6B"/>
    <w:rsid w:val="00B65282"/>
    <w:rsid w:val="00B66854"/>
    <w:rsid w:val="00B715CE"/>
    <w:rsid w:val="00B72278"/>
    <w:rsid w:val="00B74A40"/>
    <w:rsid w:val="00B74C27"/>
    <w:rsid w:val="00B75371"/>
    <w:rsid w:val="00B7744A"/>
    <w:rsid w:val="00B8096F"/>
    <w:rsid w:val="00B82B21"/>
    <w:rsid w:val="00B82C6B"/>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9B2"/>
    <w:rsid w:val="00BB1A83"/>
    <w:rsid w:val="00BB2052"/>
    <w:rsid w:val="00BB2D80"/>
    <w:rsid w:val="00BB39C2"/>
    <w:rsid w:val="00BB4FB3"/>
    <w:rsid w:val="00BB6437"/>
    <w:rsid w:val="00BB7D1E"/>
    <w:rsid w:val="00BC148A"/>
    <w:rsid w:val="00BC400F"/>
    <w:rsid w:val="00BC4BC8"/>
    <w:rsid w:val="00BC5914"/>
    <w:rsid w:val="00BC68E6"/>
    <w:rsid w:val="00BC7338"/>
    <w:rsid w:val="00BD0951"/>
    <w:rsid w:val="00BD1C9D"/>
    <w:rsid w:val="00BD2D76"/>
    <w:rsid w:val="00BD36FB"/>
    <w:rsid w:val="00BD753E"/>
    <w:rsid w:val="00BE00B8"/>
    <w:rsid w:val="00BE033F"/>
    <w:rsid w:val="00BE0C30"/>
    <w:rsid w:val="00BE14FB"/>
    <w:rsid w:val="00BE1FB7"/>
    <w:rsid w:val="00BE446C"/>
    <w:rsid w:val="00BE51D7"/>
    <w:rsid w:val="00BF11E8"/>
    <w:rsid w:val="00BF3055"/>
    <w:rsid w:val="00BF3305"/>
    <w:rsid w:val="00BF6C0A"/>
    <w:rsid w:val="00BF6C3D"/>
    <w:rsid w:val="00BF79FD"/>
    <w:rsid w:val="00BF7B87"/>
    <w:rsid w:val="00C001B8"/>
    <w:rsid w:val="00C00464"/>
    <w:rsid w:val="00C00F7F"/>
    <w:rsid w:val="00C01CE4"/>
    <w:rsid w:val="00C0302C"/>
    <w:rsid w:val="00C0512D"/>
    <w:rsid w:val="00C06067"/>
    <w:rsid w:val="00C063CA"/>
    <w:rsid w:val="00C06EC4"/>
    <w:rsid w:val="00C07E85"/>
    <w:rsid w:val="00C1027D"/>
    <w:rsid w:val="00C11003"/>
    <w:rsid w:val="00C111BD"/>
    <w:rsid w:val="00C120A8"/>
    <w:rsid w:val="00C126EF"/>
    <w:rsid w:val="00C150E3"/>
    <w:rsid w:val="00C161E7"/>
    <w:rsid w:val="00C1652C"/>
    <w:rsid w:val="00C20644"/>
    <w:rsid w:val="00C21C6E"/>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30BD"/>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D8A"/>
    <w:rsid w:val="00CA7F76"/>
    <w:rsid w:val="00CB04C8"/>
    <w:rsid w:val="00CB0CE8"/>
    <w:rsid w:val="00CB237F"/>
    <w:rsid w:val="00CB364F"/>
    <w:rsid w:val="00CB5DF7"/>
    <w:rsid w:val="00CC01A3"/>
    <w:rsid w:val="00CC1F30"/>
    <w:rsid w:val="00CC3964"/>
    <w:rsid w:val="00CC39F2"/>
    <w:rsid w:val="00CC3FAE"/>
    <w:rsid w:val="00CC471D"/>
    <w:rsid w:val="00CC4A57"/>
    <w:rsid w:val="00CC4A9F"/>
    <w:rsid w:val="00CC527A"/>
    <w:rsid w:val="00CC5643"/>
    <w:rsid w:val="00CD0279"/>
    <w:rsid w:val="00CD0F05"/>
    <w:rsid w:val="00CD14B0"/>
    <w:rsid w:val="00CD1996"/>
    <w:rsid w:val="00CD1E4D"/>
    <w:rsid w:val="00CD2027"/>
    <w:rsid w:val="00CD3417"/>
    <w:rsid w:val="00CD5879"/>
    <w:rsid w:val="00CD6838"/>
    <w:rsid w:val="00CD7DEF"/>
    <w:rsid w:val="00CE0E83"/>
    <w:rsid w:val="00CE2CCC"/>
    <w:rsid w:val="00CE4AFF"/>
    <w:rsid w:val="00CE6537"/>
    <w:rsid w:val="00CE73F2"/>
    <w:rsid w:val="00CE7A76"/>
    <w:rsid w:val="00CF05B8"/>
    <w:rsid w:val="00CF1DC5"/>
    <w:rsid w:val="00CF1ED7"/>
    <w:rsid w:val="00CF1FD7"/>
    <w:rsid w:val="00CF2485"/>
    <w:rsid w:val="00CF26A3"/>
    <w:rsid w:val="00CF2D0B"/>
    <w:rsid w:val="00CF3526"/>
    <w:rsid w:val="00CF3F05"/>
    <w:rsid w:val="00CF4186"/>
    <w:rsid w:val="00CF50FD"/>
    <w:rsid w:val="00CF543B"/>
    <w:rsid w:val="00CF56B9"/>
    <w:rsid w:val="00D004DF"/>
    <w:rsid w:val="00D0103F"/>
    <w:rsid w:val="00D010A3"/>
    <w:rsid w:val="00D03187"/>
    <w:rsid w:val="00D05115"/>
    <w:rsid w:val="00D061BC"/>
    <w:rsid w:val="00D0622A"/>
    <w:rsid w:val="00D06874"/>
    <w:rsid w:val="00D06CF5"/>
    <w:rsid w:val="00D10F06"/>
    <w:rsid w:val="00D119BF"/>
    <w:rsid w:val="00D1528C"/>
    <w:rsid w:val="00D15B3E"/>
    <w:rsid w:val="00D16699"/>
    <w:rsid w:val="00D16B72"/>
    <w:rsid w:val="00D2183F"/>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54DC"/>
    <w:rsid w:val="00D45778"/>
    <w:rsid w:val="00D47914"/>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57E4E"/>
    <w:rsid w:val="00D61820"/>
    <w:rsid w:val="00D62E0C"/>
    <w:rsid w:val="00D62E96"/>
    <w:rsid w:val="00D654A1"/>
    <w:rsid w:val="00D67416"/>
    <w:rsid w:val="00D7032D"/>
    <w:rsid w:val="00D715B1"/>
    <w:rsid w:val="00D71A7E"/>
    <w:rsid w:val="00D720D3"/>
    <w:rsid w:val="00D75A17"/>
    <w:rsid w:val="00D764C6"/>
    <w:rsid w:val="00D76B4C"/>
    <w:rsid w:val="00D76BAB"/>
    <w:rsid w:val="00D76F9E"/>
    <w:rsid w:val="00D7746E"/>
    <w:rsid w:val="00D808CE"/>
    <w:rsid w:val="00D813C8"/>
    <w:rsid w:val="00D8197C"/>
    <w:rsid w:val="00D84AD0"/>
    <w:rsid w:val="00D84D3E"/>
    <w:rsid w:val="00D85485"/>
    <w:rsid w:val="00D867FB"/>
    <w:rsid w:val="00D8685B"/>
    <w:rsid w:val="00D86993"/>
    <w:rsid w:val="00D8699E"/>
    <w:rsid w:val="00D90FB3"/>
    <w:rsid w:val="00D91245"/>
    <w:rsid w:val="00D91D0F"/>
    <w:rsid w:val="00D93984"/>
    <w:rsid w:val="00DA0876"/>
    <w:rsid w:val="00DA23EA"/>
    <w:rsid w:val="00DA404F"/>
    <w:rsid w:val="00DA4E2A"/>
    <w:rsid w:val="00DA7866"/>
    <w:rsid w:val="00DB15D0"/>
    <w:rsid w:val="00DB3536"/>
    <w:rsid w:val="00DB4533"/>
    <w:rsid w:val="00DB7569"/>
    <w:rsid w:val="00DB7948"/>
    <w:rsid w:val="00DB7BF1"/>
    <w:rsid w:val="00DC0779"/>
    <w:rsid w:val="00DC0838"/>
    <w:rsid w:val="00DC09A0"/>
    <w:rsid w:val="00DC1874"/>
    <w:rsid w:val="00DC2468"/>
    <w:rsid w:val="00DC495B"/>
    <w:rsid w:val="00DC6466"/>
    <w:rsid w:val="00DC690B"/>
    <w:rsid w:val="00DD0C02"/>
    <w:rsid w:val="00DD1A9E"/>
    <w:rsid w:val="00DD1E62"/>
    <w:rsid w:val="00DD519E"/>
    <w:rsid w:val="00DD6357"/>
    <w:rsid w:val="00DE05D0"/>
    <w:rsid w:val="00DE0D79"/>
    <w:rsid w:val="00DE17D7"/>
    <w:rsid w:val="00DE4AC7"/>
    <w:rsid w:val="00DE6AD5"/>
    <w:rsid w:val="00DE6C86"/>
    <w:rsid w:val="00DF2828"/>
    <w:rsid w:val="00DF300E"/>
    <w:rsid w:val="00DF3349"/>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3BA5"/>
    <w:rsid w:val="00E14621"/>
    <w:rsid w:val="00E16FA0"/>
    <w:rsid w:val="00E208A3"/>
    <w:rsid w:val="00E20963"/>
    <w:rsid w:val="00E2260E"/>
    <w:rsid w:val="00E237F3"/>
    <w:rsid w:val="00E24021"/>
    <w:rsid w:val="00E24E0A"/>
    <w:rsid w:val="00E25B1D"/>
    <w:rsid w:val="00E26AF4"/>
    <w:rsid w:val="00E274DE"/>
    <w:rsid w:val="00E27D02"/>
    <w:rsid w:val="00E30EEE"/>
    <w:rsid w:val="00E319F2"/>
    <w:rsid w:val="00E32927"/>
    <w:rsid w:val="00E34DAB"/>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FF"/>
    <w:rsid w:val="00E65C37"/>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3E63"/>
    <w:rsid w:val="00EA4EE5"/>
    <w:rsid w:val="00EA5582"/>
    <w:rsid w:val="00EA5BB6"/>
    <w:rsid w:val="00EA6059"/>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B86"/>
    <w:rsid w:val="00EC5979"/>
    <w:rsid w:val="00EC63C2"/>
    <w:rsid w:val="00EC6417"/>
    <w:rsid w:val="00EC6A9F"/>
    <w:rsid w:val="00EC6D71"/>
    <w:rsid w:val="00EC7243"/>
    <w:rsid w:val="00ED17F5"/>
    <w:rsid w:val="00ED1AB2"/>
    <w:rsid w:val="00ED2903"/>
    <w:rsid w:val="00ED33BE"/>
    <w:rsid w:val="00ED3EB1"/>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7A4"/>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56B"/>
    <w:rsid w:val="00F33616"/>
    <w:rsid w:val="00F356FE"/>
    <w:rsid w:val="00F35DA4"/>
    <w:rsid w:val="00F35F08"/>
    <w:rsid w:val="00F41FD8"/>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40BF"/>
    <w:rsid w:val="00FA4978"/>
    <w:rsid w:val="00FA59E9"/>
    <w:rsid w:val="00FA60C4"/>
    <w:rsid w:val="00FA6963"/>
    <w:rsid w:val="00FA7CE3"/>
    <w:rsid w:val="00FB019B"/>
    <w:rsid w:val="00FB2AE3"/>
    <w:rsid w:val="00FB2F34"/>
    <w:rsid w:val="00FB48C4"/>
    <w:rsid w:val="00FB4ED3"/>
    <w:rsid w:val="00FB543D"/>
    <w:rsid w:val="00FB5525"/>
    <w:rsid w:val="00FB61BE"/>
    <w:rsid w:val="00FC061D"/>
    <w:rsid w:val="00FC55E1"/>
    <w:rsid w:val="00FC5955"/>
    <w:rsid w:val="00FC6B2B"/>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2EF15"/>
  <w15:chartTrackingRefBased/>
  <w15:docId w15:val="{2F8D8A44-7502-5944-A31D-C315E5FC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paragraph" w:styleId="Heading2">
    <w:name w:val="heading 2"/>
    <w:basedOn w:val="Normal"/>
    <w:next w:val="Normal"/>
    <w:link w:val="Heading2Char"/>
    <w:uiPriority w:val="9"/>
    <w:semiHidden/>
    <w:unhideWhenUsed/>
    <w:qFormat/>
    <w:rsid w:val="00BE51D7"/>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Theme="minorHAns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eastAsiaTheme="minorHAnsi"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basedOn w:val="DefaultParagraphFont"/>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basedOn w:val="DefaultParagraphFont"/>
    <w:uiPriority w:val="22"/>
    <w:qFormat/>
    <w:rsid w:val="003E3CE2"/>
    <w:rPr>
      <w:b/>
      <w:bCs/>
    </w:rPr>
  </w:style>
  <w:style w:type="character" w:styleId="Emphasis">
    <w:name w:val="Emphasis"/>
    <w:basedOn w:val="DefaultParagraphFont"/>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767F3"/>
    <w:rPr>
      <w:rFonts w:ascii="Arial" w:eastAsia="Times New Roman" w:hAnsi="Arial" w:cs="Arial"/>
      <w:vanish/>
      <w:sz w:val="16"/>
      <w:szCs w:val="16"/>
    </w:rPr>
  </w:style>
  <w:style w:type="character" w:customStyle="1" w:styleId="Heading2Char">
    <w:name w:val="Heading 2 Char"/>
    <w:basedOn w:val="DefaultParagraphFont"/>
    <w:link w:val="Heading2"/>
    <w:uiPriority w:val="9"/>
    <w:semiHidden/>
    <w:rsid w:val="00BE51D7"/>
    <w:rPr>
      <w:rFonts w:asciiTheme="majorHAnsi" w:eastAsiaTheme="majorEastAsia" w:hAnsiTheme="majorHAnsi" w:cstheme="majorBidi"/>
      <w:color w:val="2F5496" w:themeColor="accent1" w:themeShade="BF"/>
      <w:kern w:val="2"/>
      <w:sz w:val="32"/>
      <w:szCs w:val="3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897974699">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936256802">
      <w:bodyDiv w:val="1"/>
      <w:marLeft w:val="0"/>
      <w:marRight w:val="0"/>
      <w:marTop w:val="0"/>
      <w:marBottom w:val="0"/>
      <w:divBdr>
        <w:top w:val="none" w:sz="0" w:space="0" w:color="auto"/>
        <w:left w:val="none" w:sz="0" w:space="0" w:color="auto"/>
        <w:bottom w:val="none" w:sz="0" w:space="0" w:color="auto"/>
        <w:right w:val="none" w:sz="0" w:space="0" w:color="auto"/>
      </w:divBdr>
    </w:div>
    <w:div w:id="937983521">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37437335">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099789595">
      <w:bodyDiv w:val="1"/>
      <w:marLeft w:val="0"/>
      <w:marRight w:val="0"/>
      <w:marTop w:val="0"/>
      <w:marBottom w:val="0"/>
      <w:divBdr>
        <w:top w:val="none" w:sz="0" w:space="0" w:color="auto"/>
        <w:left w:val="none" w:sz="0" w:space="0" w:color="auto"/>
        <w:bottom w:val="none" w:sz="0" w:space="0" w:color="auto"/>
        <w:right w:val="none" w:sz="0" w:space="0" w:color="auto"/>
      </w:divBdr>
    </w:div>
    <w:div w:id="1142235793">
      <w:bodyDiv w:val="1"/>
      <w:marLeft w:val="0"/>
      <w:marRight w:val="0"/>
      <w:marTop w:val="0"/>
      <w:marBottom w:val="0"/>
      <w:divBdr>
        <w:top w:val="none" w:sz="0" w:space="0" w:color="auto"/>
        <w:left w:val="none" w:sz="0" w:space="0" w:color="auto"/>
        <w:bottom w:val="none" w:sz="0" w:space="0" w:color="auto"/>
        <w:right w:val="none" w:sz="0" w:space="0" w:color="auto"/>
      </w:divBdr>
    </w:div>
    <w:div w:id="1297756575">
      <w:bodyDiv w:val="1"/>
      <w:marLeft w:val="0"/>
      <w:marRight w:val="0"/>
      <w:marTop w:val="0"/>
      <w:marBottom w:val="0"/>
      <w:divBdr>
        <w:top w:val="none" w:sz="0" w:space="0" w:color="auto"/>
        <w:left w:val="none" w:sz="0" w:space="0" w:color="auto"/>
        <w:bottom w:val="none" w:sz="0" w:space="0" w:color="auto"/>
        <w:right w:val="none" w:sz="0" w:space="0" w:color="auto"/>
      </w:divBdr>
    </w:div>
    <w:div w:id="1543010815">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712801200">
      <w:bodyDiv w:val="1"/>
      <w:marLeft w:val="0"/>
      <w:marRight w:val="0"/>
      <w:marTop w:val="0"/>
      <w:marBottom w:val="0"/>
      <w:divBdr>
        <w:top w:val="none" w:sz="0" w:space="0" w:color="auto"/>
        <w:left w:val="none" w:sz="0" w:space="0" w:color="auto"/>
        <w:bottom w:val="none" w:sz="0" w:space="0" w:color="auto"/>
        <w:right w:val="none" w:sz="0" w:space="0" w:color="auto"/>
      </w:divBdr>
    </w:div>
    <w:div w:id="1771048972">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9576798">
      <w:bodyDiv w:val="1"/>
      <w:marLeft w:val="0"/>
      <w:marRight w:val="0"/>
      <w:marTop w:val="0"/>
      <w:marBottom w:val="0"/>
      <w:divBdr>
        <w:top w:val="none" w:sz="0" w:space="0" w:color="auto"/>
        <w:left w:val="none" w:sz="0" w:space="0" w:color="auto"/>
        <w:bottom w:val="none" w:sz="0" w:space="0" w:color="auto"/>
        <w:right w:val="none" w:sz="0" w:space="0" w:color="auto"/>
      </w:divBdr>
    </w:div>
    <w:div w:id="1937442315">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03584959">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4SQX5P7U7WPY-958212181-821135</_dlc_DocId>
    <_dlc_DocIdUrl xmlns="c890fddd-4e87-4e08-8b51-545f2a3f7b06">
      <Url>https://senpr.sharepoint.com/sites/obralegislativa/_layouts/15/DocIdRedir.aspx?ID=4SQX5P7U7WPY-958212181-821135</Url>
      <Description>4SQX5P7U7WPY-958212181-821135</Description>
    </_dlc_DocIdUrl>
  </documentManagement>
</p:properties>
</file>

<file path=customXml/itemProps1.xml><?xml version="1.0" encoding="utf-8"?>
<ds:datastoreItem xmlns:ds="http://schemas.openxmlformats.org/officeDocument/2006/customXml" ds:itemID="{8783977D-E639-4680-BC82-477D5BF0461C}"/>
</file>

<file path=customXml/itemProps2.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3.xml><?xml version="1.0" encoding="utf-8"?>
<ds:datastoreItem xmlns:ds="http://schemas.openxmlformats.org/officeDocument/2006/customXml" ds:itemID="{A46384B5-23F6-49A4-90E5-CD43657EEA61}">
  <ds:schemaRefs>
    <ds:schemaRef ds:uri="http://schemas.openxmlformats.org/officeDocument/2006/bibliography"/>
  </ds:schemaRefs>
</ds:datastoreItem>
</file>

<file path=customXml/itemProps4.xml><?xml version="1.0" encoding="utf-8"?>
<ds:datastoreItem xmlns:ds="http://schemas.openxmlformats.org/officeDocument/2006/customXml" ds:itemID="{E2573C9F-7847-43EE-8A02-16DD8970697E}"/>
</file>

<file path=customXml/itemProps5.xml><?xml version="1.0" encoding="utf-8"?>
<ds:datastoreItem xmlns:ds="http://schemas.openxmlformats.org/officeDocument/2006/customXml" ds:itemID="{2C34A302-FB14-4068-8614-7C3709F1EF29}"/>
</file>

<file path=docProps/app.xml><?xml version="1.0" encoding="utf-8"?>
<Properties xmlns="http://schemas.openxmlformats.org/officeDocument/2006/extended-properties" xmlns:vt="http://schemas.openxmlformats.org/officeDocument/2006/docPropsVTypes">
  <Template>Normal</Template>
  <TotalTime>4</TotalTime>
  <Pages>21</Pages>
  <Words>8322</Words>
  <Characters>47442</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Jessica M. Caraballo Rivera (Trámites y Récords)</cp:lastModifiedBy>
  <cp:revision>2</cp:revision>
  <cp:lastPrinted>2025-03-29T12:53:00Z</cp:lastPrinted>
  <dcterms:created xsi:type="dcterms:W3CDTF">2025-11-12T18:38:00Z</dcterms:created>
  <dcterms:modified xsi:type="dcterms:W3CDTF">2025-11-12T18:38:00Z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67a8eda8-372b-4352-87ee-8c8104e5988b</vt:lpwstr>
  </property>
  <property fmtid="{D5CDD505-2E9C-101B-9397-08002B2CF9AE}" pid="4" name="MediaServiceImageTags">
    <vt:lpwstr/>
  </property>
</Properties>
</file>