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133543E6" w:rsidR="001A4A89" w:rsidRPr="00AC627E" w:rsidRDefault="00E45C4D" w:rsidP="00B76F7C">
      <w:pPr>
        <w:ind w:firstLine="720"/>
        <w:jc w:val="center"/>
        <w:rPr>
          <w:rFonts w:ascii="Book Antiqua" w:hAnsi="Book Antiqua"/>
          <w:b/>
          <w:sz w:val="52"/>
          <w:lang w:val="es-ES"/>
        </w:rPr>
      </w:pPr>
      <w:r>
        <w:rPr>
          <w:rFonts w:ascii="Book Antiqua" w:hAnsi="Book Antiqua"/>
          <w:b/>
          <w:sz w:val="52"/>
          <w:lang w:val="es-ES"/>
        </w:rPr>
        <w:t>R.C</w:t>
      </w:r>
      <w:r w:rsidR="00C07B92">
        <w:rPr>
          <w:rFonts w:ascii="Book Antiqua" w:hAnsi="Book Antiqua"/>
          <w:b/>
          <w:sz w:val="52"/>
          <w:lang w:val="es-ES"/>
        </w:rPr>
        <w:t>. de</w:t>
      </w:r>
      <w:r w:rsidR="000255DE">
        <w:rPr>
          <w:rFonts w:ascii="Book Antiqua" w:hAnsi="Book Antiqua"/>
          <w:b/>
          <w:sz w:val="52"/>
          <w:lang w:val="es-ES"/>
        </w:rPr>
        <w:t xml:space="preserve"> la C</w:t>
      </w:r>
      <w:r w:rsidR="008B2804">
        <w:rPr>
          <w:rFonts w:ascii="Book Antiqua" w:hAnsi="Book Antiqua"/>
          <w:b/>
          <w:sz w:val="52"/>
          <w:lang w:val="es-ES"/>
        </w:rPr>
        <w:t>.</w:t>
      </w:r>
      <w:r w:rsidR="00C07B92">
        <w:rPr>
          <w:rFonts w:ascii="Book Antiqua" w:hAnsi="Book Antiqua"/>
          <w:b/>
          <w:sz w:val="52"/>
          <w:lang w:val="es-ES"/>
        </w:rPr>
        <w:t xml:space="preserve"> </w:t>
      </w:r>
      <w:r>
        <w:rPr>
          <w:rFonts w:ascii="Book Antiqua" w:hAnsi="Book Antiqua"/>
          <w:b/>
          <w:sz w:val="52"/>
          <w:lang w:val="es-ES"/>
        </w:rPr>
        <w:t>221</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4BADD34C"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430190">
        <w:rPr>
          <w:rFonts w:ascii="Book Antiqua" w:hAnsi="Book Antiqua"/>
          <w:b/>
          <w:sz w:val="28"/>
          <w:lang w:val="es-ES"/>
        </w:rPr>
        <w:t>NEGATIVO</w:t>
      </w:r>
    </w:p>
    <w:p w14:paraId="7E659FF4" w14:textId="6BB65FD4" w:rsidR="00D71003" w:rsidRPr="00160853" w:rsidRDefault="00A950BB"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26 </w:t>
      </w:r>
      <w:r w:rsidR="00D71003" w:rsidRPr="00160853">
        <w:rPr>
          <w:rFonts w:ascii="Book Antiqua" w:hAnsi="Book Antiqua"/>
          <w:color w:val="000000" w:themeColor="text1"/>
          <w:sz w:val="22"/>
          <w:szCs w:val="18"/>
          <w:lang w:val="es-PR"/>
        </w:rPr>
        <w:t>DE</w:t>
      </w:r>
      <w:r w:rsidR="00833427">
        <w:rPr>
          <w:rFonts w:ascii="Book Antiqua" w:hAnsi="Book Antiqua"/>
          <w:color w:val="000000" w:themeColor="text1"/>
          <w:sz w:val="22"/>
          <w:szCs w:val="18"/>
          <w:lang w:val="es-PR"/>
        </w:rPr>
        <w:t xml:space="preserve"> </w:t>
      </w:r>
      <w:r w:rsidR="00615AAF">
        <w:rPr>
          <w:rFonts w:ascii="Book Antiqua" w:hAnsi="Book Antiqua"/>
          <w:color w:val="000000" w:themeColor="text1"/>
          <w:sz w:val="22"/>
          <w:szCs w:val="18"/>
          <w:lang w:val="es-PR"/>
        </w:rPr>
        <w:t>FEBRERO</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2F6CA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83BC92A" w14:textId="38C2E34E" w:rsidR="008B2C40" w:rsidRDefault="008B2C40" w:rsidP="008B2C40">
      <w:pPr>
        <w:spacing w:before="100" w:beforeAutospacing="1" w:after="100" w:afterAutospacing="1"/>
        <w:ind w:firstLine="720"/>
        <w:rPr>
          <w:rFonts w:ascii="Book Antiqua" w:hAnsi="Book Antiqua"/>
          <w:lang w:val="es-PR"/>
        </w:rPr>
      </w:pPr>
      <w:bookmarkStart w:id="0" w:name="_Hlk191047724"/>
      <w:r w:rsidRPr="008B2C40">
        <w:rPr>
          <w:rFonts w:ascii="Book Antiqua" w:hAnsi="Book Antiqua"/>
          <w:lang w:val="es-PR"/>
        </w:rPr>
        <w:t>La Comisión de Educación</w:t>
      </w:r>
      <w:r w:rsidR="007B14F6">
        <w:rPr>
          <w:rFonts w:ascii="Book Antiqua" w:hAnsi="Book Antiqua"/>
          <w:lang w:val="es-PR"/>
        </w:rPr>
        <w:t xml:space="preserve"> de la Cámara de Representantes</w:t>
      </w:r>
      <w:r w:rsidRPr="008B2C40">
        <w:rPr>
          <w:rFonts w:ascii="Book Antiqua" w:hAnsi="Book Antiqua"/>
          <w:lang w:val="es-PR"/>
        </w:rPr>
        <w:t>, tras un exhaustivo análisis y evaluación, respetuosamente informa a este Honorable Cuerpo Legislativo que no recomienda la aprobación de</w:t>
      </w:r>
      <w:r w:rsidR="00E45C4D">
        <w:rPr>
          <w:rFonts w:ascii="Book Antiqua" w:hAnsi="Book Antiqua"/>
          <w:lang w:val="es-PR"/>
        </w:rPr>
        <w:t xml:space="preserve"> la Resolución Conjunta</w:t>
      </w:r>
      <w:r w:rsidRPr="008B2C40">
        <w:rPr>
          <w:rFonts w:ascii="Book Antiqua" w:hAnsi="Book Antiqua"/>
          <w:lang w:val="es-PR"/>
        </w:rPr>
        <w:t xml:space="preserve"> de la Cámara </w:t>
      </w:r>
      <w:r w:rsidR="00E45C4D">
        <w:rPr>
          <w:rFonts w:ascii="Book Antiqua" w:hAnsi="Book Antiqua"/>
          <w:lang w:val="es-PR"/>
        </w:rPr>
        <w:t>221</w:t>
      </w:r>
      <w:r w:rsidRPr="008B2C40">
        <w:rPr>
          <w:rFonts w:ascii="Book Antiqua" w:hAnsi="Book Antiqua"/>
          <w:lang w:val="es-PR"/>
        </w:rPr>
        <w:t xml:space="preserve"> (en adelante, </w:t>
      </w:r>
      <w:r w:rsidR="00E45C4D">
        <w:rPr>
          <w:rFonts w:ascii="Book Antiqua" w:hAnsi="Book Antiqua"/>
          <w:lang w:val="es-PR"/>
        </w:rPr>
        <w:t>R.C</w:t>
      </w:r>
      <w:r w:rsidRPr="008B2C40">
        <w:rPr>
          <w:rFonts w:ascii="Book Antiqua" w:hAnsi="Book Antiqua"/>
          <w:lang w:val="es-PR"/>
        </w:rPr>
        <w:t xml:space="preserve">. de la C. </w:t>
      </w:r>
      <w:r w:rsidR="00E45C4D">
        <w:rPr>
          <w:rFonts w:ascii="Book Antiqua" w:hAnsi="Book Antiqua"/>
          <w:lang w:val="es-PR"/>
        </w:rPr>
        <w:t>221</w:t>
      </w:r>
      <w:r w:rsidRPr="008B2C40">
        <w:rPr>
          <w:rFonts w:ascii="Book Antiqua" w:hAnsi="Book Antiqua"/>
          <w:lang w:val="es-PR"/>
        </w:rPr>
        <w:t>), según se detalla en el presente Informe Negativo.</w:t>
      </w:r>
    </w:p>
    <w:p w14:paraId="49988954" w14:textId="06FFA3CE" w:rsidR="00FD6CB7" w:rsidRPr="00C1650E" w:rsidRDefault="001A4A89" w:rsidP="007B14F6">
      <w:pPr>
        <w:spacing w:before="100" w:beforeAutospacing="1" w:after="100" w:afterAutospacing="1"/>
        <w:jc w:val="center"/>
        <w:rPr>
          <w:rFonts w:ascii="Book Antiqua" w:hAnsi="Book Antiqua"/>
          <w:b/>
          <w:bCs/>
          <w:lang w:val="es-ES_tradnl"/>
        </w:rPr>
      </w:pPr>
      <w:r w:rsidRPr="00C1650E">
        <w:rPr>
          <w:rFonts w:ascii="Book Antiqua" w:hAnsi="Book Antiqua"/>
          <w:b/>
          <w:bCs/>
          <w:lang w:val="es-ES_tradnl"/>
        </w:rPr>
        <w:t>ALCANCE DE LA MEDIDA</w:t>
      </w:r>
    </w:p>
    <w:bookmarkEnd w:id="0"/>
    <w:p w14:paraId="4A4A435B" w14:textId="1A90F424" w:rsidR="00E45C4D" w:rsidRPr="00E45C4D" w:rsidRDefault="00C07B92" w:rsidP="00E45C4D">
      <w:pPr>
        <w:jc w:val="center"/>
        <w:rPr>
          <w:rFonts w:ascii="Book Antiqua" w:hAnsi="Book Antiqua"/>
          <w:iCs/>
          <w:lang w:val="es-ES"/>
        </w:rPr>
      </w:pPr>
      <w:r>
        <w:rPr>
          <w:rFonts w:ascii="Book Antiqua" w:hAnsi="Book Antiqua"/>
          <w:szCs w:val="24"/>
          <w:lang w:val="es-ES_tradnl"/>
        </w:rPr>
        <w:t xml:space="preserve">El </w:t>
      </w:r>
      <w:r w:rsidR="006408BB">
        <w:rPr>
          <w:rFonts w:ascii="Book Antiqua" w:hAnsi="Book Antiqua"/>
          <w:szCs w:val="24"/>
          <w:lang w:val="es-ES_tradnl"/>
        </w:rPr>
        <w:t>R.C</w:t>
      </w:r>
      <w:r>
        <w:rPr>
          <w:rFonts w:ascii="Book Antiqua" w:hAnsi="Book Antiqua"/>
          <w:szCs w:val="24"/>
          <w:lang w:val="es-ES_tradnl"/>
        </w:rPr>
        <w:t>. de</w:t>
      </w:r>
      <w:r w:rsidR="000255DE">
        <w:rPr>
          <w:rFonts w:ascii="Book Antiqua" w:hAnsi="Book Antiqua"/>
          <w:szCs w:val="24"/>
          <w:lang w:val="es-ES_tradnl"/>
        </w:rPr>
        <w:t xml:space="preserve"> la C. </w:t>
      </w:r>
      <w:r w:rsidR="00295C90">
        <w:rPr>
          <w:rFonts w:ascii="Book Antiqua" w:hAnsi="Book Antiqua"/>
          <w:szCs w:val="24"/>
          <w:lang w:val="es-ES_tradnl"/>
        </w:rPr>
        <w:t>221</w:t>
      </w:r>
      <w:r w:rsidR="0044004B">
        <w:rPr>
          <w:rFonts w:ascii="Book Antiqua" w:hAnsi="Book Antiqua"/>
          <w:szCs w:val="24"/>
          <w:lang w:val="es-ES_tradnl"/>
        </w:rPr>
        <w:t xml:space="preserve"> </w:t>
      </w:r>
      <w:r w:rsidR="00904F0A" w:rsidRPr="00C1650E">
        <w:rPr>
          <w:rFonts w:ascii="Book Antiqua" w:hAnsi="Book Antiqua"/>
          <w:szCs w:val="24"/>
          <w:lang w:val="es-PR"/>
        </w:rPr>
        <w:t>presentad</w:t>
      </w:r>
      <w:r w:rsidR="00480F2B">
        <w:rPr>
          <w:rFonts w:ascii="Book Antiqua" w:hAnsi="Book Antiqua"/>
          <w:szCs w:val="24"/>
          <w:lang w:val="es-PR"/>
        </w:rPr>
        <w:t>o</w:t>
      </w:r>
      <w:r w:rsidR="00904F0A" w:rsidRPr="00C1650E">
        <w:rPr>
          <w:rFonts w:ascii="Book Antiqua" w:hAnsi="Book Antiqua"/>
          <w:szCs w:val="24"/>
          <w:lang w:val="es-PR"/>
        </w:rPr>
        <w:t xml:space="preserve"> por </w:t>
      </w:r>
      <w:r w:rsidR="00E45C4D" w:rsidRPr="001F47E6">
        <w:rPr>
          <w:rFonts w:ascii="Book Antiqua" w:hAnsi="Book Antiqua"/>
          <w:lang w:val="es-ES"/>
        </w:rPr>
        <w:t>l</w:t>
      </w:r>
      <w:r w:rsidR="00E45C4D">
        <w:rPr>
          <w:rFonts w:ascii="Book Antiqua" w:hAnsi="Book Antiqua"/>
          <w:lang w:val="es-ES"/>
        </w:rPr>
        <w:t>as</w:t>
      </w:r>
      <w:r w:rsidR="00E45C4D" w:rsidRPr="001F47E6">
        <w:rPr>
          <w:rFonts w:ascii="Book Antiqua" w:hAnsi="Book Antiqua"/>
          <w:lang w:val="es-ES"/>
        </w:rPr>
        <w:t xml:space="preserve"> representante</w:t>
      </w:r>
      <w:r w:rsidR="00E45C4D">
        <w:rPr>
          <w:rFonts w:ascii="Book Antiqua" w:hAnsi="Book Antiqua"/>
          <w:lang w:val="es-ES"/>
        </w:rPr>
        <w:t>s</w:t>
      </w:r>
      <w:r w:rsidR="00E45C4D" w:rsidRPr="001F47E6">
        <w:rPr>
          <w:rFonts w:ascii="Book Antiqua" w:hAnsi="Book Antiqua"/>
          <w:lang w:val="es-ES"/>
        </w:rPr>
        <w:t xml:space="preserve"> </w:t>
      </w:r>
      <w:r w:rsidR="00E45C4D" w:rsidRPr="00E45C4D">
        <w:rPr>
          <w:rFonts w:ascii="Book Antiqua" w:hAnsi="Book Antiqua"/>
          <w:iCs/>
          <w:lang w:val="es-ES"/>
        </w:rPr>
        <w:t>Gutiérrez Colón y Lebrón Robles</w:t>
      </w:r>
    </w:p>
    <w:p w14:paraId="0E045092" w14:textId="7041C13E" w:rsidR="006408BB" w:rsidRPr="006408BB" w:rsidRDefault="00E45C4D" w:rsidP="00E45C4D">
      <w:pPr>
        <w:jc w:val="both"/>
        <w:rPr>
          <w:rFonts w:ascii="Book Antiqua" w:hAnsi="Book Antiqua"/>
          <w:szCs w:val="24"/>
          <w:lang w:val="es-PR"/>
        </w:rPr>
      </w:pPr>
      <w:r w:rsidRPr="00E45C4D">
        <w:rPr>
          <w:rFonts w:ascii="Book Antiqua" w:hAnsi="Book Antiqua"/>
          <w:iCs/>
          <w:lang w:val="es-ES"/>
        </w:rPr>
        <w:t xml:space="preserve">y el representante </w:t>
      </w:r>
      <w:r w:rsidRPr="00E45C4D">
        <w:rPr>
          <w:rFonts w:ascii="Book Antiqua" w:hAnsi="Book Antiqua"/>
          <w:iCs/>
          <w:lang w:val="es-PR"/>
        </w:rPr>
        <w:t>Márquez Lebrón</w:t>
      </w:r>
      <w:r w:rsidR="00480F2B">
        <w:rPr>
          <w:rFonts w:ascii="Book Antiqua" w:hAnsi="Book Antiqua"/>
          <w:szCs w:val="24"/>
          <w:lang w:val="es-PR"/>
        </w:rPr>
        <w:t>,</w:t>
      </w:r>
      <w:r w:rsidR="008B2804">
        <w:rPr>
          <w:rFonts w:ascii="Book Antiqua" w:hAnsi="Book Antiqua"/>
          <w:szCs w:val="24"/>
          <w:lang w:val="es-PR"/>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Pr="00E45C4D">
        <w:rPr>
          <w:rFonts w:ascii="Book Antiqua" w:hAnsi="Book Antiqua"/>
          <w:szCs w:val="24"/>
          <w:lang w:val="es-PR"/>
        </w:rPr>
        <w:t xml:space="preserve"> ordenar al Departamento de Educación de Puerto Rico dejar sin efecto, de forma inmediata, la Carta Circular Número 008-2025-2026 sobre política pública sobre el derecho constitucional de libre ejercicio de la fe en los planteles escolares y dependencias del departamento de educación y su nueva oficina de base de fe.</w:t>
      </w:r>
    </w:p>
    <w:p w14:paraId="6D6403C5" w14:textId="637A25A2"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584DF333" w14:textId="3ABE9575" w:rsidR="005430F5" w:rsidRDefault="004E4E62" w:rsidP="005430F5">
      <w:pPr>
        <w:spacing w:before="100" w:beforeAutospacing="1" w:after="100" w:afterAutospacing="1"/>
        <w:jc w:val="both"/>
        <w:rPr>
          <w:rFonts w:ascii="Book Antiqua" w:hAnsi="Book Antiqua"/>
          <w:color w:val="000000" w:themeColor="text1"/>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0D2A12" w:rsidRPr="000D2A12">
        <w:rPr>
          <w:rFonts w:ascii="Book Antiqua" w:hAnsi="Book Antiqua"/>
          <w:szCs w:val="24"/>
          <w:lang w:val="es-PR"/>
        </w:rPr>
        <w:t xml:space="preserve">El </w:t>
      </w:r>
      <w:r w:rsidR="00E45C4D">
        <w:rPr>
          <w:rFonts w:ascii="Book Antiqua" w:hAnsi="Book Antiqua"/>
          <w:szCs w:val="24"/>
          <w:lang w:val="es-PR"/>
        </w:rPr>
        <w:t>R.C</w:t>
      </w:r>
      <w:r w:rsidR="000D2A12" w:rsidRPr="000D2A12">
        <w:rPr>
          <w:rFonts w:ascii="Book Antiqua" w:hAnsi="Book Antiqua"/>
          <w:szCs w:val="24"/>
          <w:lang w:val="es-PR"/>
        </w:rPr>
        <w:t xml:space="preserve">. de la C. </w:t>
      </w:r>
      <w:r w:rsidR="00E45C4D">
        <w:rPr>
          <w:rFonts w:ascii="Book Antiqua" w:hAnsi="Book Antiqua"/>
          <w:szCs w:val="24"/>
          <w:lang w:val="es-PR"/>
        </w:rPr>
        <w:t>221</w:t>
      </w:r>
      <w:r w:rsidR="000D2A12" w:rsidRPr="000D2A12">
        <w:rPr>
          <w:rFonts w:ascii="Book Antiqua" w:hAnsi="Book Antiqua"/>
          <w:szCs w:val="24"/>
          <w:lang w:val="es-PR"/>
        </w:rPr>
        <w:t xml:space="preserve"> fue radicado el </w:t>
      </w:r>
      <w:r w:rsidR="00E45C4D">
        <w:rPr>
          <w:rFonts w:ascii="Book Antiqua" w:hAnsi="Book Antiqua"/>
          <w:szCs w:val="24"/>
          <w:lang w:val="es-PR"/>
        </w:rPr>
        <w:t>7</w:t>
      </w:r>
      <w:r w:rsidR="000D2A12" w:rsidRPr="000D2A12">
        <w:rPr>
          <w:rFonts w:ascii="Book Antiqua" w:hAnsi="Book Antiqua"/>
          <w:szCs w:val="24"/>
          <w:lang w:val="es-PR"/>
        </w:rPr>
        <w:t xml:space="preserve"> de </w:t>
      </w:r>
      <w:r w:rsidR="00E45C4D">
        <w:rPr>
          <w:rFonts w:ascii="Book Antiqua" w:hAnsi="Book Antiqua"/>
          <w:szCs w:val="24"/>
          <w:lang w:val="es-PR"/>
        </w:rPr>
        <w:t>octubre</w:t>
      </w:r>
      <w:r w:rsidR="000D2A12" w:rsidRPr="000D2A12">
        <w:rPr>
          <w:rFonts w:ascii="Book Antiqua" w:hAnsi="Book Antiqua"/>
          <w:szCs w:val="24"/>
          <w:lang w:val="es-PR"/>
        </w:rPr>
        <w:t xml:space="preserve"> de 2025 y referido a la Comisión de Educación el 1</w:t>
      </w:r>
      <w:r w:rsidR="00E45C4D">
        <w:rPr>
          <w:rFonts w:ascii="Book Antiqua" w:hAnsi="Book Antiqua"/>
          <w:szCs w:val="24"/>
          <w:lang w:val="es-PR"/>
        </w:rPr>
        <w:t>4</w:t>
      </w:r>
      <w:r w:rsidR="000D2A12" w:rsidRPr="000D2A12">
        <w:rPr>
          <w:rFonts w:ascii="Book Antiqua" w:hAnsi="Book Antiqua"/>
          <w:szCs w:val="24"/>
          <w:lang w:val="es-PR"/>
        </w:rPr>
        <w:t xml:space="preserve"> de </w:t>
      </w:r>
      <w:r w:rsidR="00E45C4D">
        <w:rPr>
          <w:rFonts w:ascii="Book Antiqua" w:hAnsi="Book Antiqua"/>
          <w:szCs w:val="24"/>
          <w:lang w:val="es-PR"/>
        </w:rPr>
        <w:t>octubre</w:t>
      </w:r>
      <w:r w:rsidR="000D2A12" w:rsidRPr="000D2A12">
        <w:rPr>
          <w:rFonts w:ascii="Book Antiqua" w:hAnsi="Book Antiqua"/>
          <w:szCs w:val="24"/>
          <w:lang w:val="es-PR"/>
        </w:rPr>
        <w:t xml:space="preserve"> de 2025</w:t>
      </w:r>
      <w:r w:rsidR="002E36C3">
        <w:rPr>
          <w:rFonts w:ascii="Book Antiqua" w:hAnsi="Book Antiqua"/>
          <w:szCs w:val="24"/>
          <w:lang w:val="es-PR"/>
        </w:rPr>
        <w:t xml:space="preserve">. </w:t>
      </w:r>
      <w:r w:rsidR="0029726D" w:rsidRPr="00C1650E">
        <w:rPr>
          <w:rFonts w:ascii="Book Antiqua" w:hAnsi="Book Antiqua"/>
          <w:szCs w:val="24"/>
          <w:lang w:val="es-PR"/>
        </w:rPr>
        <w:t>Para la evaluación y análisis de la referida medida</w:t>
      </w:r>
      <w:r w:rsidR="0001561B" w:rsidRPr="00C1650E">
        <w:rPr>
          <w:rFonts w:ascii="Book Antiqua" w:hAnsi="Book Antiqua"/>
          <w:szCs w:val="24"/>
          <w:lang w:val="es-PR"/>
        </w:rPr>
        <w:t xml:space="preserve"> fue</w:t>
      </w:r>
      <w:r w:rsidR="001D6FC5">
        <w:rPr>
          <w:rFonts w:ascii="Book Antiqua" w:hAnsi="Book Antiqua"/>
          <w:szCs w:val="24"/>
          <w:lang w:val="es-PR"/>
        </w:rPr>
        <w:t xml:space="preserve"> </w:t>
      </w:r>
      <w:r w:rsidR="00B42703" w:rsidRPr="00C1650E">
        <w:rPr>
          <w:rFonts w:ascii="Book Antiqua" w:hAnsi="Book Antiqua"/>
          <w:szCs w:val="24"/>
          <w:lang w:val="es-PR"/>
        </w:rPr>
        <w:t>solicitado</w:t>
      </w:r>
      <w:r w:rsidR="001D6FC5">
        <w:rPr>
          <w:rFonts w:ascii="Book Antiqua" w:hAnsi="Book Antiqua"/>
          <w:szCs w:val="24"/>
          <w:lang w:val="es-PR"/>
        </w:rPr>
        <w:t xml:space="preserve"> </w:t>
      </w:r>
      <w:r w:rsidR="0029726D" w:rsidRPr="00C1650E">
        <w:rPr>
          <w:rFonts w:ascii="Book Antiqua" w:hAnsi="Book Antiqua"/>
          <w:szCs w:val="24"/>
          <w:lang w:val="es-PR"/>
        </w:rPr>
        <w:t>Memorial Explicativ</w:t>
      </w:r>
      <w:r w:rsidR="00FE5D1A" w:rsidRPr="00C1650E">
        <w:rPr>
          <w:rFonts w:ascii="Book Antiqua" w:hAnsi="Book Antiqua"/>
          <w:szCs w:val="24"/>
          <w:lang w:val="es-PR"/>
        </w:rPr>
        <w:t>o</w:t>
      </w:r>
      <w:r w:rsidR="001D6FC5">
        <w:rPr>
          <w:rFonts w:ascii="Book Antiqua" w:hAnsi="Book Antiqua"/>
          <w:szCs w:val="24"/>
          <w:lang w:val="es-PR"/>
        </w:rPr>
        <w:t xml:space="preserve"> </w:t>
      </w:r>
      <w:r w:rsidR="005129FB">
        <w:rPr>
          <w:rFonts w:ascii="Book Antiqua" w:hAnsi="Book Antiqua"/>
          <w:szCs w:val="24"/>
          <w:lang w:val="es-PR"/>
        </w:rPr>
        <w:t>al</w:t>
      </w:r>
      <w:r w:rsidR="000E7F87" w:rsidRPr="00C1650E">
        <w:rPr>
          <w:rFonts w:ascii="Book Antiqua" w:hAnsi="Book Antiqua"/>
          <w:color w:val="000000" w:themeColor="text1"/>
          <w:szCs w:val="24"/>
          <w:lang w:val="es-PR"/>
        </w:rPr>
        <w:t xml:space="preserve"> </w:t>
      </w:r>
      <w:r w:rsidR="000D2A12" w:rsidRPr="000D2A12">
        <w:rPr>
          <w:rFonts w:ascii="Book Antiqua" w:hAnsi="Book Antiqua"/>
          <w:color w:val="000000" w:themeColor="text1"/>
          <w:szCs w:val="24"/>
          <w:lang w:val="es-PR"/>
        </w:rPr>
        <w:t>Departamento de Educación de Puerto Rico</w:t>
      </w:r>
      <w:r w:rsidR="00E45C4D">
        <w:rPr>
          <w:rFonts w:ascii="Book Antiqua" w:hAnsi="Book Antiqua"/>
          <w:color w:val="000000" w:themeColor="text1"/>
          <w:szCs w:val="24"/>
          <w:lang w:val="es-PR"/>
        </w:rPr>
        <w:t>.</w:t>
      </w:r>
    </w:p>
    <w:p w14:paraId="195670BF" w14:textId="4916536D" w:rsidR="00123828" w:rsidRPr="003E6963" w:rsidRDefault="005430F5" w:rsidP="00123828">
      <w:pPr>
        <w:spacing w:before="100" w:beforeAutospacing="1" w:after="100" w:afterAutospacing="1"/>
        <w:ind w:firstLine="720"/>
        <w:jc w:val="both"/>
        <w:rPr>
          <w:rFonts w:ascii="Book Antiqua" w:hAnsi="Book Antiqua"/>
          <w:color w:val="000000" w:themeColor="text1"/>
          <w:szCs w:val="24"/>
          <w:lang w:val="es-PR"/>
        </w:rPr>
      </w:pPr>
      <w:r w:rsidRPr="005430F5">
        <w:rPr>
          <w:rFonts w:ascii="Book Antiqua" w:hAnsi="Book Antiqua"/>
          <w:color w:val="000000" w:themeColor="text1"/>
          <w:szCs w:val="24"/>
          <w:lang w:val="es-PR"/>
        </w:rPr>
        <w:t>La R</w:t>
      </w:r>
      <w:r>
        <w:rPr>
          <w:rFonts w:ascii="Book Antiqua" w:hAnsi="Book Antiqua"/>
          <w:color w:val="000000" w:themeColor="text1"/>
          <w:szCs w:val="24"/>
          <w:lang w:val="es-PR"/>
        </w:rPr>
        <w:t>.C.</w:t>
      </w:r>
      <w:r w:rsidRPr="005430F5">
        <w:rPr>
          <w:rFonts w:ascii="Book Antiqua" w:hAnsi="Book Antiqua"/>
          <w:color w:val="000000" w:themeColor="text1"/>
          <w:szCs w:val="24"/>
          <w:lang w:val="es-PR"/>
        </w:rPr>
        <w:t xml:space="preserve"> de la C</w:t>
      </w:r>
      <w:r>
        <w:rPr>
          <w:rFonts w:ascii="Book Antiqua" w:hAnsi="Book Antiqua"/>
          <w:color w:val="000000" w:themeColor="text1"/>
          <w:szCs w:val="24"/>
          <w:lang w:val="es-PR"/>
        </w:rPr>
        <w:t>.</w:t>
      </w:r>
      <w:r w:rsidRPr="005430F5">
        <w:rPr>
          <w:rFonts w:ascii="Book Antiqua" w:hAnsi="Book Antiqua"/>
          <w:color w:val="000000" w:themeColor="text1"/>
          <w:szCs w:val="24"/>
          <w:lang w:val="es-PR"/>
        </w:rPr>
        <w:t xml:space="preserve"> 221 propone ordenar al Departamento de Educación de Puerto Rico (DEPR) dejar sin efecto, de forma inmediata, la Carta Circular Núm. 008-2025-2026, mediante la cual se establece la política pública sobre el derecho constitucional al libre ejercicio de la fe en los planteles escolares y dependencias del DEPR, así como la creación </w:t>
      </w:r>
      <w:r w:rsidRPr="005430F5">
        <w:rPr>
          <w:rFonts w:ascii="Book Antiqua" w:hAnsi="Book Antiqua"/>
          <w:color w:val="000000" w:themeColor="text1"/>
          <w:szCs w:val="24"/>
          <w:lang w:val="es-PR"/>
        </w:rPr>
        <w:lastRenderedPageBreak/>
        <w:t>de la Oficina de Base de Fe (OBFDE). La medida se fundamenta en alegaciones de inconstitucionalidad por presunta violación al principio de separación entre Iglesia y Estado, así como en opiniones adversas de algunos gremios y organizaciones.</w:t>
      </w:r>
      <w:r w:rsidR="00123828">
        <w:rPr>
          <w:rFonts w:ascii="Book Antiqua" w:hAnsi="Book Antiqua"/>
          <w:color w:val="000000" w:themeColor="text1"/>
          <w:szCs w:val="24"/>
          <w:lang w:val="es-PR"/>
        </w:rPr>
        <w:t xml:space="preserve"> </w:t>
      </w:r>
      <w:r w:rsidR="00123828" w:rsidRPr="00123828">
        <w:rPr>
          <w:rFonts w:ascii="Book Antiqua" w:hAnsi="Book Antiqua"/>
          <w:color w:val="000000" w:themeColor="text1"/>
          <w:szCs w:val="24"/>
          <w:lang w:val="es-PR"/>
        </w:rPr>
        <w:t>No obstante, el análisis jurídico y normativo demuestra que la Carta Circular Núm. 008-2025-2026 es conforme a Derecho y responde a obligaciones estatales y federales.</w:t>
      </w:r>
    </w:p>
    <w:p w14:paraId="6A0FFC5C" w14:textId="366255D0" w:rsidR="005430F5" w:rsidRPr="005430F5" w:rsidRDefault="005430F5" w:rsidP="005430F5">
      <w:pPr>
        <w:spacing w:before="100" w:beforeAutospacing="1" w:after="100" w:afterAutospacing="1"/>
        <w:jc w:val="both"/>
        <w:rPr>
          <w:rFonts w:ascii="Book Antiqua" w:hAnsi="Book Antiqua"/>
          <w:color w:val="000000" w:themeColor="text1"/>
          <w:szCs w:val="24"/>
          <w:lang w:val="es-PR"/>
        </w:rPr>
      </w:pPr>
      <w:r w:rsidRPr="005430F5">
        <w:rPr>
          <w:rFonts w:ascii="Book Antiqua" w:hAnsi="Book Antiqua"/>
          <w:b/>
          <w:bCs/>
          <w:color w:val="000000" w:themeColor="text1"/>
          <w:szCs w:val="24"/>
          <w:lang w:val="es-PR"/>
        </w:rPr>
        <w:t>Consideraciones Jurídicas y Normativas</w:t>
      </w:r>
    </w:p>
    <w:p w14:paraId="0251509C" w14:textId="0DD624F6" w:rsidR="005430F5" w:rsidRPr="005430F5" w:rsidRDefault="005430F5" w:rsidP="005430F5">
      <w:pPr>
        <w:spacing w:before="100" w:beforeAutospacing="1" w:after="100" w:afterAutospacing="1"/>
        <w:ind w:firstLine="720"/>
        <w:jc w:val="both"/>
        <w:rPr>
          <w:rFonts w:ascii="Book Antiqua" w:hAnsi="Book Antiqua"/>
          <w:color w:val="000000" w:themeColor="text1"/>
          <w:szCs w:val="24"/>
          <w:lang w:val="es-PR"/>
        </w:rPr>
      </w:pPr>
      <w:r w:rsidRPr="005430F5">
        <w:rPr>
          <w:rFonts w:ascii="Book Antiqua" w:hAnsi="Book Antiqua"/>
          <w:color w:val="000000" w:themeColor="text1"/>
          <w:szCs w:val="24"/>
          <w:lang w:val="es-PR"/>
        </w:rPr>
        <w:t>Del análisis realizado, surge que la Carta Circular Núm. 008-2025-2026 se encuentra debidamente sustentada en disposiciones constitucionales y legales vigentes. La Constitución de Puerto Rico, en su Artículo II, Sección 3, garantiza el derecho al libre ejercicio del culto religioso y establece la separación entre Iglesia y Estado. De igual forma, la Primera Enmienda de la Constitución de los Estados Unidos prohíbe la aprobación de leyes que restrinjan el libre ejercicio religioso.</w:t>
      </w:r>
    </w:p>
    <w:p w14:paraId="2DD011FF" w14:textId="77777777" w:rsidR="002E3838" w:rsidRDefault="005430F5" w:rsidP="005430F5">
      <w:pPr>
        <w:spacing w:before="100" w:beforeAutospacing="1" w:after="100" w:afterAutospacing="1"/>
        <w:ind w:firstLine="720"/>
        <w:jc w:val="both"/>
        <w:rPr>
          <w:rFonts w:ascii="Book Antiqua" w:hAnsi="Book Antiqua"/>
          <w:color w:val="000000" w:themeColor="text1"/>
          <w:szCs w:val="24"/>
          <w:lang w:val="es-PR"/>
        </w:rPr>
      </w:pPr>
      <w:r w:rsidRPr="005430F5">
        <w:rPr>
          <w:rFonts w:ascii="Book Antiqua" w:hAnsi="Book Antiqua"/>
          <w:color w:val="000000" w:themeColor="text1"/>
          <w:szCs w:val="24"/>
          <w:lang w:val="es-PR"/>
        </w:rPr>
        <w:t xml:space="preserve">A nivel legislativo, la Ley Núm. 85-2018, conocida como la Ley de Reforma Educativa, reconoce el derecho de los estudiantes y miembros de la comunidad escolar a expresarse libremente, incluyendo convicciones religiosas, y prohíbe el discrimen por motivos de religión. </w:t>
      </w:r>
    </w:p>
    <w:p w14:paraId="048E1577" w14:textId="2C296CE5" w:rsidR="005430F5" w:rsidRPr="002E3838" w:rsidRDefault="005430F5" w:rsidP="002E3838">
      <w:pPr>
        <w:spacing w:before="100" w:beforeAutospacing="1" w:after="100" w:afterAutospacing="1"/>
        <w:ind w:firstLine="720"/>
        <w:jc w:val="both"/>
        <w:rPr>
          <w:rFonts w:ascii="Book Antiqua" w:hAnsi="Book Antiqua"/>
          <w:color w:val="000000" w:themeColor="text1"/>
          <w:lang w:val="es-PR"/>
        </w:rPr>
      </w:pPr>
      <w:r w:rsidRPr="005430F5">
        <w:rPr>
          <w:rFonts w:ascii="Book Antiqua" w:hAnsi="Book Antiqua"/>
          <w:color w:val="000000" w:themeColor="text1"/>
          <w:szCs w:val="24"/>
          <w:lang w:val="es-PR"/>
        </w:rPr>
        <w:t xml:space="preserve">Asimismo, </w:t>
      </w:r>
      <w:r w:rsidR="002E3838">
        <w:rPr>
          <w:rFonts w:ascii="Book Antiqua" w:hAnsi="Book Antiqua"/>
          <w:color w:val="000000" w:themeColor="text1"/>
          <w:szCs w:val="24"/>
          <w:lang w:val="es-PR"/>
        </w:rPr>
        <w:t>l</w:t>
      </w:r>
      <w:r w:rsidR="002E3838" w:rsidRPr="002E3838">
        <w:rPr>
          <w:rFonts w:ascii="Book Antiqua" w:hAnsi="Book Antiqua"/>
          <w:color w:val="000000" w:themeColor="text1"/>
          <w:lang w:val="es-PR"/>
        </w:rPr>
        <w:t>a Ley Núm. 14-2025, conocida como la Ley del Derecho Fundamental a la Libertad Religiosa en Puerto Rico, establece como política pública la protección de la libertad religiosa como un derecho fundamental para todas las personas. Esta ley ordena al Departamento de Educación de Puerto Rico (DEPR) elaborar guías que regulen la expresión religiosa en igualdad de condiciones con las expresiones seculares, garantizando que ninguna norma gubernamental obstaculice el ejercicio de la fe, salvo que supere el escrutinio estricto constitucional. A</w:t>
      </w:r>
      <w:r w:rsidR="00085A12">
        <w:rPr>
          <w:rFonts w:ascii="Book Antiqua" w:hAnsi="Book Antiqua"/>
          <w:color w:val="000000" w:themeColor="text1"/>
          <w:lang w:val="es-PR"/>
        </w:rPr>
        <w:t>demás</w:t>
      </w:r>
      <w:r w:rsidR="002E3838" w:rsidRPr="002E3838">
        <w:rPr>
          <w:rFonts w:ascii="Book Antiqua" w:hAnsi="Book Antiqua"/>
          <w:color w:val="000000" w:themeColor="text1"/>
          <w:lang w:val="es-PR"/>
        </w:rPr>
        <w:t>, reconoce derechos tanto para estudiantes como para empleados gubernamentales, en armonía con el Título VII de la Ley de Derechos Civiles de 1964, y dispone que el DEPR debe asegurar acomodos razonables y evitar cualquier forma de discrimen. Estas disposiciones justifican la creación de la Oficina de Base de Fe y la Carta Circular Núm. 008-2025-2026 como mecanismos necesarios para el cumplimiento de esta política pública.</w:t>
      </w:r>
    </w:p>
    <w:p w14:paraId="59DA30D3" w14:textId="77777777" w:rsidR="005430F5" w:rsidRPr="005430F5" w:rsidRDefault="005430F5" w:rsidP="005430F5">
      <w:pPr>
        <w:spacing w:before="100" w:beforeAutospacing="1" w:after="100" w:afterAutospacing="1"/>
        <w:ind w:firstLine="720"/>
        <w:jc w:val="both"/>
        <w:rPr>
          <w:rFonts w:ascii="Book Antiqua" w:hAnsi="Book Antiqua"/>
          <w:color w:val="000000" w:themeColor="text1"/>
          <w:szCs w:val="24"/>
          <w:lang w:val="es-PR"/>
        </w:rPr>
      </w:pPr>
      <w:r w:rsidRPr="005430F5">
        <w:rPr>
          <w:rFonts w:ascii="Book Antiqua" w:hAnsi="Book Antiqua"/>
          <w:color w:val="000000" w:themeColor="text1"/>
          <w:szCs w:val="24"/>
          <w:lang w:val="es-PR"/>
        </w:rPr>
        <w:t>En el ámbito federal, la Ley de Educación Primaria y Secundaria (ESEA) y la Ley de Acceso Equitativo imponen a los estados la obligación de garantizar el derecho constitucional de estudiantes y personal escolar a ejercer su fe en igualdad de condiciones. El incumplimiento de estas disposiciones podría conllevar la pérdida de fondos federales, lo que representa un riesgo significativo para el sistema educativo. Por ello, la creación de la Oficina de Base de Fe y la adopción de esta política pública constituyen medidas preventivas y orientadoras, dirigidas a asegurar entornos educativos libres de discrimen y a cumplir con el ordenamiento jurídico aplicable.</w:t>
      </w:r>
    </w:p>
    <w:p w14:paraId="5BE263C9" w14:textId="77777777" w:rsidR="00C02603" w:rsidRDefault="00C02603" w:rsidP="00F724D4">
      <w:pPr>
        <w:spacing w:before="100" w:beforeAutospacing="1" w:after="100" w:afterAutospacing="1"/>
        <w:jc w:val="both"/>
        <w:rPr>
          <w:rFonts w:ascii="Book Antiqua" w:hAnsi="Book Antiqua"/>
          <w:b/>
          <w:bCs/>
          <w:color w:val="000000" w:themeColor="text1"/>
          <w:szCs w:val="24"/>
          <w:lang w:val="es-PR"/>
        </w:rPr>
      </w:pPr>
    </w:p>
    <w:p w14:paraId="1F47B9E8" w14:textId="77777777" w:rsidR="00C02603" w:rsidRDefault="00C02603" w:rsidP="00F724D4">
      <w:pPr>
        <w:spacing w:before="100" w:beforeAutospacing="1" w:after="100" w:afterAutospacing="1"/>
        <w:jc w:val="both"/>
        <w:rPr>
          <w:rFonts w:ascii="Book Antiqua" w:hAnsi="Book Antiqua"/>
          <w:b/>
          <w:bCs/>
          <w:color w:val="000000" w:themeColor="text1"/>
          <w:szCs w:val="24"/>
          <w:lang w:val="es-PR"/>
        </w:rPr>
      </w:pPr>
    </w:p>
    <w:p w14:paraId="22900123" w14:textId="4938B36A" w:rsidR="005430F5" w:rsidRPr="005430F5" w:rsidRDefault="005430F5" w:rsidP="00F724D4">
      <w:pPr>
        <w:spacing w:before="100" w:beforeAutospacing="1" w:after="100" w:afterAutospacing="1"/>
        <w:jc w:val="both"/>
        <w:rPr>
          <w:rFonts w:ascii="Book Antiqua" w:hAnsi="Book Antiqua"/>
          <w:color w:val="000000" w:themeColor="text1"/>
          <w:szCs w:val="24"/>
          <w:lang w:val="es-PR"/>
        </w:rPr>
      </w:pPr>
      <w:r w:rsidRPr="005430F5">
        <w:rPr>
          <w:rFonts w:ascii="Book Antiqua" w:hAnsi="Book Antiqua"/>
          <w:b/>
          <w:bCs/>
          <w:color w:val="000000" w:themeColor="text1"/>
          <w:szCs w:val="24"/>
          <w:lang w:val="es-PR"/>
        </w:rPr>
        <w:lastRenderedPageBreak/>
        <w:t>Evaluación de la Carta Circular</w:t>
      </w:r>
      <w:r w:rsidR="00F0020C">
        <w:rPr>
          <w:rFonts w:ascii="Book Antiqua" w:hAnsi="Book Antiqua"/>
          <w:b/>
          <w:bCs/>
          <w:color w:val="000000" w:themeColor="text1"/>
          <w:szCs w:val="24"/>
          <w:lang w:val="es-PR"/>
        </w:rPr>
        <w:t xml:space="preserve"> </w:t>
      </w:r>
      <w:r w:rsidR="00F0020C" w:rsidRPr="00F0020C">
        <w:rPr>
          <w:rFonts w:ascii="Book Antiqua" w:hAnsi="Book Antiqua"/>
          <w:b/>
          <w:bCs/>
          <w:color w:val="000000" w:themeColor="text1"/>
          <w:szCs w:val="24"/>
          <w:lang w:val="es-PR"/>
        </w:rPr>
        <w:t>Núm. 008-2025-2026</w:t>
      </w:r>
    </w:p>
    <w:p w14:paraId="098854E4" w14:textId="77777777" w:rsidR="005430F5" w:rsidRPr="005430F5" w:rsidRDefault="005430F5" w:rsidP="005430F5">
      <w:pPr>
        <w:spacing w:before="100" w:beforeAutospacing="1" w:after="100" w:afterAutospacing="1"/>
        <w:ind w:firstLine="720"/>
        <w:jc w:val="both"/>
        <w:rPr>
          <w:rFonts w:ascii="Book Antiqua" w:hAnsi="Book Antiqua"/>
          <w:color w:val="000000" w:themeColor="text1"/>
          <w:szCs w:val="24"/>
          <w:lang w:val="es-PR"/>
        </w:rPr>
      </w:pPr>
      <w:r w:rsidRPr="005430F5">
        <w:rPr>
          <w:rFonts w:ascii="Book Antiqua" w:hAnsi="Book Antiqua"/>
          <w:color w:val="000000" w:themeColor="text1"/>
          <w:szCs w:val="24"/>
          <w:lang w:val="es-PR"/>
        </w:rPr>
        <w:t>Es menester aclarar que la Carta Circular Núm. 008-2025-2026 no impone creencias religiosas ni obliga a la participación en actividades de fe. Su propósito es garantizar derechos constitucionales y ofrecer mecanismos para atender situaciones relacionadas con la libertad religiosa, evitando conflictos legales y administrativos. Estas disposiciones son cónsonas con la política pública del Ejecutivo, establecida mediante la Orden Ejecutiva OE-2025-20, que ordena la creación de estructuras similares en las agencias gubernamentales.</w:t>
      </w:r>
    </w:p>
    <w:p w14:paraId="369CAC28" w14:textId="0FBFDEF8" w:rsidR="00AC627E" w:rsidRPr="00C1650E" w:rsidRDefault="0076334C" w:rsidP="00F724D4">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01C3F60E" w14:textId="7B446A45" w:rsidR="00F724D4" w:rsidRPr="005430F5" w:rsidRDefault="00773E1D" w:rsidP="00A0131D">
      <w:pPr>
        <w:spacing w:before="100" w:beforeAutospacing="1" w:after="100" w:afterAutospacing="1"/>
        <w:ind w:firstLine="720"/>
        <w:jc w:val="both"/>
        <w:rPr>
          <w:rFonts w:ascii="Book Antiqua" w:hAnsi="Book Antiqua"/>
          <w:color w:val="000000" w:themeColor="text1"/>
          <w:lang w:val="es-PR"/>
        </w:rPr>
      </w:pPr>
      <w:r w:rsidRPr="00C1650E">
        <w:rPr>
          <w:rFonts w:ascii="Book Antiqua" w:hAnsi="Book Antiqua"/>
          <w:color w:val="000000" w:themeColor="text1"/>
          <w:lang w:val="es-PR"/>
        </w:rPr>
        <w:t xml:space="preserve">La Comisión de Educación </w:t>
      </w:r>
      <w:r w:rsidR="00FB3C45">
        <w:rPr>
          <w:rFonts w:ascii="Book Antiqua" w:hAnsi="Book Antiqua"/>
          <w:color w:val="000000" w:themeColor="text1"/>
          <w:lang w:val="es-PR"/>
        </w:rPr>
        <w:t xml:space="preserve">de la Cámara de Representantes </w:t>
      </w:r>
      <w:r w:rsidRPr="00C1650E">
        <w:rPr>
          <w:rFonts w:ascii="Book Antiqua" w:hAnsi="Book Antiqua"/>
          <w:color w:val="000000" w:themeColor="text1"/>
          <w:lang w:val="es-PR"/>
        </w:rPr>
        <w:t>ha llevado a cabo un análisis detallado de la comunicaci</w:t>
      </w:r>
      <w:r w:rsidR="00E219A4">
        <w:rPr>
          <w:rFonts w:ascii="Book Antiqua" w:hAnsi="Book Antiqua"/>
          <w:color w:val="000000" w:themeColor="text1"/>
          <w:lang w:val="es-PR"/>
        </w:rPr>
        <w:t>ón</w:t>
      </w:r>
      <w:r w:rsidRPr="00C1650E">
        <w:rPr>
          <w:rFonts w:ascii="Book Antiqua" w:hAnsi="Book Antiqua"/>
          <w:color w:val="000000" w:themeColor="text1"/>
          <w:lang w:val="es-PR"/>
        </w:rPr>
        <w:t xml:space="preserve"> recibida.</w:t>
      </w:r>
      <w:r w:rsidR="005B17FE">
        <w:rPr>
          <w:rFonts w:ascii="Book Antiqua" w:hAnsi="Book Antiqua"/>
          <w:color w:val="000000" w:themeColor="text1"/>
          <w:lang w:val="es-PR"/>
        </w:rPr>
        <w:t xml:space="preserve"> </w:t>
      </w:r>
      <w:r w:rsidR="005B17FE" w:rsidRPr="005B17FE">
        <w:rPr>
          <w:rFonts w:ascii="Book Antiqua" w:hAnsi="Book Antiqua"/>
          <w:color w:val="000000" w:themeColor="text1"/>
          <w:lang w:val="es-PR"/>
        </w:rPr>
        <w:t xml:space="preserve">Tras examinar detenidamente el contenido del </w:t>
      </w:r>
      <w:r w:rsidR="00F724D4">
        <w:rPr>
          <w:rFonts w:ascii="Book Antiqua" w:hAnsi="Book Antiqua"/>
          <w:color w:val="000000" w:themeColor="text1"/>
          <w:lang w:val="es-PR"/>
        </w:rPr>
        <w:t>R.C</w:t>
      </w:r>
      <w:r w:rsidR="005B17FE">
        <w:rPr>
          <w:rFonts w:ascii="Book Antiqua" w:hAnsi="Book Antiqua"/>
          <w:color w:val="000000" w:themeColor="text1"/>
          <w:lang w:val="es-PR"/>
        </w:rPr>
        <w:t>.</w:t>
      </w:r>
      <w:r w:rsidR="005B17FE" w:rsidRPr="005B17FE">
        <w:rPr>
          <w:rFonts w:ascii="Book Antiqua" w:hAnsi="Book Antiqua"/>
          <w:color w:val="000000" w:themeColor="text1"/>
          <w:lang w:val="es-PR"/>
        </w:rPr>
        <w:t xml:space="preserve"> de la C</w:t>
      </w:r>
      <w:r w:rsidR="005B17FE">
        <w:rPr>
          <w:rFonts w:ascii="Book Antiqua" w:hAnsi="Book Antiqua"/>
          <w:color w:val="000000" w:themeColor="text1"/>
          <w:lang w:val="es-PR"/>
        </w:rPr>
        <w:t>.</w:t>
      </w:r>
      <w:r w:rsidR="005B17FE" w:rsidRPr="005B17FE">
        <w:rPr>
          <w:rFonts w:ascii="Book Antiqua" w:hAnsi="Book Antiqua"/>
          <w:color w:val="000000" w:themeColor="text1"/>
          <w:lang w:val="es-PR"/>
        </w:rPr>
        <w:t xml:space="preserve"> </w:t>
      </w:r>
      <w:r w:rsidR="00F724D4">
        <w:rPr>
          <w:rFonts w:ascii="Book Antiqua" w:hAnsi="Book Antiqua"/>
          <w:color w:val="000000" w:themeColor="text1"/>
          <w:lang w:val="es-PR"/>
        </w:rPr>
        <w:t>221,</w:t>
      </w:r>
      <w:r w:rsidR="005B17FE" w:rsidRPr="005B17FE">
        <w:rPr>
          <w:rFonts w:ascii="Book Antiqua" w:hAnsi="Book Antiqua"/>
          <w:color w:val="000000" w:themeColor="text1"/>
          <w:lang w:val="es-PR"/>
        </w:rPr>
        <w:t xml:space="preserve"> evaluar </w:t>
      </w:r>
      <w:r w:rsidR="00F724D4">
        <w:rPr>
          <w:rFonts w:ascii="Book Antiqua" w:hAnsi="Book Antiqua"/>
          <w:color w:val="000000" w:themeColor="text1"/>
          <w:lang w:val="es-PR"/>
        </w:rPr>
        <w:t>el</w:t>
      </w:r>
      <w:r w:rsidR="005B17FE" w:rsidRPr="005B17FE">
        <w:rPr>
          <w:rFonts w:ascii="Book Antiqua" w:hAnsi="Book Antiqua"/>
          <w:color w:val="000000" w:themeColor="text1"/>
          <w:lang w:val="es-PR"/>
        </w:rPr>
        <w:t xml:space="preserve"> memorial sometid</w:t>
      </w:r>
      <w:r w:rsidR="00F724D4">
        <w:rPr>
          <w:rFonts w:ascii="Book Antiqua" w:hAnsi="Book Antiqua"/>
          <w:color w:val="000000" w:themeColor="text1"/>
          <w:lang w:val="es-PR"/>
        </w:rPr>
        <w:t>o por el Departamento de Educaci</w:t>
      </w:r>
      <w:r w:rsidR="00F724D4" w:rsidRPr="00F724D4">
        <w:rPr>
          <w:rFonts w:ascii="Book Antiqua" w:hAnsi="Book Antiqua"/>
          <w:color w:val="000000" w:themeColor="text1"/>
          <w:lang w:val="es-PR"/>
        </w:rPr>
        <w:t>ó</w:t>
      </w:r>
      <w:r w:rsidR="00F724D4">
        <w:rPr>
          <w:rFonts w:ascii="Book Antiqua" w:hAnsi="Book Antiqua"/>
          <w:color w:val="000000" w:themeColor="text1"/>
          <w:lang w:val="es-PR"/>
        </w:rPr>
        <w:t>n de Puerto Rico (DEPR) y la Carta Circular 008 2025-2026</w:t>
      </w:r>
      <w:r w:rsidR="00A0131D">
        <w:rPr>
          <w:rFonts w:ascii="Book Antiqua" w:hAnsi="Book Antiqua"/>
          <w:color w:val="000000" w:themeColor="text1"/>
          <w:lang w:val="es-PR"/>
        </w:rPr>
        <w:t xml:space="preserve">, </w:t>
      </w:r>
      <w:r w:rsidR="00A0131D" w:rsidRPr="00D16772">
        <w:rPr>
          <w:rFonts w:ascii="Book Antiqua" w:hAnsi="Book Antiqua"/>
          <w:lang w:val="es-PR"/>
        </w:rPr>
        <w:t>concluye que el P. d</w:t>
      </w:r>
      <w:r w:rsidR="00A0131D">
        <w:rPr>
          <w:rFonts w:ascii="Book Antiqua" w:hAnsi="Book Antiqua"/>
          <w:lang w:val="es-PR"/>
        </w:rPr>
        <w:t>el S. 524</w:t>
      </w:r>
      <w:r w:rsidR="00A0131D" w:rsidRPr="00D16772">
        <w:rPr>
          <w:rFonts w:ascii="Book Antiqua" w:hAnsi="Book Antiqua"/>
          <w:lang w:val="es-PR"/>
        </w:rPr>
        <w:t xml:space="preserve"> no debe ser aprobado en su forma actual</w:t>
      </w:r>
      <w:r w:rsidR="00A0131D">
        <w:rPr>
          <w:rFonts w:ascii="Book Antiqua" w:hAnsi="Book Antiqua"/>
          <w:color w:val="000000" w:themeColor="text1"/>
          <w:lang w:val="es-PR"/>
        </w:rPr>
        <w:t xml:space="preserve">. Esta Comisión de Educación </w:t>
      </w:r>
      <w:r w:rsidR="00F724D4" w:rsidRPr="005430F5">
        <w:rPr>
          <w:rFonts w:ascii="Book Antiqua" w:hAnsi="Book Antiqua"/>
          <w:color w:val="000000" w:themeColor="text1"/>
          <w:szCs w:val="24"/>
          <w:lang w:val="es-PR"/>
        </w:rPr>
        <w:t>entiende que la Carta Circular Núm. 008-2025-2026 es conforme a Derecho, responde a una política pública antidiscriminatoria y contribuye al cumplimiento de obligaciones estatales y federales. Derogar esta normativa sin una alternativa clara crearía vacíos legales y riesgos para la agencia y la comunidad escolar. Se sugiere mantener la Carta Circular vigente y continuar colaborando con la Asamblea Legislativa para armonizar cualquier iniciativa futura con el marco jurídico aplicable.</w:t>
      </w:r>
    </w:p>
    <w:p w14:paraId="16015055" w14:textId="7241AE13" w:rsidR="00F724D4" w:rsidRPr="005B17FE" w:rsidRDefault="00F724D4" w:rsidP="00F724D4">
      <w:pPr>
        <w:spacing w:before="100" w:beforeAutospacing="1"/>
        <w:ind w:firstLine="720"/>
        <w:jc w:val="both"/>
        <w:rPr>
          <w:rFonts w:ascii="Book Antiqua" w:hAnsi="Book Antiqua"/>
          <w:color w:val="000000" w:themeColor="text1"/>
          <w:lang w:val="es-PR"/>
        </w:rPr>
      </w:pPr>
      <w:r w:rsidRPr="00C1650E">
        <w:rPr>
          <w:rFonts w:ascii="Book Antiqua" w:hAnsi="Book Antiqua"/>
          <w:b/>
          <w:bCs/>
          <w:color w:val="000000" w:themeColor="text1"/>
          <w:lang w:val="es-PR"/>
        </w:rPr>
        <w:t>POR LO ANTES EXPUESTO</w:t>
      </w:r>
      <w:r w:rsidRPr="00C1650E">
        <w:rPr>
          <w:rFonts w:ascii="Book Antiqua" w:hAnsi="Book Antiqua"/>
          <w:color w:val="000000" w:themeColor="text1"/>
          <w:lang w:val="es-PR"/>
        </w:rPr>
        <w:t>, la Comisión de Educación</w:t>
      </w:r>
      <w:r w:rsidR="007B14F6">
        <w:rPr>
          <w:rFonts w:ascii="Book Antiqua" w:hAnsi="Book Antiqua"/>
          <w:color w:val="000000" w:themeColor="text1"/>
          <w:lang w:val="es-PR"/>
        </w:rPr>
        <w:t xml:space="preserve"> de la Cámara de Representantes</w:t>
      </w:r>
      <w:r w:rsidRPr="00C1650E">
        <w:rPr>
          <w:rFonts w:ascii="Book Antiqua" w:hAnsi="Book Antiqua"/>
          <w:color w:val="000000" w:themeColor="text1"/>
          <w:lang w:val="es-PR"/>
        </w:rPr>
        <w:t xml:space="preserve"> </w:t>
      </w:r>
      <w:r>
        <w:rPr>
          <w:rFonts w:ascii="Book Antiqua" w:hAnsi="Book Antiqua"/>
          <w:color w:val="000000" w:themeColor="text1"/>
          <w:lang w:val="es-PR"/>
        </w:rPr>
        <w:t xml:space="preserve">no </w:t>
      </w:r>
      <w:r w:rsidRPr="00C1650E">
        <w:rPr>
          <w:rFonts w:ascii="Book Antiqua" w:hAnsi="Book Antiqua"/>
          <w:color w:val="000000" w:themeColor="text1"/>
          <w:lang w:val="es-PR"/>
        </w:rPr>
        <w:t xml:space="preserve">recomienda la aprobación </w:t>
      </w:r>
      <w:r>
        <w:rPr>
          <w:rFonts w:ascii="Book Antiqua" w:hAnsi="Book Antiqua"/>
          <w:color w:val="000000" w:themeColor="text1"/>
          <w:lang w:val="es-PR"/>
        </w:rPr>
        <w:t>del R.C. de la C. 221</w:t>
      </w:r>
      <w:r w:rsidRPr="00C1650E">
        <w:rPr>
          <w:rFonts w:ascii="Book Antiqua" w:hAnsi="Book Antiqua"/>
          <w:color w:val="000000" w:themeColor="text1"/>
          <w:lang w:val="es-PR"/>
        </w:rPr>
        <w:t xml:space="preserve">, mediante el presente Informe </w:t>
      </w:r>
      <w:r>
        <w:rPr>
          <w:rFonts w:ascii="Book Antiqua" w:hAnsi="Book Antiqua"/>
          <w:color w:val="000000" w:themeColor="text1"/>
          <w:lang w:val="es-PR"/>
        </w:rPr>
        <w:t>Negativo.</w:t>
      </w:r>
    </w:p>
    <w:p w14:paraId="08CFECCF" w14:textId="3C2EAA20" w:rsidR="00885BA6" w:rsidRPr="00C1650E" w:rsidRDefault="00885BA6" w:rsidP="00616979">
      <w:pPr>
        <w:spacing w:before="100" w:beforeAutospacing="1"/>
        <w:jc w:val="both"/>
        <w:rPr>
          <w:rFonts w:ascii="Book Antiqua" w:hAnsi="Book Antiqua"/>
          <w:color w:val="000000" w:themeColor="text1"/>
          <w:lang w:val="es-PR"/>
        </w:rPr>
      </w:pP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32961CC3" w14:textId="77777777" w:rsidR="00F70E67" w:rsidRDefault="00F70E67" w:rsidP="003D6317">
      <w:pPr>
        <w:spacing w:before="100" w:beforeAutospacing="1"/>
        <w:rPr>
          <w:rFonts w:ascii="Book Antiqua" w:hAnsi="Book Antiqua"/>
          <w:color w:val="000000" w:themeColor="text1"/>
          <w:lang w:val="es-PR"/>
        </w:rPr>
      </w:pPr>
    </w:p>
    <w:p w14:paraId="474C8771" w14:textId="77777777" w:rsidR="00B0172C" w:rsidRPr="00C1650E" w:rsidRDefault="00B0172C"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03E09" w14:textId="77777777" w:rsidR="00F55D22" w:rsidRDefault="00F55D22">
      <w:r>
        <w:separator/>
      </w:r>
    </w:p>
  </w:endnote>
  <w:endnote w:type="continuationSeparator" w:id="0">
    <w:p w14:paraId="4711B210" w14:textId="77777777" w:rsidR="00F55D22" w:rsidRDefault="00F55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FF4E0" w14:textId="77777777" w:rsidR="00F55D22" w:rsidRDefault="00F55D22">
      <w:r>
        <w:separator/>
      </w:r>
    </w:p>
  </w:footnote>
  <w:footnote w:type="continuationSeparator" w:id="0">
    <w:p w14:paraId="4A146DE7" w14:textId="77777777" w:rsidR="00F55D22" w:rsidRDefault="00F55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06099213" w:rsidR="00F042CB" w:rsidRPr="00487A4D" w:rsidRDefault="00487A4D" w:rsidP="00487A4D">
    <w:pPr>
      <w:pStyle w:val="Header"/>
      <w:rPr>
        <w:lang w:val="es-PR"/>
      </w:rPr>
    </w:pPr>
    <w:r w:rsidRPr="00C1650E">
      <w:rPr>
        <w:rStyle w:val="PageNumber"/>
        <w:lang w:val="es-PR"/>
      </w:rPr>
      <w:t xml:space="preserve">Informe </w:t>
    </w:r>
    <w:r w:rsidR="007B14F6">
      <w:rPr>
        <w:rStyle w:val="PageNumber"/>
        <w:lang w:val="es-PR"/>
      </w:rPr>
      <w:t>Negativo</w:t>
    </w:r>
    <w:r w:rsidRPr="00C1650E">
      <w:rPr>
        <w:rStyle w:val="PageNumber"/>
        <w:lang w:val="es-PR"/>
      </w:rPr>
      <w:t xml:space="preserve"> sobre </w:t>
    </w:r>
    <w:r w:rsidR="006F31DC">
      <w:rPr>
        <w:rStyle w:val="PageNumber"/>
        <w:lang w:val="es-PR"/>
      </w:rPr>
      <w:t xml:space="preserve">el </w:t>
    </w:r>
    <w:r w:rsidR="00FE6F4D">
      <w:rPr>
        <w:rStyle w:val="PageNumber"/>
        <w:lang w:val="es-PR"/>
      </w:rPr>
      <w:t>R.C</w:t>
    </w:r>
    <w:r w:rsidR="006F31DC">
      <w:rPr>
        <w:rStyle w:val="PageNumber"/>
        <w:lang w:val="es-PR"/>
      </w:rPr>
      <w:t>. de</w:t>
    </w:r>
    <w:r w:rsidR="000255DE">
      <w:rPr>
        <w:rStyle w:val="PageNumber"/>
        <w:lang w:val="es-PR"/>
      </w:rPr>
      <w:t xml:space="preserve"> la C. </w:t>
    </w:r>
    <w:r w:rsidR="00FE6F4D">
      <w:rPr>
        <w:rStyle w:val="PageNumber"/>
        <w:lang w:val="es-PR"/>
      </w:rPr>
      <w:t>221</w:t>
    </w:r>
    <w:r w:rsidR="00D75FBB">
      <w:rPr>
        <w:rStyle w:val="PageNumber"/>
        <w:lang w:val="es-PR"/>
      </w:rPr>
      <w:t xml:space="preserve"> </w:t>
    </w:r>
    <w:r w:rsidR="00B37F95">
      <w:rPr>
        <w:rStyle w:val="PageNumber"/>
        <w:lang w:val="es-PR"/>
      </w:rPr>
      <w:tab/>
    </w:r>
    <w:r w:rsidR="00B37F95">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1D5643"/>
    <w:multiLevelType w:val="multilevel"/>
    <w:tmpl w:val="1102C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9"/>
  </w:num>
  <w:num w:numId="3" w16cid:durableId="31856016">
    <w:abstractNumId w:val="10"/>
  </w:num>
  <w:num w:numId="4" w16cid:durableId="1489134421">
    <w:abstractNumId w:val="1"/>
  </w:num>
  <w:num w:numId="5" w16cid:durableId="639266677">
    <w:abstractNumId w:val="3"/>
  </w:num>
  <w:num w:numId="6" w16cid:durableId="844244211">
    <w:abstractNumId w:val="4"/>
  </w:num>
  <w:num w:numId="7" w16cid:durableId="816726171">
    <w:abstractNumId w:val="7"/>
  </w:num>
  <w:num w:numId="8" w16cid:durableId="811870527">
    <w:abstractNumId w:val="0"/>
  </w:num>
  <w:num w:numId="9" w16cid:durableId="923299098">
    <w:abstractNumId w:val="8"/>
  </w:num>
  <w:num w:numId="10" w16cid:durableId="2028288080">
    <w:abstractNumId w:val="2"/>
  </w:num>
  <w:num w:numId="11" w16cid:durableId="144206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55DE"/>
    <w:rsid w:val="00027C86"/>
    <w:rsid w:val="00032078"/>
    <w:rsid w:val="00043DD0"/>
    <w:rsid w:val="000518F3"/>
    <w:rsid w:val="00056024"/>
    <w:rsid w:val="00063D87"/>
    <w:rsid w:val="00073275"/>
    <w:rsid w:val="00074D2C"/>
    <w:rsid w:val="00075BAB"/>
    <w:rsid w:val="00080836"/>
    <w:rsid w:val="00085A12"/>
    <w:rsid w:val="000871B0"/>
    <w:rsid w:val="00091A87"/>
    <w:rsid w:val="00091F2F"/>
    <w:rsid w:val="00095AE1"/>
    <w:rsid w:val="000A6B6C"/>
    <w:rsid w:val="000B0DBB"/>
    <w:rsid w:val="000B4C54"/>
    <w:rsid w:val="000C2850"/>
    <w:rsid w:val="000C2CBF"/>
    <w:rsid w:val="000D2A12"/>
    <w:rsid w:val="000D60DB"/>
    <w:rsid w:val="000D727B"/>
    <w:rsid w:val="000E2586"/>
    <w:rsid w:val="000E2DCB"/>
    <w:rsid w:val="000E3D6D"/>
    <w:rsid w:val="000E7F87"/>
    <w:rsid w:val="00105AB1"/>
    <w:rsid w:val="00111E71"/>
    <w:rsid w:val="001127B0"/>
    <w:rsid w:val="00114602"/>
    <w:rsid w:val="00123828"/>
    <w:rsid w:val="00124D9A"/>
    <w:rsid w:val="00126435"/>
    <w:rsid w:val="00127C6A"/>
    <w:rsid w:val="001363FE"/>
    <w:rsid w:val="00144E2D"/>
    <w:rsid w:val="001577F0"/>
    <w:rsid w:val="001606CA"/>
    <w:rsid w:val="00166098"/>
    <w:rsid w:val="0017132B"/>
    <w:rsid w:val="00173F45"/>
    <w:rsid w:val="00174574"/>
    <w:rsid w:val="00187B2B"/>
    <w:rsid w:val="001911C9"/>
    <w:rsid w:val="001922ED"/>
    <w:rsid w:val="001A062F"/>
    <w:rsid w:val="001A2E09"/>
    <w:rsid w:val="001A36DC"/>
    <w:rsid w:val="001A4A89"/>
    <w:rsid w:val="001A4DCF"/>
    <w:rsid w:val="001D15CB"/>
    <w:rsid w:val="001D1A53"/>
    <w:rsid w:val="001D6FC5"/>
    <w:rsid w:val="001E15C2"/>
    <w:rsid w:val="001E211C"/>
    <w:rsid w:val="001F1883"/>
    <w:rsid w:val="001F4CA3"/>
    <w:rsid w:val="001F5064"/>
    <w:rsid w:val="001F612A"/>
    <w:rsid w:val="00205246"/>
    <w:rsid w:val="00205FE7"/>
    <w:rsid w:val="00211396"/>
    <w:rsid w:val="002124E0"/>
    <w:rsid w:val="00220B05"/>
    <w:rsid w:val="00222320"/>
    <w:rsid w:val="00226AE6"/>
    <w:rsid w:val="00237FD4"/>
    <w:rsid w:val="00240B31"/>
    <w:rsid w:val="00245B34"/>
    <w:rsid w:val="00250156"/>
    <w:rsid w:val="00253C48"/>
    <w:rsid w:val="0026318A"/>
    <w:rsid w:val="00263355"/>
    <w:rsid w:val="002648C4"/>
    <w:rsid w:val="002673C8"/>
    <w:rsid w:val="00273792"/>
    <w:rsid w:val="00284E77"/>
    <w:rsid w:val="002878CD"/>
    <w:rsid w:val="00287B17"/>
    <w:rsid w:val="00290807"/>
    <w:rsid w:val="00295C90"/>
    <w:rsid w:val="0029726D"/>
    <w:rsid w:val="002A1054"/>
    <w:rsid w:val="002A73D5"/>
    <w:rsid w:val="002B4F94"/>
    <w:rsid w:val="002C1204"/>
    <w:rsid w:val="002C6295"/>
    <w:rsid w:val="002C65F6"/>
    <w:rsid w:val="002D4AC8"/>
    <w:rsid w:val="002D4FB2"/>
    <w:rsid w:val="002E161E"/>
    <w:rsid w:val="002E36C3"/>
    <w:rsid w:val="002E3838"/>
    <w:rsid w:val="002F6CA5"/>
    <w:rsid w:val="00307183"/>
    <w:rsid w:val="00316789"/>
    <w:rsid w:val="00320BDF"/>
    <w:rsid w:val="00320D78"/>
    <w:rsid w:val="00322998"/>
    <w:rsid w:val="0034124E"/>
    <w:rsid w:val="003433DA"/>
    <w:rsid w:val="00363E11"/>
    <w:rsid w:val="00364902"/>
    <w:rsid w:val="00380FE5"/>
    <w:rsid w:val="00384455"/>
    <w:rsid w:val="003851A7"/>
    <w:rsid w:val="00386AD0"/>
    <w:rsid w:val="003924DD"/>
    <w:rsid w:val="00394108"/>
    <w:rsid w:val="00394FCB"/>
    <w:rsid w:val="003963BE"/>
    <w:rsid w:val="003963F4"/>
    <w:rsid w:val="003A5176"/>
    <w:rsid w:val="003A6CF0"/>
    <w:rsid w:val="003B5254"/>
    <w:rsid w:val="003B6568"/>
    <w:rsid w:val="003B75A6"/>
    <w:rsid w:val="003C7E14"/>
    <w:rsid w:val="003D2C21"/>
    <w:rsid w:val="003D46C3"/>
    <w:rsid w:val="003D6317"/>
    <w:rsid w:val="003E6963"/>
    <w:rsid w:val="003F05CE"/>
    <w:rsid w:val="003F0BE6"/>
    <w:rsid w:val="003F4E55"/>
    <w:rsid w:val="003F5044"/>
    <w:rsid w:val="003F76A8"/>
    <w:rsid w:val="004061CA"/>
    <w:rsid w:val="00413299"/>
    <w:rsid w:val="00415689"/>
    <w:rsid w:val="004178DC"/>
    <w:rsid w:val="00424D08"/>
    <w:rsid w:val="00430190"/>
    <w:rsid w:val="0044004B"/>
    <w:rsid w:val="00440546"/>
    <w:rsid w:val="004440CB"/>
    <w:rsid w:val="00446A5C"/>
    <w:rsid w:val="00446E40"/>
    <w:rsid w:val="004713D2"/>
    <w:rsid w:val="004731D3"/>
    <w:rsid w:val="00477EF6"/>
    <w:rsid w:val="00480F2B"/>
    <w:rsid w:val="00484365"/>
    <w:rsid w:val="00487A4D"/>
    <w:rsid w:val="00491D4B"/>
    <w:rsid w:val="0049600B"/>
    <w:rsid w:val="004A6562"/>
    <w:rsid w:val="004B5B46"/>
    <w:rsid w:val="004B6E28"/>
    <w:rsid w:val="004B7486"/>
    <w:rsid w:val="004C0B5E"/>
    <w:rsid w:val="004D1D90"/>
    <w:rsid w:val="004D350F"/>
    <w:rsid w:val="004D7000"/>
    <w:rsid w:val="004E4E62"/>
    <w:rsid w:val="004F0E37"/>
    <w:rsid w:val="004F5525"/>
    <w:rsid w:val="00502819"/>
    <w:rsid w:val="00502CED"/>
    <w:rsid w:val="00507462"/>
    <w:rsid w:val="005103AB"/>
    <w:rsid w:val="005129FB"/>
    <w:rsid w:val="00521639"/>
    <w:rsid w:val="005253DD"/>
    <w:rsid w:val="0053167D"/>
    <w:rsid w:val="00532BB7"/>
    <w:rsid w:val="005332E4"/>
    <w:rsid w:val="0053550C"/>
    <w:rsid w:val="00536D92"/>
    <w:rsid w:val="00537AB4"/>
    <w:rsid w:val="005430F5"/>
    <w:rsid w:val="00551919"/>
    <w:rsid w:val="00553C3F"/>
    <w:rsid w:val="00555018"/>
    <w:rsid w:val="0055748A"/>
    <w:rsid w:val="00561060"/>
    <w:rsid w:val="00566198"/>
    <w:rsid w:val="005723DC"/>
    <w:rsid w:val="00574A8A"/>
    <w:rsid w:val="00580214"/>
    <w:rsid w:val="00584305"/>
    <w:rsid w:val="0059202E"/>
    <w:rsid w:val="005A43B5"/>
    <w:rsid w:val="005B00A9"/>
    <w:rsid w:val="005B17FE"/>
    <w:rsid w:val="005C1565"/>
    <w:rsid w:val="005D64AD"/>
    <w:rsid w:val="005F0B0E"/>
    <w:rsid w:val="005F3881"/>
    <w:rsid w:val="005F79AB"/>
    <w:rsid w:val="00603CDA"/>
    <w:rsid w:val="006149B6"/>
    <w:rsid w:val="00615AAF"/>
    <w:rsid w:val="00616979"/>
    <w:rsid w:val="006207C1"/>
    <w:rsid w:val="006210DC"/>
    <w:rsid w:val="006263AB"/>
    <w:rsid w:val="006271D1"/>
    <w:rsid w:val="0063112E"/>
    <w:rsid w:val="00631D0C"/>
    <w:rsid w:val="006353C5"/>
    <w:rsid w:val="006408BB"/>
    <w:rsid w:val="0064349D"/>
    <w:rsid w:val="0064355F"/>
    <w:rsid w:val="00645825"/>
    <w:rsid w:val="00646973"/>
    <w:rsid w:val="00651CBA"/>
    <w:rsid w:val="00653EED"/>
    <w:rsid w:val="006655F7"/>
    <w:rsid w:val="00667ED8"/>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3D7"/>
    <w:rsid w:val="006D6856"/>
    <w:rsid w:val="006E67CA"/>
    <w:rsid w:val="006F31DC"/>
    <w:rsid w:val="006F3E81"/>
    <w:rsid w:val="006F40B9"/>
    <w:rsid w:val="006F48C0"/>
    <w:rsid w:val="0070273C"/>
    <w:rsid w:val="007143B6"/>
    <w:rsid w:val="0071440D"/>
    <w:rsid w:val="00715335"/>
    <w:rsid w:val="007154DC"/>
    <w:rsid w:val="00716972"/>
    <w:rsid w:val="00720B92"/>
    <w:rsid w:val="00736244"/>
    <w:rsid w:val="00741828"/>
    <w:rsid w:val="00742BED"/>
    <w:rsid w:val="00750FC8"/>
    <w:rsid w:val="00751279"/>
    <w:rsid w:val="007533D0"/>
    <w:rsid w:val="00753911"/>
    <w:rsid w:val="00755069"/>
    <w:rsid w:val="00762554"/>
    <w:rsid w:val="0076334C"/>
    <w:rsid w:val="0076543D"/>
    <w:rsid w:val="0076727A"/>
    <w:rsid w:val="00773E1D"/>
    <w:rsid w:val="00776955"/>
    <w:rsid w:val="007773E8"/>
    <w:rsid w:val="0079176E"/>
    <w:rsid w:val="00791779"/>
    <w:rsid w:val="00792AAD"/>
    <w:rsid w:val="0079311A"/>
    <w:rsid w:val="007B0660"/>
    <w:rsid w:val="007B14F6"/>
    <w:rsid w:val="007C2BB1"/>
    <w:rsid w:val="007C4411"/>
    <w:rsid w:val="007C5056"/>
    <w:rsid w:val="007D4194"/>
    <w:rsid w:val="007E3868"/>
    <w:rsid w:val="007F19CB"/>
    <w:rsid w:val="007F7E2E"/>
    <w:rsid w:val="00800181"/>
    <w:rsid w:val="00800609"/>
    <w:rsid w:val="00802146"/>
    <w:rsid w:val="00815082"/>
    <w:rsid w:val="00817DB9"/>
    <w:rsid w:val="00817EEB"/>
    <w:rsid w:val="00820C41"/>
    <w:rsid w:val="0082209E"/>
    <w:rsid w:val="00833427"/>
    <w:rsid w:val="00837443"/>
    <w:rsid w:val="00837D1C"/>
    <w:rsid w:val="00846BDD"/>
    <w:rsid w:val="00850256"/>
    <w:rsid w:val="008521C1"/>
    <w:rsid w:val="00852994"/>
    <w:rsid w:val="00854723"/>
    <w:rsid w:val="00855CE1"/>
    <w:rsid w:val="00860B5A"/>
    <w:rsid w:val="00862095"/>
    <w:rsid w:val="00867C71"/>
    <w:rsid w:val="00875D08"/>
    <w:rsid w:val="00883E61"/>
    <w:rsid w:val="00885557"/>
    <w:rsid w:val="00885BA6"/>
    <w:rsid w:val="0089067F"/>
    <w:rsid w:val="00891733"/>
    <w:rsid w:val="008944AB"/>
    <w:rsid w:val="0089630F"/>
    <w:rsid w:val="008A27E1"/>
    <w:rsid w:val="008A54FD"/>
    <w:rsid w:val="008A6474"/>
    <w:rsid w:val="008A6C96"/>
    <w:rsid w:val="008B19FE"/>
    <w:rsid w:val="008B2804"/>
    <w:rsid w:val="008B2C40"/>
    <w:rsid w:val="008C0763"/>
    <w:rsid w:val="008C59FC"/>
    <w:rsid w:val="008D2C0D"/>
    <w:rsid w:val="008E186E"/>
    <w:rsid w:val="008E4411"/>
    <w:rsid w:val="008E783C"/>
    <w:rsid w:val="008F5A3F"/>
    <w:rsid w:val="00902E09"/>
    <w:rsid w:val="00904F0A"/>
    <w:rsid w:val="00907B6B"/>
    <w:rsid w:val="0091088A"/>
    <w:rsid w:val="00915C3C"/>
    <w:rsid w:val="00916AEC"/>
    <w:rsid w:val="00922DEA"/>
    <w:rsid w:val="00923928"/>
    <w:rsid w:val="0093246F"/>
    <w:rsid w:val="0093686F"/>
    <w:rsid w:val="00942FD4"/>
    <w:rsid w:val="00943C2C"/>
    <w:rsid w:val="00945790"/>
    <w:rsid w:val="00951997"/>
    <w:rsid w:val="00953A32"/>
    <w:rsid w:val="009573AB"/>
    <w:rsid w:val="009750D1"/>
    <w:rsid w:val="0098499F"/>
    <w:rsid w:val="00990352"/>
    <w:rsid w:val="009B5F1F"/>
    <w:rsid w:val="009C1A4C"/>
    <w:rsid w:val="009C5DAB"/>
    <w:rsid w:val="009D09D7"/>
    <w:rsid w:val="009D12CD"/>
    <w:rsid w:val="009D2DB5"/>
    <w:rsid w:val="009D36C5"/>
    <w:rsid w:val="009D50F2"/>
    <w:rsid w:val="009E798F"/>
    <w:rsid w:val="009F49A6"/>
    <w:rsid w:val="00A00672"/>
    <w:rsid w:val="00A0131D"/>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2D98"/>
    <w:rsid w:val="00A950BB"/>
    <w:rsid w:val="00A97113"/>
    <w:rsid w:val="00AA2C8E"/>
    <w:rsid w:val="00AA73E7"/>
    <w:rsid w:val="00AA74D9"/>
    <w:rsid w:val="00AB2538"/>
    <w:rsid w:val="00AB3BB4"/>
    <w:rsid w:val="00AB58B0"/>
    <w:rsid w:val="00AC171B"/>
    <w:rsid w:val="00AC627E"/>
    <w:rsid w:val="00AD0161"/>
    <w:rsid w:val="00AD2FD8"/>
    <w:rsid w:val="00AD5296"/>
    <w:rsid w:val="00AE193F"/>
    <w:rsid w:val="00AE26CF"/>
    <w:rsid w:val="00AE3159"/>
    <w:rsid w:val="00AF0CEE"/>
    <w:rsid w:val="00AF6E13"/>
    <w:rsid w:val="00B0092F"/>
    <w:rsid w:val="00B0172C"/>
    <w:rsid w:val="00B02DB9"/>
    <w:rsid w:val="00B116E9"/>
    <w:rsid w:val="00B15D49"/>
    <w:rsid w:val="00B23E2A"/>
    <w:rsid w:val="00B2729A"/>
    <w:rsid w:val="00B31B02"/>
    <w:rsid w:val="00B3252A"/>
    <w:rsid w:val="00B37F95"/>
    <w:rsid w:val="00B42545"/>
    <w:rsid w:val="00B42703"/>
    <w:rsid w:val="00B54A47"/>
    <w:rsid w:val="00B64321"/>
    <w:rsid w:val="00B667AD"/>
    <w:rsid w:val="00B7320F"/>
    <w:rsid w:val="00B7449F"/>
    <w:rsid w:val="00B74D85"/>
    <w:rsid w:val="00B76F7C"/>
    <w:rsid w:val="00B84C38"/>
    <w:rsid w:val="00B858B5"/>
    <w:rsid w:val="00B86C00"/>
    <w:rsid w:val="00B91B73"/>
    <w:rsid w:val="00B91D6A"/>
    <w:rsid w:val="00B947F6"/>
    <w:rsid w:val="00BA2D29"/>
    <w:rsid w:val="00BB0EF7"/>
    <w:rsid w:val="00BB2870"/>
    <w:rsid w:val="00BB71A6"/>
    <w:rsid w:val="00BC15CD"/>
    <w:rsid w:val="00BC1C4E"/>
    <w:rsid w:val="00BD4378"/>
    <w:rsid w:val="00BE124B"/>
    <w:rsid w:val="00BE60D8"/>
    <w:rsid w:val="00BF16AA"/>
    <w:rsid w:val="00BF5111"/>
    <w:rsid w:val="00BF526C"/>
    <w:rsid w:val="00C02603"/>
    <w:rsid w:val="00C03062"/>
    <w:rsid w:val="00C03B67"/>
    <w:rsid w:val="00C0414C"/>
    <w:rsid w:val="00C07B92"/>
    <w:rsid w:val="00C1179C"/>
    <w:rsid w:val="00C11F93"/>
    <w:rsid w:val="00C120CE"/>
    <w:rsid w:val="00C15F04"/>
    <w:rsid w:val="00C1650E"/>
    <w:rsid w:val="00C17559"/>
    <w:rsid w:val="00C26F5D"/>
    <w:rsid w:val="00C354B8"/>
    <w:rsid w:val="00C42A04"/>
    <w:rsid w:val="00C46101"/>
    <w:rsid w:val="00C52517"/>
    <w:rsid w:val="00C5595F"/>
    <w:rsid w:val="00C60921"/>
    <w:rsid w:val="00C60F6E"/>
    <w:rsid w:val="00C62936"/>
    <w:rsid w:val="00C653F2"/>
    <w:rsid w:val="00C65D58"/>
    <w:rsid w:val="00C679E6"/>
    <w:rsid w:val="00C76C17"/>
    <w:rsid w:val="00C82C0E"/>
    <w:rsid w:val="00C83CF6"/>
    <w:rsid w:val="00C842D4"/>
    <w:rsid w:val="00C908F9"/>
    <w:rsid w:val="00C97ADB"/>
    <w:rsid w:val="00CA0917"/>
    <w:rsid w:val="00CA1099"/>
    <w:rsid w:val="00CA70B3"/>
    <w:rsid w:val="00CB434E"/>
    <w:rsid w:val="00CB4FC8"/>
    <w:rsid w:val="00CD338B"/>
    <w:rsid w:val="00CD61C0"/>
    <w:rsid w:val="00CE4788"/>
    <w:rsid w:val="00CF3EBC"/>
    <w:rsid w:val="00CF797F"/>
    <w:rsid w:val="00D00D30"/>
    <w:rsid w:val="00D133AC"/>
    <w:rsid w:val="00D16374"/>
    <w:rsid w:val="00D417C2"/>
    <w:rsid w:val="00D422EF"/>
    <w:rsid w:val="00D47760"/>
    <w:rsid w:val="00D533A2"/>
    <w:rsid w:val="00D54562"/>
    <w:rsid w:val="00D55185"/>
    <w:rsid w:val="00D579CB"/>
    <w:rsid w:val="00D60936"/>
    <w:rsid w:val="00D65934"/>
    <w:rsid w:val="00D709EB"/>
    <w:rsid w:val="00D71003"/>
    <w:rsid w:val="00D74714"/>
    <w:rsid w:val="00D75FBB"/>
    <w:rsid w:val="00D82F3F"/>
    <w:rsid w:val="00D921C6"/>
    <w:rsid w:val="00D92384"/>
    <w:rsid w:val="00D958C2"/>
    <w:rsid w:val="00D95C3F"/>
    <w:rsid w:val="00DA11EC"/>
    <w:rsid w:val="00DD2FD5"/>
    <w:rsid w:val="00DD3F5E"/>
    <w:rsid w:val="00DE53BD"/>
    <w:rsid w:val="00DE5604"/>
    <w:rsid w:val="00E04AB5"/>
    <w:rsid w:val="00E11E75"/>
    <w:rsid w:val="00E15F67"/>
    <w:rsid w:val="00E219A4"/>
    <w:rsid w:val="00E23ABC"/>
    <w:rsid w:val="00E31DEF"/>
    <w:rsid w:val="00E41749"/>
    <w:rsid w:val="00E45C4D"/>
    <w:rsid w:val="00E5011E"/>
    <w:rsid w:val="00E50EEA"/>
    <w:rsid w:val="00E52181"/>
    <w:rsid w:val="00E52F58"/>
    <w:rsid w:val="00E53469"/>
    <w:rsid w:val="00E54233"/>
    <w:rsid w:val="00E61403"/>
    <w:rsid w:val="00E6274D"/>
    <w:rsid w:val="00E65805"/>
    <w:rsid w:val="00E7187D"/>
    <w:rsid w:val="00E77E19"/>
    <w:rsid w:val="00E84DF0"/>
    <w:rsid w:val="00E8764A"/>
    <w:rsid w:val="00E94927"/>
    <w:rsid w:val="00E96F2C"/>
    <w:rsid w:val="00EA21D5"/>
    <w:rsid w:val="00EB44FA"/>
    <w:rsid w:val="00EC1CEA"/>
    <w:rsid w:val="00EC26AA"/>
    <w:rsid w:val="00EC473E"/>
    <w:rsid w:val="00EC6018"/>
    <w:rsid w:val="00ED7A53"/>
    <w:rsid w:val="00EE4273"/>
    <w:rsid w:val="00EE691D"/>
    <w:rsid w:val="00EE7533"/>
    <w:rsid w:val="00F0020C"/>
    <w:rsid w:val="00F01013"/>
    <w:rsid w:val="00F02004"/>
    <w:rsid w:val="00F042CB"/>
    <w:rsid w:val="00F04987"/>
    <w:rsid w:val="00F10436"/>
    <w:rsid w:val="00F10B74"/>
    <w:rsid w:val="00F14A41"/>
    <w:rsid w:val="00F166E2"/>
    <w:rsid w:val="00F17386"/>
    <w:rsid w:val="00F21BB4"/>
    <w:rsid w:val="00F23A3D"/>
    <w:rsid w:val="00F26041"/>
    <w:rsid w:val="00F27D8B"/>
    <w:rsid w:val="00F33C1F"/>
    <w:rsid w:val="00F357D8"/>
    <w:rsid w:val="00F370B2"/>
    <w:rsid w:val="00F371BF"/>
    <w:rsid w:val="00F423DA"/>
    <w:rsid w:val="00F42DC5"/>
    <w:rsid w:val="00F47286"/>
    <w:rsid w:val="00F54CCF"/>
    <w:rsid w:val="00F55D22"/>
    <w:rsid w:val="00F60941"/>
    <w:rsid w:val="00F60A20"/>
    <w:rsid w:val="00F65075"/>
    <w:rsid w:val="00F6633A"/>
    <w:rsid w:val="00F70E67"/>
    <w:rsid w:val="00F724D4"/>
    <w:rsid w:val="00F74502"/>
    <w:rsid w:val="00F82E7E"/>
    <w:rsid w:val="00F8412A"/>
    <w:rsid w:val="00F877BB"/>
    <w:rsid w:val="00F938A1"/>
    <w:rsid w:val="00F943F4"/>
    <w:rsid w:val="00F94787"/>
    <w:rsid w:val="00F96885"/>
    <w:rsid w:val="00F97C98"/>
    <w:rsid w:val="00FA6951"/>
    <w:rsid w:val="00FA6E03"/>
    <w:rsid w:val="00FB3C45"/>
    <w:rsid w:val="00FB6903"/>
    <w:rsid w:val="00FC0A95"/>
    <w:rsid w:val="00FC2AE0"/>
    <w:rsid w:val="00FC319B"/>
    <w:rsid w:val="00FC3D9C"/>
    <w:rsid w:val="00FC5664"/>
    <w:rsid w:val="00FC579D"/>
    <w:rsid w:val="00FD3130"/>
    <w:rsid w:val="00FD3D12"/>
    <w:rsid w:val="00FD68A3"/>
    <w:rsid w:val="00FD6CB7"/>
    <w:rsid w:val="00FE0A81"/>
    <w:rsid w:val="00FE14B5"/>
    <w:rsid w:val="00FE2F05"/>
    <w:rsid w:val="00FE5D1A"/>
    <w:rsid w:val="00FE6F4D"/>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styleId="Strong">
    <w:name w:val="Strong"/>
    <w:basedOn w:val="DefaultParagraphFont"/>
    <w:uiPriority w:val="22"/>
    <w:qFormat/>
    <w:rsid w:val="009C1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968</Words>
  <Characters>5345</Characters>
  <Application>Microsoft Office Word</Application>
  <DocSecurity>0</DocSecurity>
  <Lines>102</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Carlos Y. Rosado Cruz</cp:lastModifiedBy>
  <cp:revision>3</cp:revision>
  <cp:lastPrinted>2026-02-19T22:13:00Z</cp:lastPrinted>
  <dcterms:created xsi:type="dcterms:W3CDTF">2026-02-26T20:04:00Z</dcterms:created>
  <dcterms:modified xsi:type="dcterms:W3CDTF">2026-02-26T20:06:00Z</dcterms:modified>
</cp:coreProperties>
</file>