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63E56EEA" w:rsidR="00CB4BCC" w:rsidRPr="000C1572" w:rsidRDefault="00FD5230" w:rsidP="00CB4BCC">
      <w:pPr>
        <w:spacing w:after="0" w:line="240" w:lineRule="auto"/>
        <w:jc w:val="center"/>
        <w:rPr>
          <w:rFonts w:ascii="Book Antiqua" w:eastAsia="Times New Roman" w:hAnsi="Book Antiqua" w:cs="Times New Roman"/>
          <w:spacing w:val="12"/>
          <w:kern w:val="0"/>
          <w:sz w:val="28"/>
          <w:szCs w:val="28"/>
          <w14:ligatures w14:val="none"/>
        </w:rPr>
      </w:pPr>
      <w:r w:rsidRPr="000C1572">
        <w:rPr>
          <w:rFonts w:ascii="Book Antiqua" w:eastAsia="Times New Roman" w:hAnsi="Book Antiqua" w:cs="Times New Roman"/>
          <w:spacing w:val="12"/>
          <w:kern w:val="0"/>
          <w:sz w:val="28"/>
          <w:szCs w:val="28"/>
          <w14:ligatures w14:val="none"/>
        </w:rPr>
        <w:t>GOBIERNO</w:t>
      </w:r>
      <w:r w:rsidR="00CB4BCC" w:rsidRPr="000C1572">
        <w:rPr>
          <w:rFonts w:ascii="Book Antiqua" w:eastAsia="Times New Roman" w:hAnsi="Book Antiqua" w:cs="Times New Roman"/>
          <w:spacing w:val="12"/>
          <w:kern w:val="0"/>
          <w:sz w:val="28"/>
          <w:szCs w:val="28"/>
          <w14:ligatures w14:val="none"/>
        </w:rPr>
        <w:t xml:space="preserve"> DE PUERTO RICO</w:t>
      </w:r>
    </w:p>
    <w:p w14:paraId="7F83C0D6" w14:textId="77777777" w:rsidR="00CB4BCC" w:rsidRPr="000C1572" w:rsidRDefault="00CB4BCC" w:rsidP="00CB4BCC">
      <w:pPr>
        <w:spacing w:after="0" w:line="240" w:lineRule="auto"/>
        <w:jc w:val="center"/>
        <w:rPr>
          <w:rFonts w:ascii="Book Antiqua" w:eastAsia="Times New Roman" w:hAnsi="Book Antiqua" w:cs="Times New Roman"/>
          <w:kern w:val="0"/>
          <w:szCs w:val="20"/>
          <w14:ligatures w14:val="none"/>
        </w:rPr>
      </w:pPr>
    </w:p>
    <w:p w14:paraId="7C89D709" w14:textId="77777777" w:rsidR="00CB4BCC" w:rsidRPr="000C1572" w:rsidRDefault="00CB4BCC" w:rsidP="00CB4BCC">
      <w:pPr>
        <w:spacing w:after="0" w:line="240" w:lineRule="auto"/>
        <w:jc w:val="center"/>
        <w:rPr>
          <w:rFonts w:ascii="Book Antiqua" w:eastAsia="Times New Roman" w:hAnsi="Book Antiqua" w:cs="Times New Roman"/>
          <w:kern w:val="0"/>
          <w:szCs w:val="20"/>
          <w14:ligatures w14:val="none"/>
        </w:rPr>
      </w:pPr>
    </w:p>
    <w:p w14:paraId="4F0B79DE" w14:textId="43CEA493" w:rsidR="00CB4BCC" w:rsidRPr="000C1572"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0C1572">
        <w:rPr>
          <w:rFonts w:ascii="Book Antiqua" w:eastAsia="Times New Roman" w:hAnsi="Book Antiqua" w:cs="Times New Roman"/>
          <w:kern w:val="0"/>
          <w:szCs w:val="20"/>
          <w14:ligatures w14:val="none"/>
        </w:rPr>
        <w:t>20</w:t>
      </w:r>
      <w:r w:rsidRPr="000C1572">
        <w:rPr>
          <w:rFonts w:ascii="Book Antiqua" w:eastAsia="Times New Roman" w:hAnsi="Book Antiqua" w:cs="Times New Roman"/>
          <w:kern w:val="0"/>
          <w:szCs w:val="20"/>
          <w:vertAlign w:val="superscript"/>
          <w14:ligatures w14:val="none"/>
        </w:rPr>
        <w:t>m</w:t>
      </w:r>
      <w:r w:rsidR="00CB4BCC" w:rsidRPr="000C1572">
        <w:rPr>
          <w:rFonts w:ascii="Book Antiqua" w:eastAsia="Times New Roman" w:hAnsi="Book Antiqua" w:cs="Times New Roman"/>
          <w:kern w:val="0"/>
          <w:szCs w:val="20"/>
          <w:vertAlign w:val="superscript"/>
          <w14:ligatures w14:val="none"/>
        </w:rPr>
        <w:t>a.</w:t>
      </w:r>
      <w:r w:rsidR="00CB4BCC" w:rsidRPr="000C1572">
        <w:rPr>
          <w:rFonts w:ascii="Book Antiqua" w:eastAsia="Times New Roman" w:hAnsi="Book Antiqua" w:cs="Times New Roman"/>
          <w:kern w:val="0"/>
          <w:szCs w:val="20"/>
          <w14:ligatures w14:val="none"/>
        </w:rPr>
        <w:tab/>
        <w:t>Asamblea</w:t>
      </w:r>
      <w:r w:rsidR="00CB4BCC" w:rsidRPr="000C1572">
        <w:rPr>
          <w:rFonts w:ascii="Book Antiqua" w:eastAsia="Times New Roman" w:hAnsi="Book Antiqua" w:cs="Times New Roman"/>
          <w:kern w:val="0"/>
          <w:szCs w:val="20"/>
          <w14:ligatures w14:val="none"/>
        </w:rPr>
        <w:tab/>
      </w:r>
      <w:r w:rsidR="003B440F">
        <w:rPr>
          <w:rFonts w:ascii="Book Antiqua" w:eastAsia="Times New Roman" w:hAnsi="Book Antiqua" w:cs="Times New Roman"/>
          <w:kern w:val="0"/>
          <w:szCs w:val="20"/>
          <w14:ligatures w14:val="none"/>
        </w:rPr>
        <w:t>3</w:t>
      </w:r>
      <w:r w:rsidRPr="000C1572">
        <w:rPr>
          <w:rFonts w:ascii="Book Antiqua" w:eastAsia="Times New Roman" w:hAnsi="Book Antiqua" w:cs="Times New Roman"/>
          <w:kern w:val="0"/>
          <w:szCs w:val="20"/>
          <w:vertAlign w:val="superscript"/>
          <w14:ligatures w14:val="none"/>
        </w:rPr>
        <w:t>r</w:t>
      </w:r>
      <w:r w:rsidR="00CB4BCC" w:rsidRPr="000C1572">
        <w:rPr>
          <w:rFonts w:ascii="Book Antiqua" w:eastAsia="Times New Roman" w:hAnsi="Book Antiqua" w:cs="Times New Roman"/>
          <w:kern w:val="0"/>
          <w:szCs w:val="20"/>
          <w:vertAlign w:val="superscript"/>
          <w14:ligatures w14:val="none"/>
        </w:rPr>
        <w:t>a.</w:t>
      </w:r>
      <w:r w:rsidR="00CB4BCC" w:rsidRPr="000C1572">
        <w:rPr>
          <w:rFonts w:ascii="Book Antiqua" w:eastAsia="Times New Roman" w:hAnsi="Book Antiqua" w:cs="Times New Roman"/>
          <w:kern w:val="0"/>
          <w:szCs w:val="20"/>
          <w14:ligatures w14:val="none"/>
        </w:rPr>
        <w:tab/>
        <w:t>Sesión</w:t>
      </w:r>
    </w:p>
    <w:p w14:paraId="064F0E65" w14:textId="77777777" w:rsidR="00CB4BCC" w:rsidRPr="000C1572"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0C1572">
        <w:rPr>
          <w:rFonts w:ascii="Book Antiqua" w:eastAsia="Times New Roman" w:hAnsi="Book Antiqua" w:cs="Times New Roman"/>
          <w:kern w:val="0"/>
          <w:szCs w:val="20"/>
          <w14:ligatures w14:val="none"/>
        </w:rPr>
        <w:tab/>
        <w:t>Legislativa</w:t>
      </w:r>
      <w:r w:rsidRPr="000C1572">
        <w:rPr>
          <w:rFonts w:ascii="Book Antiqua" w:eastAsia="Times New Roman" w:hAnsi="Book Antiqua" w:cs="Times New Roman"/>
          <w:kern w:val="0"/>
          <w:szCs w:val="20"/>
          <w14:ligatures w14:val="none"/>
        </w:rPr>
        <w:tab/>
      </w:r>
      <w:r w:rsidRPr="000C1572">
        <w:rPr>
          <w:rFonts w:ascii="Book Antiqua" w:eastAsia="Times New Roman" w:hAnsi="Book Antiqua" w:cs="Times New Roman"/>
          <w:kern w:val="0"/>
          <w:szCs w:val="20"/>
          <w14:ligatures w14:val="none"/>
        </w:rPr>
        <w:tab/>
        <w:t>Ordinaria</w:t>
      </w:r>
    </w:p>
    <w:p w14:paraId="21E7FCE1" w14:textId="77777777" w:rsidR="00CB4BCC" w:rsidRPr="000C1572" w:rsidRDefault="00CB4BCC" w:rsidP="00CB4BCC">
      <w:pPr>
        <w:spacing w:after="0" w:line="240" w:lineRule="auto"/>
        <w:rPr>
          <w:rFonts w:ascii="Book Antiqua" w:eastAsia="Times New Roman" w:hAnsi="Book Antiqua" w:cs="Times New Roman"/>
          <w:kern w:val="0"/>
          <w:szCs w:val="20"/>
          <w14:ligatures w14:val="none"/>
        </w:rPr>
      </w:pPr>
    </w:p>
    <w:p w14:paraId="2CE4B615" w14:textId="77777777" w:rsidR="00101518" w:rsidRPr="000C1572" w:rsidRDefault="00101518" w:rsidP="00CB4BCC">
      <w:pPr>
        <w:spacing w:after="0" w:line="240" w:lineRule="auto"/>
        <w:rPr>
          <w:rFonts w:ascii="Book Antiqua" w:eastAsia="Times New Roman" w:hAnsi="Book Antiqua" w:cs="Times New Roman"/>
          <w:kern w:val="0"/>
          <w:szCs w:val="20"/>
          <w14:ligatures w14:val="none"/>
        </w:rPr>
      </w:pPr>
    </w:p>
    <w:p w14:paraId="5BDD0274" w14:textId="3D671E92" w:rsidR="00CB4BCC" w:rsidRPr="000C1572" w:rsidRDefault="00101518" w:rsidP="00CB4BCC">
      <w:pPr>
        <w:spacing w:after="0" w:line="240" w:lineRule="auto"/>
        <w:jc w:val="center"/>
        <w:rPr>
          <w:rFonts w:ascii="Book Antiqua" w:eastAsia="Times New Roman" w:hAnsi="Book Antiqua" w:cs="Times New Roman"/>
          <w:b/>
          <w:spacing w:val="12"/>
          <w:kern w:val="0"/>
          <w:sz w:val="36"/>
          <w:szCs w:val="20"/>
          <w14:ligatures w14:val="none"/>
        </w:rPr>
      </w:pPr>
      <w:r w:rsidRPr="000C1572">
        <w:rPr>
          <w:rFonts w:ascii="Book Antiqua" w:eastAsia="Times New Roman" w:hAnsi="Book Antiqua" w:cs="Times New Roman"/>
          <w:b/>
          <w:spacing w:val="12"/>
          <w:kern w:val="0"/>
          <w:sz w:val="36"/>
          <w:szCs w:val="20"/>
          <w14:ligatures w14:val="none"/>
        </w:rPr>
        <w:t>CÁMARA DE REPRESENTANTES</w:t>
      </w:r>
    </w:p>
    <w:p w14:paraId="48B3F741" w14:textId="77777777" w:rsidR="00CB4BCC" w:rsidRPr="000C1572" w:rsidRDefault="00CB4BCC" w:rsidP="00CB4BCC">
      <w:pPr>
        <w:spacing w:after="0" w:line="240" w:lineRule="auto"/>
        <w:jc w:val="center"/>
        <w:rPr>
          <w:rFonts w:ascii="Book Antiqua" w:eastAsia="Times New Roman" w:hAnsi="Book Antiqua" w:cs="Times New Roman"/>
          <w:b/>
          <w:kern w:val="0"/>
          <w14:ligatures w14:val="none"/>
        </w:rPr>
      </w:pPr>
    </w:p>
    <w:p w14:paraId="3B214DA8" w14:textId="40CEC68B" w:rsidR="00CB4BCC" w:rsidRPr="000C1572" w:rsidRDefault="004D661C" w:rsidP="00CB4BCC">
      <w:pPr>
        <w:spacing w:after="0" w:line="240" w:lineRule="auto"/>
        <w:jc w:val="center"/>
        <w:rPr>
          <w:rFonts w:ascii="Book Antiqua" w:eastAsia="Times New Roman" w:hAnsi="Book Antiqua" w:cs="Times New Roman"/>
          <w:b/>
          <w:kern w:val="0"/>
          <w:sz w:val="52"/>
          <w:szCs w:val="20"/>
          <w14:ligatures w14:val="none"/>
        </w:rPr>
      </w:pPr>
      <w:r>
        <w:rPr>
          <w:rFonts w:ascii="Book Antiqua" w:eastAsia="Times New Roman" w:hAnsi="Book Antiqua" w:cs="Times New Roman"/>
          <w:b/>
          <w:kern w:val="0"/>
          <w:sz w:val="52"/>
          <w:szCs w:val="20"/>
          <w14:ligatures w14:val="none"/>
        </w:rPr>
        <w:t>P. del S. 770</w:t>
      </w:r>
    </w:p>
    <w:p w14:paraId="5C12BC4A" w14:textId="77777777" w:rsidR="009B217F" w:rsidRPr="000C1572" w:rsidRDefault="009B217F" w:rsidP="00CB4BCC">
      <w:pPr>
        <w:spacing w:after="0" w:line="240" w:lineRule="auto"/>
        <w:jc w:val="center"/>
        <w:rPr>
          <w:rFonts w:ascii="Book Antiqua" w:eastAsia="Calibri" w:hAnsi="Book Antiqua" w:cs="Times New Roman"/>
          <w:b/>
          <w:bCs/>
          <w:kern w:val="0"/>
          <w:sz w:val="28"/>
          <w:szCs w:val="28"/>
          <w14:ligatures w14:val="none"/>
        </w:rPr>
      </w:pPr>
    </w:p>
    <w:p w14:paraId="07AD0618" w14:textId="5FB49D16" w:rsidR="00CB4BCC" w:rsidRPr="000C1572" w:rsidRDefault="00B75823" w:rsidP="00CB4BCC">
      <w:pPr>
        <w:spacing w:after="0" w:line="240" w:lineRule="auto"/>
        <w:jc w:val="center"/>
        <w:rPr>
          <w:rFonts w:ascii="Book Antiqua" w:eastAsia="Calibri" w:hAnsi="Book Antiqua" w:cs="Times New Roman"/>
          <w:b/>
          <w:bCs/>
          <w:spacing w:val="12"/>
          <w:kern w:val="0"/>
          <w:sz w:val="28"/>
          <w:szCs w:val="28"/>
          <w14:ligatures w14:val="none"/>
        </w:rPr>
      </w:pPr>
      <w:r>
        <w:rPr>
          <w:rFonts w:ascii="Book Antiqua" w:eastAsia="Calibri" w:hAnsi="Book Antiqua" w:cs="Times New Roman"/>
          <w:b/>
          <w:bCs/>
          <w:spacing w:val="12"/>
          <w:kern w:val="0"/>
          <w:sz w:val="28"/>
          <w:szCs w:val="28"/>
          <w14:ligatures w14:val="none"/>
        </w:rPr>
        <w:t xml:space="preserve">SEGUNDO </w:t>
      </w:r>
      <w:r w:rsidR="009B217F" w:rsidRPr="000C1572">
        <w:rPr>
          <w:rFonts w:ascii="Book Antiqua" w:eastAsia="Calibri" w:hAnsi="Book Antiqua" w:cs="Times New Roman"/>
          <w:b/>
          <w:bCs/>
          <w:spacing w:val="12"/>
          <w:kern w:val="0"/>
          <w:sz w:val="28"/>
          <w:szCs w:val="28"/>
          <w14:ligatures w14:val="none"/>
        </w:rPr>
        <w:t>INFORME</w:t>
      </w:r>
      <w:r w:rsidR="004E696C" w:rsidRPr="000C1572">
        <w:rPr>
          <w:rFonts w:ascii="Book Antiqua" w:eastAsia="Calibri" w:hAnsi="Book Antiqua" w:cs="Times New Roman"/>
          <w:b/>
          <w:bCs/>
          <w:spacing w:val="12"/>
          <w:kern w:val="0"/>
          <w:sz w:val="28"/>
          <w:szCs w:val="28"/>
          <w14:ligatures w14:val="none"/>
        </w:rPr>
        <w:t xml:space="preserve"> POSITIVO</w:t>
      </w:r>
    </w:p>
    <w:p w14:paraId="13CF74F4" w14:textId="77777777" w:rsidR="00CB4BCC" w:rsidRPr="000C1572" w:rsidRDefault="00CB4BCC" w:rsidP="00CB4BCC">
      <w:pPr>
        <w:spacing w:after="0" w:line="240" w:lineRule="auto"/>
        <w:jc w:val="center"/>
        <w:rPr>
          <w:rFonts w:ascii="Book Antiqua" w:eastAsia="Calibri" w:hAnsi="Book Antiqua" w:cs="Times New Roman"/>
          <w:b/>
          <w:bCs/>
          <w:kern w:val="0"/>
          <w:sz w:val="28"/>
          <w:szCs w:val="28"/>
          <w14:ligatures w14:val="none"/>
        </w:rPr>
      </w:pPr>
    </w:p>
    <w:p w14:paraId="18C66AE4" w14:textId="2FBC63E3" w:rsidR="00CB4BCC" w:rsidRPr="000C1572" w:rsidRDefault="00101F54" w:rsidP="00101F54">
      <w:pPr>
        <w:tabs>
          <w:tab w:val="left" w:pos="1615"/>
          <w:tab w:val="center" w:pos="4680"/>
        </w:tabs>
        <w:spacing w:after="0" w:line="240" w:lineRule="auto"/>
        <w:rPr>
          <w:rFonts w:ascii="Book Antiqua" w:eastAsia="Calibri" w:hAnsi="Book Antiqua" w:cs="Times New Roman"/>
          <w:kern w:val="0"/>
          <w14:ligatures w14:val="none"/>
        </w:rPr>
      </w:pPr>
      <w:r>
        <w:rPr>
          <w:rFonts w:ascii="Book Antiqua" w:eastAsia="Calibri" w:hAnsi="Book Antiqua" w:cs="Times New Roman"/>
          <w:kern w:val="0"/>
          <w14:ligatures w14:val="none"/>
        </w:rPr>
        <w:tab/>
      </w:r>
      <w:r>
        <w:rPr>
          <w:rFonts w:ascii="Book Antiqua" w:eastAsia="Calibri" w:hAnsi="Book Antiqua" w:cs="Times New Roman"/>
          <w:kern w:val="0"/>
          <w14:ligatures w14:val="none"/>
        </w:rPr>
        <w:tab/>
      </w:r>
      <w:r w:rsidR="00B70C2E">
        <w:rPr>
          <w:rFonts w:ascii="Book Antiqua" w:eastAsia="Calibri" w:hAnsi="Book Antiqua" w:cs="Times New Roman"/>
          <w:kern w:val="0"/>
          <w14:ligatures w14:val="none"/>
        </w:rPr>
        <w:t>17</w:t>
      </w:r>
      <w:r w:rsidR="00A81845" w:rsidRPr="000C1572">
        <w:rPr>
          <w:rFonts w:ascii="Book Antiqua" w:eastAsia="Calibri" w:hAnsi="Book Antiqua" w:cs="Times New Roman"/>
          <w:kern w:val="0"/>
          <w14:ligatures w14:val="none"/>
        </w:rPr>
        <w:t xml:space="preserve"> DE</w:t>
      </w:r>
      <w:r w:rsidR="00A81845">
        <w:rPr>
          <w:rFonts w:ascii="Book Antiqua" w:eastAsia="Calibri" w:hAnsi="Book Antiqua" w:cs="Times New Roman"/>
          <w:kern w:val="0"/>
          <w14:ligatures w14:val="none"/>
        </w:rPr>
        <w:t xml:space="preserve"> ABRIL </w:t>
      </w:r>
      <w:r w:rsidR="00A81845" w:rsidRPr="000C1572">
        <w:rPr>
          <w:rFonts w:ascii="Book Antiqua" w:eastAsia="Calibri" w:hAnsi="Book Antiqua" w:cs="Times New Roman"/>
          <w:kern w:val="0"/>
          <w14:ligatures w14:val="none"/>
        </w:rPr>
        <w:t>DE 202</w:t>
      </w:r>
      <w:r w:rsidR="00A81845">
        <w:rPr>
          <w:rFonts w:ascii="Book Antiqua" w:eastAsia="Calibri" w:hAnsi="Book Antiqua" w:cs="Times New Roman"/>
          <w:kern w:val="0"/>
          <w14:ligatures w14:val="none"/>
        </w:rPr>
        <w:t>6</w:t>
      </w:r>
    </w:p>
    <w:p w14:paraId="042A8F4B" w14:textId="77777777" w:rsidR="00101518" w:rsidRPr="000C1572" w:rsidRDefault="00101518" w:rsidP="00CB4BCC">
      <w:pPr>
        <w:spacing w:after="0" w:line="360" w:lineRule="auto"/>
        <w:jc w:val="center"/>
        <w:rPr>
          <w:rFonts w:ascii="Book Antiqua" w:eastAsia="Calibri" w:hAnsi="Book Antiqua" w:cs="Times New Roman"/>
          <w:b/>
          <w:bCs/>
          <w:kern w:val="0"/>
          <w:sz w:val="28"/>
          <w:szCs w:val="28"/>
          <w14:ligatures w14:val="none"/>
        </w:rPr>
      </w:pPr>
    </w:p>
    <w:p w14:paraId="624ADA67" w14:textId="6CA982BF" w:rsidR="000743E5" w:rsidRPr="000C1572" w:rsidRDefault="00CB4BCC" w:rsidP="00CB4BCC">
      <w:pPr>
        <w:spacing w:after="0" w:line="360" w:lineRule="auto"/>
        <w:jc w:val="both"/>
        <w:rPr>
          <w:rFonts w:ascii="Book Antiqua" w:eastAsia="Calibri" w:hAnsi="Book Antiqua" w:cs="Times New Roman"/>
          <w:b/>
          <w:bCs/>
          <w:spacing w:val="12"/>
          <w:kern w:val="0"/>
          <w14:ligatures w14:val="none"/>
        </w:rPr>
      </w:pPr>
      <w:r w:rsidRPr="000C1572">
        <w:rPr>
          <w:rFonts w:ascii="Book Antiqua" w:eastAsia="Calibri" w:hAnsi="Book Antiqua" w:cs="Times New Roman"/>
          <w:b/>
          <w:bCs/>
          <w:spacing w:val="12"/>
          <w:kern w:val="0"/>
          <w14:ligatures w14:val="none"/>
        </w:rPr>
        <w:t>A</w:t>
      </w:r>
      <w:r w:rsidR="00101518" w:rsidRPr="000C1572">
        <w:rPr>
          <w:rFonts w:ascii="Book Antiqua" w:eastAsia="Calibri" w:hAnsi="Book Antiqua" w:cs="Times New Roman"/>
          <w:b/>
          <w:bCs/>
          <w:spacing w:val="12"/>
          <w:kern w:val="0"/>
          <w14:ligatures w14:val="none"/>
        </w:rPr>
        <w:t xml:space="preserve"> </w:t>
      </w:r>
      <w:r w:rsidRPr="000C1572">
        <w:rPr>
          <w:rFonts w:ascii="Book Antiqua" w:eastAsia="Calibri" w:hAnsi="Book Antiqua" w:cs="Times New Roman"/>
          <w:b/>
          <w:bCs/>
          <w:spacing w:val="12"/>
          <w:kern w:val="0"/>
          <w14:ligatures w14:val="none"/>
        </w:rPr>
        <w:t>L</w:t>
      </w:r>
      <w:r w:rsidR="00101518" w:rsidRPr="000C1572">
        <w:rPr>
          <w:rFonts w:ascii="Book Antiqua" w:eastAsia="Calibri" w:hAnsi="Book Antiqua" w:cs="Times New Roman"/>
          <w:b/>
          <w:bCs/>
          <w:spacing w:val="12"/>
          <w:kern w:val="0"/>
          <w14:ligatures w14:val="none"/>
        </w:rPr>
        <w:t xml:space="preserve">A CÁMARA DE REPRESENTANTES </w:t>
      </w:r>
      <w:r w:rsidRPr="000C1572">
        <w:rPr>
          <w:rFonts w:ascii="Book Antiqua" w:eastAsia="Calibri" w:hAnsi="Book Antiqua" w:cs="Times New Roman"/>
          <w:b/>
          <w:bCs/>
          <w:spacing w:val="12"/>
          <w:kern w:val="0"/>
          <w14:ligatures w14:val="none"/>
        </w:rPr>
        <w:t>DE PUERTO RICO:</w:t>
      </w:r>
    </w:p>
    <w:p w14:paraId="68CA0140" w14:textId="0142C059" w:rsidR="00E242D8" w:rsidRPr="000C1572" w:rsidRDefault="006C3629" w:rsidP="00611FCD">
      <w:pPr>
        <w:spacing w:after="0" w:line="360" w:lineRule="auto"/>
        <w:ind w:firstLine="706"/>
        <w:jc w:val="both"/>
        <w:rPr>
          <w:rFonts w:ascii="Book Antiqua" w:eastAsia="Calibri" w:hAnsi="Book Antiqua" w:cs="Times New Roman"/>
          <w:kern w:val="0"/>
          <w14:ligatures w14:val="none"/>
        </w:rPr>
      </w:pPr>
      <w:r w:rsidRPr="000C1572">
        <w:rPr>
          <w:rFonts w:ascii="Book Antiqua" w:eastAsia="Calibri" w:hAnsi="Book Antiqua" w:cs="Times New Roman"/>
          <w:kern w:val="0"/>
          <w14:ligatures w14:val="none"/>
        </w:rPr>
        <w:t>P</w:t>
      </w:r>
      <w:r w:rsidR="00CB4BCC" w:rsidRPr="000C1572">
        <w:rPr>
          <w:rFonts w:ascii="Book Antiqua" w:eastAsia="Calibri" w:hAnsi="Book Antiqua" w:cs="Times New Roman"/>
          <w:kern w:val="0"/>
          <w14:ligatures w14:val="none"/>
        </w:rPr>
        <w:t>revi</w:t>
      </w:r>
      <w:r w:rsidR="00B41268" w:rsidRPr="000C1572">
        <w:rPr>
          <w:rFonts w:ascii="Book Antiqua" w:eastAsia="Calibri" w:hAnsi="Book Antiqua" w:cs="Times New Roman"/>
          <w:kern w:val="0"/>
          <w14:ligatures w14:val="none"/>
        </w:rPr>
        <w:t>a</w:t>
      </w:r>
      <w:r w:rsidR="00CB4BCC" w:rsidRPr="000C1572">
        <w:rPr>
          <w:rFonts w:ascii="Book Antiqua" w:eastAsia="Calibri" w:hAnsi="Book Antiqua" w:cs="Times New Roman"/>
          <w:kern w:val="0"/>
          <w14:ligatures w14:val="none"/>
        </w:rPr>
        <w:t xml:space="preserve"> consideración y evaluación</w:t>
      </w:r>
      <w:r w:rsidR="00CC270A" w:rsidRPr="000C1572">
        <w:rPr>
          <w:rFonts w:ascii="Book Antiqua" w:eastAsia="Calibri" w:hAnsi="Book Antiqua" w:cs="Times New Roman"/>
          <w:kern w:val="0"/>
          <w14:ligatures w14:val="none"/>
        </w:rPr>
        <w:t xml:space="preserve"> del </w:t>
      </w:r>
      <w:r w:rsidR="005952BF">
        <w:rPr>
          <w:rFonts w:ascii="Book Antiqua" w:eastAsia="Calibri" w:hAnsi="Book Antiqua" w:cs="Times New Roman"/>
          <w:kern w:val="0"/>
          <w14:ligatures w14:val="none"/>
        </w:rPr>
        <w:t>Proyecto del Senado</w:t>
      </w:r>
      <w:r w:rsidR="002E44AD" w:rsidRPr="000C1572">
        <w:rPr>
          <w:rFonts w:ascii="Book Antiqua" w:eastAsia="Calibri" w:hAnsi="Book Antiqua" w:cs="Times New Roman"/>
          <w:kern w:val="0"/>
          <w14:ligatures w14:val="none"/>
        </w:rPr>
        <w:t xml:space="preserve"> </w:t>
      </w:r>
      <w:r w:rsidR="0053673E">
        <w:rPr>
          <w:rFonts w:ascii="Book Antiqua" w:eastAsia="Calibri" w:hAnsi="Book Antiqua" w:cs="Times New Roman"/>
          <w:kern w:val="0"/>
          <w14:ligatures w14:val="none"/>
        </w:rPr>
        <w:t>770</w:t>
      </w:r>
      <w:r w:rsidR="00611FCD">
        <w:rPr>
          <w:rFonts w:ascii="Book Antiqua" w:eastAsia="Calibri" w:hAnsi="Book Antiqua" w:cs="Times New Roman"/>
          <w:kern w:val="0"/>
          <w14:ligatures w14:val="none"/>
        </w:rPr>
        <w:t xml:space="preserve"> (A-079)</w:t>
      </w:r>
      <w:r w:rsidR="0053673E">
        <w:rPr>
          <w:rFonts w:ascii="Book Antiqua" w:eastAsia="Calibri" w:hAnsi="Book Antiqua" w:cs="Times New Roman"/>
          <w:kern w:val="0"/>
          <w14:ligatures w14:val="none"/>
        </w:rPr>
        <w:t xml:space="preserve"> </w:t>
      </w:r>
      <w:r w:rsidR="00171D05" w:rsidRPr="000C1572">
        <w:rPr>
          <w:rFonts w:ascii="Book Antiqua" w:eastAsia="Calibri" w:hAnsi="Book Antiqua" w:cs="Times New Roman"/>
          <w:kern w:val="0"/>
          <w14:ligatures w14:val="none"/>
        </w:rPr>
        <w:t>(</w:t>
      </w:r>
      <w:r w:rsidR="00611FCD">
        <w:rPr>
          <w:rFonts w:ascii="Book Antiqua" w:eastAsia="Calibri" w:hAnsi="Book Antiqua" w:cs="Times New Roman"/>
          <w:kern w:val="0"/>
          <w14:ligatures w14:val="none"/>
        </w:rPr>
        <w:t xml:space="preserve">en adelante, </w:t>
      </w:r>
      <w:r w:rsidR="004D661C">
        <w:rPr>
          <w:rFonts w:ascii="Book Antiqua" w:eastAsia="Calibri" w:hAnsi="Book Antiqua" w:cs="Times New Roman"/>
          <w:kern w:val="0"/>
          <w14:ligatures w14:val="none"/>
        </w:rPr>
        <w:t>P. del S. 770</w:t>
      </w:r>
      <w:r w:rsidR="00171D05" w:rsidRPr="000C1572">
        <w:rPr>
          <w:rFonts w:ascii="Book Antiqua" w:eastAsia="Calibri" w:hAnsi="Book Antiqua" w:cs="Times New Roman"/>
          <w:kern w:val="0"/>
          <w14:ligatures w14:val="none"/>
        </w:rPr>
        <w:t>)</w:t>
      </w:r>
      <w:r w:rsidR="00CB4BCC" w:rsidRPr="000C1572">
        <w:rPr>
          <w:rFonts w:ascii="Book Antiqua" w:eastAsia="Calibri" w:hAnsi="Book Antiqua" w:cs="Times New Roman"/>
          <w:kern w:val="0"/>
          <w14:ligatures w14:val="none"/>
        </w:rPr>
        <w:t xml:space="preserve">, </w:t>
      </w:r>
      <w:r w:rsidRPr="000C1572">
        <w:rPr>
          <w:rFonts w:ascii="Book Antiqua" w:eastAsia="Calibri" w:hAnsi="Book Antiqua" w:cs="Times New Roman"/>
          <w:kern w:val="0"/>
          <w14:ligatures w14:val="none"/>
        </w:rPr>
        <w:t xml:space="preserve">la </w:t>
      </w:r>
      <w:r w:rsidR="00101F54">
        <w:rPr>
          <w:rFonts w:ascii="Book Antiqua" w:eastAsia="Calibri" w:hAnsi="Book Antiqua" w:cs="Times New Roman"/>
          <w:kern w:val="0"/>
          <w14:ligatures w14:val="none"/>
        </w:rPr>
        <w:t>Comisión de Reorganización, Eficiencia y Diligencia</w:t>
      </w:r>
      <w:r w:rsidRPr="000C1572">
        <w:rPr>
          <w:rFonts w:ascii="Book Antiqua" w:eastAsia="Calibri" w:hAnsi="Book Antiqua" w:cs="Times New Roman"/>
          <w:kern w:val="0"/>
          <w14:ligatures w14:val="none"/>
        </w:rPr>
        <w:t xml:space="preserve"> de la Cámara de Representantes de Puerto Rico </w:t>
      </w:r>
      <w:r w:rsidR="00CB4BCC" w:rsidRPr="0053673E">
        <w:rPr>
          <w:rFonts w:ascii="Book Antiqua" w:eastAsia="Calibri" w:hAnsi="Book Antiqua" w:cs="Times New Roman"/>
          <w:b/>
          <w:bCs/>
          <w:kern w:val="0"/>
          <w14:ligatures w14:val="none"/>
        </w:rPr>
        <w:t xml:space="preserve">recomienda </w:t>
      </w:r>
      <w:r w:rsidR="00CC270A" w:rsidRPr="0053673E">
        <w:rPr>
          <w:rFonts w:ascii="Book Antiqua" w:eastAsia="Calibri" w:hAnsi="Book Antiqua" w:cs="Times New Roman"/>
          <w:b/>
          <w:bCs/>
          <w:kern w:val="0"/>
          <w14:ligatures w14:val="none"/>
        </w:rPr>
        <w:t>su</w:t>
      </w:r>
      <w:r w:rsidR="00CB4BCC" w:rsidRPr="0053673E">
        <w:rPr>
          <w:rFonts w:ascii="Book Antiqua" w:eastAsia="Calibri" w:hAnsi="Book Antiqua" w:cs="Times New Roman"/>
          <w:b/>
          <w:bCs/>
          <w:kern w:val="0"/>
          <w14:ligatures w14:val="none"/>
        </w:rPr>
        <w:t xml:space="preserve"> aprobación</w:t>
      </w:r>
      <w:r w:rsidR="00CB4BCC" w:rsidRPr="0053673E">
        <w:rPr>
          <w:rFonts w:ascii="Book Antiqua" w:eastAsia="Calibri" w:hAnsi="Book Antiqua" w:cs="Times New Roman"/>
          <w:b/>
          <w:bCs/>
          <w:i/>
          <w:iCs/>
          <w:kern w:val="0"/>
          <w14:ligatures w14:val="none"/>
        </w:rPr>
        <w:t xml:space="preserve"> </w:t>
      </w:r>
      <w:r w:rsidR="00A81845">
        <w:rPr>
          <w:rFonts w:ascii="Book Antiqua" w:hAnsi="Book Antiqua"/>
        </w:rPr>
        <w:t>según remitido por el Senado de Puerto Rico a este Cuerpo Legislativo, sin enmiendas.</w:t>
      </w:r>
    </w:p>
    <w:p w14:paraId="083C6F99" w14:textId="66606D1A" w:rsidR="00D93876" w:rsidRPr="000C1572" w:rsidRDefault="00A81845" w:rsidP="00BB61EE">
      <w:pPr>
        <w:spacing w:before="240" w:line="360" w:lineRule="auto"/>
        <w:jc w:val="center"/>
        <w:rPr>
          <w:rFonts w:ascii="Book Antiqua" w:eastAsia="Calibri" w:hAnsi="Book Antiqua" w:cs="Times New Roman"/>
          <w:b/>
          <w:bCs/>
          <w:spacing w:val="12"/>
          <w:kern w:val="0"/>
          <w14:ligatures w14:val="none"/>
        </w:rPr>
      </w:pPr>
      <w:r>
        <w:rPr>
          <w:rFonts w:ascii="Book Antiqua" w:eastAsia="Calibri" w:hAnsi="Book Antiqua" w:cs="Times New Roman"/>
          <w:b/>
          <w:bCs/>
          <w:spacing w:val="12"/>
          <w:kern w:val="0"/>
          <w14:ligatures w14:val="none"/>
        </w:rPr>
        <w:t>INTRODUCCIÓN</w:t>
      </w:r>
    </w:p>
    <w:p w14:paraId="76DD2FA4" w14:textId="293D014D" w:rsidR="0053157F" w:rsidRPr="0053157F" w:rsidRDefault="000B13D7" w:rsidP="0053157F">
      <w:pPr>
        <w:spacing w:before="240" w:line="360" w:lineRule="auto"/>
        <w:ind w:firstLine="708"/>
        <w:jc w:val="both"/>
        <w:rPr>
          <w:rFonts w:ascii="Book Antiqua" w:eastAsia="Times New Roman" w:hAnsi="Book Antiqua" w:cs="Arial"/>
          <w:kern w:val="0"/>
          <w14:ligatures w14:val="none"/>
        </w:rPr>
      </w:pPr>
      <w:r w:rsidRPr="000C1572">
        <w:rPr>
          <w:rFonts w:ascii="Book Antiqua" w:eastAsia="Times New Roman" w:hAnsi="Book Antiqua" w:cs="Arial"/>
          <w:kern w:val="0"/>
          <w14:ligatures w14:val="none"/>
        </w:rPr>
        <w:t xml:space="preserve">El </w:t>
      </w:r>
      <w:r w:rsidR="005952BF" w:rsidRPr="00B934F1">
        <w:rPr>
          <w:rFonts w:ascii="Book Antiqua" w:eastAsia="Times New Roman" w:hAnsi="Book Antiqua" w:cs="Arial"/>
          <w:b/>
          <w:bCs/>
          <w:kern w:val="0"/>
          <w14:ligatures w14:val="none"/>
        </w:rPr>
        <w:t xml:space="preserve">Proyecto </w:t>
      </w:r>
      <w:r w:rsidR="0081466A" w:rsidRPr="00B934F1">
        <w:rPr>
          <w:rFonts w:ascii="Book Antiqua" w:eastAsia="Times New Roman" w:hAnsi="Book Antiqua" w:cs="Arial"/>
          <w:b/>
          <w:bCs/>
          <w:kern w:val="0"/>
          <w14:ligatures w14:val="none"/>
        </w:rPr>
        <w:t>del Senado 770</w:t>
      </w:r>
      <w:r w:rsidRPr="00B934F1">
        <w:rPr>
          <w:rFonts w:ascii="Book Antiqua" w:eastAsia="Times New Roman" w:hAnsi="Book Antiqua" w:cs="Arial"/>
          <w:b/>
          <w:bCs/>
          <w:kern w:val="0"/>
          <w14:ligatures w14:val="none"/>
        </w:rPr>
        <w:t xml:space="preserve"> (</w:t>
      </w:r>
      <w:r w:rsidR="004D661C" w:rsidRPr="00B934F1">
        <w:rPr>
          <w:rFonts w:ascii="Book Antiqua" w:eastAsia="Times New Roman" w:hAnsi="Book Antiqua" w:cs="Arial"/>
          <w:b/>
          <w:bCs/>
          <w:kern w:val="0"/>
          <w14:ligatures w14:val="none"/>
        </w:rPr>
        <w:t>P. del S. 770</w:t>
      </w:r>
      <w:r w:rsidRPr="00B934F1">
        <w:rPr>
          <w:rFonts w:ascii="Book Antiqua" w:eastAsia="Times New Roman" w:hAnsi="Book Antiqua" w:cs="Arial"/>
          <w:b/>
          <w:bCs/>
          <w:kern w:val="0"/>
          <w14:ligatures w14:val="none"/>
        </w:rPr>
        <w:t>)</w:t>
      </w:r>
      <w:r w:rsidRPr="000C1572">
        <w:rPr>
          <w:rFonts w:ascii="Book Antiqua" w:eastAsia="Times New Roman" w:hAnsi="Book Antiqua" w:cs="Arial"/>
          <w:kern w:val="0"/>
          <w14:ligatures w14:val="none"/>
        </w:rPr>
        <w:t xml:space="preserve"> propone </w:t>
      </w:r>
      <w:r w:rsidR="008D1760">
        <w:rPr>
          <w:rFonts w:ascii="Book Antiqua" w:eastAsia="Times New Roman" w:hAnsi="Book Antiqua" w:cs="Arial"/>
          <w:kern w:val="0"/>
          <w14:ligatures w14:val="none"/>
        </w:rPr>
        <w:t>derogar la Ley 212-2014, conocida como “Ley de Desarrollo y Preservación del Tren de Arroyo”</w:t>
      </w:r>
      <w:r w:rsidR="0053157F">
        <w:rPr>
          <w:rFonts w:ascii="Book Antiqua" w:eastAsia="Times New Roman" w:hAnsi="Book Antiqua" w:cs="Arial"/>
          <w:kern w:val="0"/>
          <w14:ligatures w14:val="none"/>
        </w:rPr>
        <w:t>.</w:t>
      </w:r>
      <w:r w:rsidR="00B934F1">
        <w:rPr>
          <w:rStyle w:val="FootnoteReference"/>
          <w:rFonts w:ascii="Book Antiqua" w:eastAsia="Times New Roman" w:hAnsi="Book Antiqua" w:cs="Arial"/>
          <w:kern w:val="0"/>
          <w14:ligatures w14:val="none"/>
        </w:rPr>
        <w:footnoteReference w:id="1"/>
      </w:r>
      <w:r w:rsidR="0053157F">
        <w:rPr>
          <w:rFonts w:ascii="Book Antiqua" w:eastAsia="Times New Roman" w:hAnsi="Book Antiqua" w:cs="Arial"/>
          <w:kern w:val="0"/>
          <w14:ligatures w14:val="none"/>
        </w:rPr>
        <w:t xml:space="preserve"> A tales fines, la medida persigue eliminar </w:t>
      </w:r>
      <w:r w:rsidR="0053157F" w:rsidRPr="0053157F">
        <w:rPr>
          <w:rFonts w:ascii="Book Antiqua" w:eastAsia="Times New Roman" w:hAnsi="Book Antiqua" w:cs="Arial"/>
          <w:kern w:val="0"/>
          <w14:ligatures w14:val="none"/>
        </w:rPr>
        <w:t xml:space="preserve">del ordenamiento jurídico el Comité </w:t>
      </w:r>
      <w:proofErr w:type="spellStart"/>
      <w:r w:rsidR="0053157F" w:rsidRPr="0053157F">
        <w:rPr>
          <w:rFonts w:ascii="Book Antiqua" w:eastAsia="Times New Roman" w:hAnsi="Book Antiqua" w:cs="Arial"/>
          <w:kern w:val="0"/>
          <w14:ligatures w14:val="none"/>
        </w:rPr>
        <w:t>Interagencial</w:t>
      </w:r>
      <w:proofErr w:type="spellEnd"/>
      <w:r w:rsidR="0053157F" w:rsidRPr="0053157F">
        <w:rPr>
          <w:rFonts w:ascii="Book Antiqua" w:eastAsia="Times New Roman" w:hAnsi="Book Antiqua" w:cs="Arial"/>
          <w:kern w:val="0"/>
          <w14:ligatures w14:val="none"/>
        </w:rPr>
        <w:t xml:space="preserve"> para el Desarrollo y Preservación del Tren de Arroyo</w:t>
      </w:r>
      <w:r w:rsidR="0053157F">
        <w:rPr>
          <w:rFonts w:ascii="Book Antiqua" w:eastAsia="Times New Roman" w:hAnsi="Book Antiqua" w:cs="Arial"/>
          <w:kern w:val="0"/>
          <w14:ligatures w14:val="none"/>
        </w:rPr>
        <w:t xml:space="preserve"> (Comité)</w:t>
      </w:r>
      <w:r w:rsidR="0053157F" w:rsidRPr="0053157F">
        <w:rPr>
          <w:rFonts w:ascii="Book Antiqua" w:eastAsia="Times New Roman" w:hAnsi="Book Antiqua" w:cs="Arial"/>
          <w:kern w:val="0"/>
          <w14:ligatures w14:val="none"/>
        </w:rPr>
        <w:t>, el cual ha permanecido inactivo desde el año 2015</w:t>
      </w:r>
      <w:r w:rsidR="002A4C30">
        <w:rPr>
          <w:rFonts w:ascii="Book Antiqua" w:eastAsia="Times New Roman" w:hAnsi="Book Antiqua" w:cs="Arial"/>
          <w:kern w:val="0"/>
          <w14:ligatures w14:val="none"/>
        </w:rPr>
        <w:t xml:space="preserve">, </w:t>
      </w:r>
      <w:r w:rsidR="005F5CBE">
        <w:rPr>
          <w:rFonts w:ascii="Book Antiqua" w:eastAsia="Times New Roman" w:hAnsi="Book Antiqua" w:cs="Arial"/>
          <w:kern w:val="0"/>
          <w14:ligatures w14:val="none"/>
        </w:rPr>
        <w:t xml:space="preserve">de </w:t>
      </w:r>
      <w:r w:rsidR="002A4C30">
        <w:rPr>
          <w:rFonts w:ascii="Book Antiqua" w:eastAsia="Times New Roman" w:hAnsi="Book Antiqua" w:cs="Arial"/>
          <w:kern w:val="0"/>
          <w14:ligatures w14:val="none"/>
        </w:rPr>
        <w:t>forma que se</w:t>
      </w:r>
      <w:r w:rsidR="0053157F">
        <w:rPr>
          <w:rFonts w:ascii="Book Antiqua" w:eastAsia="Times New Roman" w:hAnsi="Book Antiqua" w:cs="Arial"/>
          <w:kern w:val="0"/>
          <w14:ligatures w14:val="none"/>
        </w:rPr>
        <w:t xml:space="preserve"> e</w:t>
      </w:r>
      <w:r w:rsidR="0053157F" w:rsidRPr="0053157F">
        <w:rPr>
          <w:rFonts w:ascii="Book Antiqua" w:eastAsia="Times New Roman" w:hAnsi="Book Antiqua" w:cs="Arial"/>
          <w:kern w:val="0"/>
          <w14:ligatures w14:val="none"/>
        </w:rPr>
        <w:t>vit</w:t>
      </w:r>
      <w:r w:rsidR="002A4C30">
        <w:rPr>
          <w:rFonts w:ascii="Book Antiqua" w:eastAsia="Times New Roman" w:hAnsi="Book Antiqua" w:cs="Arial"/>
          <w:kern w:val="0"/>
          <w14:ligatures w14:val="none"/>
        </w:rPr>
        <w:t>e</w:t>
      </w:r>
      <w:r w:rsidR="0053157F" w:rsidRPr="0053157F">
        <w:rPr>
          <w:rFonts w:ascii="Book Antiqua" w:eastAsia="Times New Roman" w:hAnsi="Book Antiqua" w:cs="Arial"/>
          <w:kern w:val="0"/>
          <w14:ligatures w14:val="none"/>
        </w:rPr>
        <w:t xml:space="preserve"> la duplicidad de funciones administrativas entre dicho Comité y otras entidades gubernamentales con competencia directa en materia de desarrollo económico, turismo y preservación histórica</w:t>
      </w:r>
      <w:r w:rsidR="0053157F">
        <w:rPr>
          <w:rFonts w:ascii="Book Antiqua" w:eastAsia="Times New Roman" w:hAnsi="Book Antiqua" w:cs="Arial"/>
          <w:kern w:val="0"/>
          <w14:ligatures w14:val="none"/>
        </w:rPr>
        <w:t xml:space="preserve">. </w:t>
      </w:r>
      <w:r w:rsidR="0053157F" w:rsidRPr="00550440">
        <w:rPr>
          <w:rFonts w:ascii="Book Antiqua" w:eastAsia="Times New Roman" w:hAnsi="Book Antiqua" w:cs="Arial"/>
          <w:kern w:val="0"/>
          <w14:ligatures w14:val="none"/>
        </w:rPr>
        <w:t xml:space="preserve">Asimismo, la medida busca promover un modelo de gobernanza ágil, eficiente y libre de estructuras burocráticas en </w:t>
      </w:r>
      <w:r w:rsidR="0053157F" w:rsidRPr="00550440">
        <w:rPr>
          <w:rFonts w:ascii="Book Antiqua" w:eastAsia="Times New Roman" w:hAnsi="Book Antiqua" w:cs="Arial"/>
          <w:kern w:val="0"/>
          <w14:ligatures w14:val="none"/>
        </w:rPr>
        <w:lastRenderedPageBreak/>
        <w:t xml:space="preserve">desuso, y reafirmar la política pública de optimización de recursos gubernamentales, mediante la consolidación de funciones en agencias </w:t>
      </w:r>
      <w:r w:rsidR="00550440" w:rsidRPr="00550440">
        <w:rPr>
          <w:rFonts w:ascii="Book Antiqua" w:eastAsia="Times New Roman" w:hAnsi="Book Antiqua" w:cs="Arial"/>
          <w:kern w:val="0"/>
          <w14:ligatures w14:val="none"/>
        </w:rPr>
        <w:t xml:space="preserve">o entidades </w:t>
      </w:r>
      <w:r w:rsidR="0053157F" w:rsidRPr="00550440">
        <w:rPr>
          <w:rFonts w:ascii="Book Antiqua" w:eastAsia="Times New Roman" w:hAnsi="Book Antiqua" w:cs="Arial"/>
          <w:kern w:val="0"/>
          <w14:ligatures w14:val="none"/>
        </w:rPr>
        <w:t>existentes, tal</w:t>
      </w:r>
      <w:r w:rsidR="004317A5">
        <w:rPr>
          <w:rFonts w:ascii="Book Antiqua" w:eastAsia="Times New Roman" w:hAnsi="Book Antiqua" w:cs="Arial"/>
          <w:kern w:val="0"/>
          <w14:ligatures w14:val="none"/>
        </w:rPr>
        <w:t>es</w:t>
      </w:r>
      <w:r w:rsidR="0053157F" w:rsidRPr="00550440">
        <w:rPr>
          <w:rFonts w:ascii="Book Antiqua" w:eastAsia="Times New Roman" w:hAnsi="Book Antiqua" w:cs="Arial"/>
          <w:kern w:val="0"/>
          <w14:ligatures w14:val="none"/>
        </w:rPr>
        <w:t xml:space="preserve"> como el Municipio de Arroyo, el Instituto de Cultura Puertorriqueña y la Compañía de Turismo.</w:t>
      </w:r>
    </w:p>
    <w:p w14:paraId="6E485E2F" w14:textId="38A969F2" w:rsidR="00B934F1" w:rsidRDefault="006B02FF" w:rsidP="00A81845">
      <w:pPr>
        <w:spacing w:before="240" w:line="360" w:lineRule="auto"/>
        <w:ind w:firstLine="706"/>
        <w:jc w:val="both"/>
        <w:rPr>
          <w:rFonts w:ascii="Book Antiqua" w:hAnsi="Book Antiqua"/>
          <w:shd w:val="clear" w:color="auto" w:fill="FFFFFF"/>
        </w:rPr>
      </w:pPr>
      <w:r w:rsidRPr="000C1572">
        <w:rPr>
          <w:rFonts w:ascii="Book Antiqua" w:hAnsi="Book Antiqua"/>
        </w:rPr>
        <w:t xml:space="preserve">Esta </w:t>
      </w:r>
      <w:r w:rsidR="00101F54">
        <w:rPr>
          <w:rFonts w:ascii="Book Antiqua" w:hAnsi="Book Antiqua"/>
        </w:rPr>
        <w:t>Comisión de Reorganización, Eficiencia y Diligencia</w:t>
      </w:r>
      <w:r w:rsidR="00DE4263" w:rsidRPr="000C1572">
        <w:rPr>
          <w:rFonts w:ascii="Book Antiqua" w:hAnsi="Book Antiqua"/>
        </w:rPr>
        <w:t xml:space="preserve"> recibió</w:t>
      </w:r>
      <w:r w:rsidR="002E44AD" w:rsidRPr="000C1572">
        <w:rPr>
          <w:rFonts w:ascii="Book Antiqua" w:hAnsi="Book Antiqua"/>
        </w:rPr>
        <w:t xml:space="preserve"> y consideró</w:t>
      </w:r>
      <w:r w:rsidR="00DE4263" w:rsidRPr="000C1572">
        <w:rPr>
          <w:rFonts w:ascii="Book Antiqua" w:hAnsi="Book Antiqua"/>
        </w:rPr>
        <w:t xml:space="preserve"> el insumo de distintas entidades </w:t>
      </w:r>
      <w:r w:rsidR="00A31858" w:rsidRPr="000C1572">
        <w:rPr>
          <w:rFonts w:ascii="Book Antiqua" w:hAnsi="Book Antiqua"/>
        </w:rPr>
        <w:t>con relación a</w:t>
      </w:r>
      <w:r w:rsidR="002E44AD" w:rsidRPr="000C1572">
        <w:rPr>
          <w:rFonts w:ascii="Book Antiqua" w:hAnsi="Book Antiqua"/>
        </w:rPr>
        <w:t xml:space="preserve">l presente </w:t>
      </w:r>
      <w:r w:rsidR="004B37F9" w:rsidRPr="000C1572">
        <w:rPr>
          <w:rFonts w:ascii="Book Antiqua" w:hAnsi="Book Antiqua"/>
        </w:rPr>
        <w:t>p</w:t>
      </w:r>
      <w:r w:rsidR="002E44AD" w:rsidRPr="000C1572">
        <w:rPr>
          <w:rFonts w:ascii="Book Antiqua" w:hAnsi="Book Antiqua"/>
        </w:rPr>
        <w:t xml:space="preserve">royecto de </w:t>
      </w:r>
      <w:r w:rsidR="004B37F9" w:rsidRPr="000C1572">
        <w:rPr>
          <w:rFonts w:ascii="Book Antiqua" w:hAnsi="Book Antiqua"/>
        </w:rPr>
        <w:t>l</w:t>
      </w:r>
      <w:r w:rsidR="002E44AD" w:rsidRPr="000C1572">
        <w:rPr>
          <w:rFonts w:ascii="Book Antiqua" w:hAnsi="Book Antiqua"/>
        </w:rPr>
        <w:t>ey</w:t>
      </w:r>
      <w:r w:rsidR="005D07E6">
        <w:rPr>
          <w:rFonts w:ascii="Book Antiqua" w:hAnsi="Book Antiqua"/>
          <w:shd w:val="clear" w:color="auto" w:fill="FFFFFF"/>
        </w:rPr>
        <w:t xml:space="preserve">, al igual que aquellas relacionadas a su homólogo en la Cámara, el P. de la C. 916. </w:t>
      </w:r>
      <w:r w:rsidR="00B934F1">
        <w:rPr>
          <w:rFonts w:ascii="Book Antiqua" w:hAnsi="Book Antiqua"/>
          <w:shd w:val="clear" w:color="auto" w:fill="FFFFFF"/>
        </w:rPr>
        <w:t>Este último también fue evaluado por la CRED.</w:t>
      </w:r>
      <w:r w:rsidR="00DE4263" w:rsidRPr="000C1572">
        <w:rPr>
          <w:rFonts w:ascii="Book Antiqua" w:hAnsi="Book Antiqua"/>
          <w:shd w:val="clear" w:color="auto" w:fill="FFFFFF"/>
        </w:rPr>
        <w:t xml:space="preserve"> Procedemos a resumir los puntos más importantes que fueron evaluados por esta </w:t>
      </w:r>
      <w:r w:rsidR="00FC413A" w:rsidRPr="000C1572">
        <w:rPr>
          <w:rFonts w:ascii="Book Antiqua" w:hAnsi="Book Antiqua"/>
          <w:shd w:val="clear" w:color="auto" w:fill="FFFFFF"/>
        </w:rPr>
        <w:t>C</w:t>
      </w:r>
      <w:r w:rsidR="00DE4263" w:rsidRPr="000C1572">
        <w:rPr>
          <w:rFonts w:ascii="Book Antiqua" w:hAnsi="Book Antiqua"/>
          <w:shd w:val="clear" w:color="auto" w:fill="FFFFFF"/>
        </w:rPr>
        <w:t xml:space="preserve">omisión. </w:t>
      </w:r>
    </w:p>
    <w:p w14:paraId="21F3CCCA" w14:textId="25380993" w:rsidR="00B934F1" w:rsidRPr="00B934F1" w:rsidRDefault="00B934F1" w:rsidP="00B934F1">
      <w:pPr>
        <w:spacing w:before="240" w:line="360" w:lineRule="auto"/>
        <w:jc w:val="center"/>
        <w:rPr>
          <w:rFonts w:ascii="Book Antiqua" w:hAnsi="Book Antiqua"/>
          <w:b/>
          <w:bCs/>
          <w:shd w:val="clear" w:color="auto" w:fill="FFFFFF"/>
        </w:rPr>
      </w:pPr>
      <w:r w:rsidRPr="00B934F1">
        <w:rPr>
          <w:rFonts w:ascii="Book Antiqua" w:hAnsi="Book Antiqua"/>
          <w:b/>
          <w:bCs/>
          <w:shd w:val="clear" w:color="auto" w:fill="FFFFFF"/>
        </w:rPr>
        <w:t>PONENCIAS O MEMORIALES EXPLICATIVOS RECIBIDOS</w:t>
      </w:r>
    </w:p>
    <w:p w14:paraId="0BF037DB" w14:textId="1B4FBFB2" w:rsidR="00B934F1" w:rsidRPr="00B934F1" w:rsidRDefault="00B934F1" w:rsidP="00B934F1">
      <w:pPr>
        <w:pStyle w:val="ListParagraph"/>
        <w:numPr>
          <w:ilvl w:val="0"/>
          <w:numId w:val="9"/>
        </w:numPr>
        <w:spacing w:before="240" w:line="360" w:lineRule="auto"/>
        <w:ind w:left="360"/>
        <w:jc w:val="center"/>
        <w:rPr>
          <w:rFonts w:ascii="Book Antiqua" w:hAnsi="Book Antiqua"/>
          <w:i/>
          <w:iCs/>
          <w:shd w:val="clear" w:color="auto" w:fill="FFFFFF"/>
        </w:rPr>
      </w:pPr>
      <w:r w:rsidRPr="00B934F1">
        <w:rPr>
          <w:rFonts w:ascii="Book Antiqua" w:hAnsi="Book Antiqua"/>
          <w:i/>
          <w:iCs/>
          <w:shd w:val="clear" w:color="auto" w:fill="FFFFFF"/>
        </w:rPr>
        <w:t>Memoriales Explicativos</w:t>
      </w:r>
    </w:p>
    <w:p w14:paraId="6C8FD637" w14:textId="702E7218" w:rsidR="002F7C13" w:rsidRPr="00B934F1" w:rsidRDefault="00DC6E3D" w:rsidP="00B934F1">
      <w:pPr>
        <w:pStyle w:val="ListParagraph"/>
        <w:numPr>
          <w:ilvl w:val="0"/>
          <w:numId w:val="10"/>
        </w:numPr>
        <w:spacing w:before="240" w:line="360" w:lineRule="auto"/>
        <w:ind w:left="360"/>
        <w:jc w:val="center"/>
        <w:rPr>
          <w:rFonts w:ascii="Book Antiqua" w:hAnsi="Book Antiqua"/>
          <w:u w:val="single"/>
        </w:rPr>
      </w:pPr>
      <w:r w:rsidRPr="00B934F1">
        <w:rPr>
          <w:rFonts w:ascii="Book Antiqua" w:hAnsi="Book Antiqua"/>
          <w:u w:val="single"/>
        </w:rPr>
        <w:t>Instituto de Cultura Puertorriqueña</w:t>
      </w:r>
    </w:p>
    <w:p w14:paraId="52234A04" w14:textId="530DFD7C" w:rsidR="009A03B4" w:rsidRDefault="00DC6E3D" w:rsidP="009A03B4">
      <w:pPr>
        <w:spacing w:after="0" w:line="360" w:lineRule="auto"/>
        <w:ind w:firstLine="720"/>
        <w:contextualSpacing/>
        <w:jc w:val="both"/>
        <w:rPr>
          <w:rFonts w:ascii="Book Antiqua" w:eastAsia="Times New Roman" w:hAnsi="Book Antiqua" w:cs="Times New Roman"/>
          <w:bCs/>
          <w:kern w:val="0"/>
          <w14:ligatures w14:val="none"/>
        </w:rPr>
      </w:pPr>
      <w:r w:rsidRPr="00CB1979">
        <w:rPr>
          <w:rFonts w:ascii="Book Antiqua" w:eastAsia="Times New Roman" w:hAnsi="Book Antiqua" w:cs="Times New Roman"/>
          <w:bCs/>
          <w:kern w:val="0"/>
          <w14:ligatures w14:val="none"/>
        </w:rPr>
        <w:t xml:space="preserve">Con relación al P. </w:t>
      </w:r>
      <w:r w:rsidR="000D79AE">
        <w:rPr>
          <w:rFonts w:ascii="Book Antiqua" w:eastAsia="Times New Roman" w:hAnsi="Book Antiqua" w:cs="Times New Roman"/>
          <w:bCs/>
          <w:kern w:val="0"/>
          <w14:ligatures w14:val="none"/>
        </w:rPr>
        <w:t xml:space="preserve">del S. 770, el Instituto de Cultura Puertorriqueño (ICP) </w:t>
      </w:r>
      <w:r w:rsidRPr="00CB1979">
        <w:rPr>
          <w:rFonts w:ascii="Book Antiqua" w:eastAsia="Times New Roman" w:hAnsi="Book Antiqua" w:cs="Times New Roman"/>
          <w:bCs/>
          <w:kern w:val="0"/>
          <w14:ligatures w14:val="none"/>
        </w:rPr>
        <w:t xml:space="preserve">expresó </w:t>
      </w:r>
      <w:r w:rsidR="009A03B4">
        <w:rPr>
          <w:rFonts w:ascii="Book Antiqua" w:eastAsia="Times New Roman" w:hAnsi="Book Antiqua" w:cs="Times New Roman"/>
          <w:bCs/>
          <w:kern w:val="0"/>
          <w14:ligatures w14:val="none"/>
        </w:rPr>
        <w:t>que, si bien desde</w:t>
      </w:r>
      <w:r w:rsidRPr="00CB1979">
        <w:rPr>
          <w:rFonts w:ascii="Book Antiqua" w:eastAsia="Times New Roman" w:hAnsi="Book Antiqua" w:cs="Times New Roman"/>
          <w:bCs/>
          <w:kern w:val="0"/>
          <w14:ligatures w14:val="none"/>
        </w:rPr>
        <w:t xml:space="preserve"> una perspectiva cultural, el ICP reconoce el valor histórico que representa el Tren del Sur, particularmente </w:t>
      </w:r>
      <w:r w:rsidR="000D79AE">
        <w:rPr>
          <w:rFonts w:ascii="Book Antiqua" w:eastAsia="Times New Roman" w:hAnsi="Book Antiqua" w:cs="Times New Roman"/>
          <w:bCs/>
          <w:kern w:val="0"/>
          <w14:ligatures w14:val="none"/>
        </w:rPr>
        <w:t xml:space="preserve">para </w:t>
      </w:r>
      <w:r w:rsidRPr="00CB1979">
        <w:rPr>
          <w:rFonts w:ascii="Book Antiqua" w:eastAsia="Times New Roman" w:hAnsi="Book Antiqua" w:cs="Times New Roman"/>
          <w:bCs/>
          <w:kern w:val="0"/>
          <w14:ligatures w14:val="none"/>
        </w:rPr>
        <w:t>el Municipio de Arroyo</w:t>
      </w:r>
      <w:r w:rsidR="009A03B4">
        <w:rPr>
          <w:rFonts w:ascii="Book Antiqua" w:eastAsia="Times New Roman" w:hAnsi="Book Antiqua" w:cs="Times New Roman"/>
          <w:bCs/>
          <w:kern w:val="0"/>
          <w14:ligatures w14:val="none"/>
        </w:rPr>
        <w:t xml:space="preserve">, </w:t>
      </w:r>
      <w:r w:rsidR="005F5CBE">
        <w:rPr>
          <w:rFonts w:ascii="Book Antiqua" w:eastAsia="Times New Roman" w:hAnsi="Book Antiqua" w:cs="Times New Roman"/>
          <w:bCs/>
          <w:kern w:val="0"/>
          <w14:ligatures w14:val="none"/>
        </w:rPr>
        <w:t>la agencia</w:t>
      </w:r>
      <w:r w:rsidRPr="00CB1979">
        <w:rPr>
          <w:rFonts w:ascii="Book Antiqua" w:eastAsia="Times New Roman" w:hAnsi="Book Antiqua" w:cs="Times New Roman"/>
          <w:bCs/>
          <w:kern w:val="0"/>
          <w14:ligatures w14:val="none"/>
        </w:rPr>
        <w:t xml:space="preserve"> ent</w:t>
      </w:r>
      <w:r w:rsidR="009A03B4">
        <w:rPr>
          <w:rFonts w:ascii="Book Antiqua" w:eastAsia="Times New Roman" w:hAnsi="Book Antiqua" w:cs="Times New Roman"/>
          <w:bCs/>
          <w:kern w:val="0"/>
          <w14:ligatures w14:val="none"/>
        </w:rPr>
        <w:t>ien</w:t>
      </w:r>
      <w:r w:rsidR="000D79AE">
        <w:rPr>
          <w:rFonts w:ascii="Book Antiqua" w:eastAsia="Times New Roman" w:hAnsi="Book Antiqua" w:cs="Times New Roman"/>
          <w:bCs/>
          <w:kern w:val="0"/>
          <w14:ligatures w14:val="none"/>
        </w:rPr>
        <w:t>de</w:t>
      </w:r>
      <w:r w:rsidRPr="00CB1979">
        <w:rPr>
          <w:rFonts w:ascii="Book Antiqua" w:eastAsia="Times New Roman" w:hAnsi="Book Antiqua" w:cs="Times New Roman"/>
          <w:bCs/>
          <w:kern w:val="0"/>
          <w14:ligatures w14:val="none"/>
        </w:rPr>
        <w:t xml:space="preserve"> </w:t>
      </w:r>
      <w:r w:rsidR="000D79AE">
        <w:rPr>
          <w:rFonts w:ascii="Book Antiqua" w:eastAsia="Times New Roman" w:hAnsi="Book Antiqua" w:cs="Times New Roman"/>
          <w:bCs/>
          <w:kern w:val="0"/>
          <w14:ligatures w14:val="none"/>
        </w:rPr>
        <w:t xml:space="preserve">que </w:t>
      </w:r>
      <w:r w:rsidR="005F5CBE">
        <w:rPr>
          <w:rFonts w:ascii="Book Antiqua" w:eastAsia="Times New Roman" w:hAnsi="Book Antiqua" w:cs="Times New Roman"/>
          <w:bCs/>
          <w:kern w:val="0"/>
          <w14:ligatures w14:val="none"/>
        </w:rPr>
        <w:t xml:space="preserve">con </w:t>
      </w:r>
      <w:r w:rsidR="000D79AE">
        <w:rPr>
          <w:rFonts w:ascii="Book Antiqua" w:eastAsia="Times New Roman" w:hAnsi="Book Antiqua" w:cs="Times New Roman"/>
          <w:bCs/>
          <w:kern w:val="0"/>
          <w14:ligatures w14:val="none"/>
        </w:rPr>
        <w:t>la aprobación de la medida</w:t>
      </w:r>
      <w:r w:rsidRPr="00CB1979">
        <w:rPr>
          <w:rFonts w:ascii="Book Antiqua" w:eastAsia="Times New Roman" w:hAnsi="Book Antiqua" w:cs="Times New Roman"/>
          <w:bCs/>
          <w:kern w:val="0"/>
          <w14:ligatures w14:val="none"/>
        </w:rPr>
        <w:t xml:space="preserve"> no se menoscaba</w:t>
      </w:r>
      <w:r w:rsidR="000D79AE">
        <w:rPr>
          <w:rFonts w:ascii="Book Antiqua" w:eastAsia="Times New Roman" w:hAnsi="Book Antiqua" w:cs="Times New Roman"/>
          <w:bCs/>
          <w:kern w:val="0"/>
          <w14:ligatures w14:val="none"/>
        </w:rPr>
        <w:t xml:space="preserve"> </w:t>
      </w:r>
      <w:r w:rsidRPr="00CB1979">
        <w:rPr>
          <w:rFonts w:ascii="Book Antiqua" w:eastAsia="Times New Roman" w:hAnsi="Book Antiqua" w:cs="Times New Roman"/>
          <w:bCs/>
          <w:kern w:val="0"/>
          <w14:ligatures w14:val="none"/>
        </w:rPr>
        <w:t xml:space="preserve">el interés o la responsabilidad de las entidades gubernamentales pertinentes, incluyendo el propio ICP, de continuar colaborando en iniciativas que promuevan la conservación, documentación y divulgación de los elementos asociados a este legado. En este sentido, el ICP reafirma su compromiso con la preservación de los bienes culturales muebles e inmuebles que forman parte del desarrollo socioeconómico de </w:t>
      </w:r>
      <w:r w:rsidR="009A03B4">
        <w:rPr>
          <w:rFonts w:ascii="Book Antiqua" w:eastAsia="Times New Roman" w:hAnsi="Book Antiqua" w:cs="Times New Roman"/>
          <w:bCs/>
          <w:kern w:val="0"/>
          <w14:ligatures w14:val="none"/>
        </w:rPr>
        <w:t>P</w:t>
      </w:r>
      <w:r w:rsidRPr="00CB1979">
        <w:rPr>
          <w:rFonts w:ascii="Book Antiqua" w:eastAsia="Times New Roman" w:hAnsi="Book Antiqua" w:cs="Times New Roman"/>
          <w:bCs/>
          <w:kern w:val="0"/>
          <w14:ligatures w14:val="none"/>
        </w:rPr>
        <w:t xml:space="preserve">uerto Rico y consigna su disposición de trabajar con toda </w:t>
      </w:r>
      <w:r w:rsidR="009A03B4">
        <w:rPr>
          <w:rFonts w:ascii="Book Antiqua" w:eastAsia="Times New Roman" w:hAnsi="Book Antiqua" w:cs="Times New Roman"/>
          <w:bCs/>
          <w:kern w:val="0"/>
          <w14:ligatures w14:val="none"/>
        </w:rPr>
        <w:t xml:space="preserve">entidad </w:t>
      </w:r>
      <w:r w:rsidRPr="00CB1979">
        <w:rPr>
          <w:rFonts w:ascii="Book Antiqua" w:eastAsia="Times New Roman" w:hAnsi="Book Antiqua" w:cs="Times New Roman"/>
          <w:bCs/>
          <w:kern w:val="0"/>
          <w14:ligatures w14:val="none"/>
        </w:rPr>
        <w:t xml:space="preserve">interesada en impulsar proyectos de conservación </w:t>
      </w:r>
      <w:r w:rsidR="009A03B4">
        <w:rPr>
          <w:rFonts w:ascii="Book Antiqua" w:eastAsia="Times New Roman" w:hAnsi="Book Antiqua" w:cs="Times New Roman"/>
          <w:bCs/>
          <w:kern w:val="0"/>
          <w14:ligatures w14:val="none"/>
        </w:rPr>
        <w:t>patrimonial</w:t>
      </w:r>
      <w:r w:rsidRPr="00CB1979">
        <w:rPr>
          <w:rFonts w:ascii="Book Antiqua" w:eastAsia="Times New Roman" w:hAnsi="Book Antiqua" w:cs="Times New Roman"/>
          <w:bCs/>
          <w:kern w:val="0"/>
          <w14:ligatures w14:val="none"/>
        </w:rPr>
        <w:t xml:space="preserve">. </w:t>
      </w:r>
    </w:p>
    <w:p w14:paraId="161D410A" w14:textId="2467AC82" w:rsidR="00B75823" w:rsidRDefault="00DC6E3D" w:rsidP="004317A5">
      <w:pPr>
        <w:spacing w:after="0" w:line="360" w:lineRule="auto"/>
        <w:ind w:firstLine="720"/>
        <w:contextualSpacing/>
        <w:jc w:val="both"/>
        <w:rPr>
          <w:rFonts w:ascii="Book Antiqua" w:eastAsia="Times New Roman" w:hAnsi="Book Antiqua" w:cs="Times New Roman"/>
          <w:bCs/>
          <w:kern w:val="0"/>
          <w14:ligatures w14:val="none"/>
        </w:rPr>
      </w:pPr>
      <w:r w:rsidRPr="00CB1979">
        <w:rPr>
          <w:rFonts w:ascii="Book Antiqua" w:eastAsia="Times New Roman" w:hAnsi="Book Antiqua" w:cs="Times New Roman"/>
          <w:bCs/>
          <w:kern w:val="0"/>
          <w14:ligatures w14:val="none"/>
        </w:rPr>
        <w:t xml:space="preserve">Por lo anterior, </w:t>
      </w:r>
      <w:r w:rsidRPr="009A03B4">
        <w:rPr>
          <w:rFonts w:ascii="Book Antiqua" w:eastAsia="Times New Roman" w:hAnsi="Book Antiqua" w:cs="Times New Roman"/>
          <w:bCs/>
          <w:kern w:val="0"/>
          <w14:ligatures w14:val="none"/>
        </w:rPr>
        <w:t xml:space="preserve">el ICP recomienda la aprobación del P. </w:t>
      </w:r>
      <w:r w:rsidR="009A03B4">
        <w:rPr>
          <w:rFonts w:ascii="Book Antiqua" w:eastAsia="Times New Roman" w:hAnsi="Book Antiqua" w:cs="Times New Roman"/>
          <w:bCs/>
          <w:kern w:val="0"/>
          <w14:ligatures w14:val="none"/>
        </w:rPr>
        <w:t>del S. 770</w:t>
      </w:r>
      <w:r w:rsidRPr="009A03B4">
        <w:rPr>
          <w:rFonts w:ascii="Book Antiqua" w:eastAsia="Times New Roman" w:hAnsi="Book Antiqua" w:cs="Times New Roman"/>
          <w:bCs/>
          <w:kern w:val="0"/>
          <w14:ligatures w14:val="none"/>
        </w:rPr>
        <w:t>,</w:t>
      </w:r>
      <w:r w:rsidRPr="00CB1979">
        <w:rPr>
          <w:rFonts w:ascii="Book Antiqua" w:eastAsia="Times New Roman" w:hAnsi="Book Antiqua" w:cs="Times New Roman"/>
          <w:bCs/>
          <w:kern w:val="0"/>
          <w14:ligatures w14:val="none"/>
        </w:rPr>
        <w:t xml:space="preserve"> en la medida en que su adopción responde a fines de eficiencia administrativa, sin afectar la política pública de protección y conservación del patrimonio cultural de Puerto Rico.</w:t>
      </w:r>
    </w:p>
    <w:p w14:paraId="7C2161EB" w14:textId="77777777" w:rsidR="004317A5" w:rsidRDefault="004317A5" w:rsidP="004317A5">
      <w:pPr>
        <w:spacing w:after="0" w:line="360" w:lineRule="auto"/>
        <w:ind w:firstLine="720"/>
        <w:contextualSpacing/>
        <w:jc w:val="both"/>
        <w:rPr>
          <w:rFonts w:ascii="Book Antiqua" w:eastAsia="Times New Roman" w:hAnsi="Book Antiqua" w:cs="Times New Roman"/>
          <w:bCs/>
          <w:kern w:val="0"/>
          <w14:ligatures w14:val="none"/>
        </w:rPr>
      </w:pPr>
    </w:p>
    <w:p w14:paraId="1D5B2076" w14:textId="77777777" w:rsidR="004317A5" w:rsidRDefault="004317A5" w:rsidP="004317A5">
      <w:pPr>
        <w:spacing w:after="0" w:line="360" w:lineRule="auto"/>
        <w:ind w:firstLine="720"/>
        <w:contextualSpacing/>
        <w:jc w:val="both"/>
        <w:rPr>
          <w:rFonts w:ascii="Book Antiqua" w:eastAsia="Times New Roman" w:hAnsi="Book Antiqua" w:cs="Times New Roman"/>
          <w:bCs/>
          <w:kern w:val="0"/>
          <w14:ligatures w14:val="none"/>
        </w:rPr>
      </w:pPr>
    </w:p>
    <w:p w14:paraId="2B12592F" w14:textId="77777777" w:rsidR="004317A5" w:rsidRPr="00CB1979" w:rsidRDefault="004317A5" w:rsidP="004317A5">
      <w:pPr>
        <w:spacing w:after="0" w:line="360" w:lineRule="auto"/>
        <w:ind w:firstLine="720"/>
        <w:contextualSpacing/>
        <w:jc w:val="both"/>
        <w:rPr>
          <w:rFonts w:ascii="Book Antiqua" w:eastAsia="Times New Roman" w:hAnsi="Book Antiqua" w:cs="Times New Roman"/>
          <w:bCs/>
          <w:kern w:val="0"/>
          <w14:ligatures w14:val="none"/>
        </w:rPr>
      </w:pPr>
    </w:p>
    <w:p w14:paraId="1F851AF7" w14:textId="4D22E792" w:rsidR="00DC6E3D" w:rsidRPr="00B75823" w:rsidRDefault="00DC6E3D" w:rsidP="00B75823">
      <w:pPr>
        <w:pStyle w:val="ListParagraph"/>
        <w:numPr>
          <w:ilvl w:val="0"/>
          <w:numId w:val="10"/>
        </w:numPr>
        <w:spacing w:after="200" w:line="276" w:lineRule="auto"/>
        <w:jc w:val="center"/>
        <w:rPr>
          <w:rFonts w:ascii="Book Antiqua" w:eastAsia="Times New Roman" w:hAnsi="Book Antiqua" w:cs="Times New Roman"/>
          <w:b/>
          <w:bCs/>
          <w:kern w:val="0"/>
          <w:u w:val="single"/>
          <w14:ligatures w14:val="none"/>
        </w:rPr>
      </w:pPr>
      <w:r w:rsidRPr="00B934F1">
        <w:rPr>
          <w:rFonts w:ascii="Book Antiqua" w:eastAsia="Times New Roman" w:hAnsi="Book Antiqua" w:cs="Times New Roman"/>
          <w:b/>
          <w:bCs/>
          <w:kern w:val="0"/>
          <w:u w:val="single"/>
          <w14:ligatures w14:val="none"/>
        </w:rPr>
        <w:lastRenderedPageBreak/>
        <w:t>Departamento de Desarrollo Económico y Comercio</w:t>
      </w:r>
    </w:p>
    <w:p w14:paraId="4727063F" w14:textId="35B67826" w:rsidR="00DC6E3D" w:rsidRPr="00B934F1" w:rsidRDefault="005D07E6" w:rsidP="00611FCD">
      <w:pPr>
        <w:spacing w:after="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w:t>
      </w:r>
      <w:r w:rsidR="00B75823">
        <w:rPr>
          <w:rFonts w:ascii="Book Antiqua" w:eastAsia="Times New Roman" w:hAnsi="Book Antiqua" w:cs="Times New Roman"/>
          <w:kern w:val="0"/>
          <w14:ligatures w14:val="none"/>
        </w:rPr>
        <w:t xml:space="preserve">el </w:t>
      </w:r>
      <w:r w:rsidR="00B75823" w:rsidRPr="00B75823">
        <w:rPr>
          <w:rFonts w:ascii="Book Antiqua" w:eastAsia="Times New Roman" w:hAnsi="Book Antiqua" w:cs="Times New Roman"/>
          <w:b/>
          <w:bCs/>
          <w:kern w:val="0"/>
          <w14:ligatures w14:val="none"/>
        </w:rPr>
        <w:t>Departamento de Desarrollo Económico y Comercio</w:t>
      </w:r>
      <w:r w:rsidR="00B75823">
        <w:rPr>
          <w:rFonts w:ascii="Book Antiqua" w:eastAsia="Times New Roman" w:hAnsi="Book Antiqua" w:cs="Times New Roman"/>
          <w:kern w:val="0"/>
          <w14:ligatures w14:val="none"/>
        </w:rPr>
        <w:t xml:space="preserve"> </w:t>
      </w:r>
      <w:r w:rsidRPr="00CB1979">
        <w:rPr>
          <w:rFonts w:ascii="Book Antiqua" w:eastAsia="Times New Roman" w:hAnsi="Book Antiqua" w:cs="Times New Roman"/>
          <w:kern w:val="0"/>
          <w14:ligatures w14:val="none"/>
        </w:rPr>
        <w:t xml:space="preserve">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r>
        <w:rPr>
          <w:rFonts w:ascii="Book Antiqua" w:eastAsia="Times New Roman" w:hAnsi="Book Antiqua" w:cs="Times New Roman"/>
          <w:kern w:val="0"/>
          <w14:ligatures w14:val="none"/>
        </w:rPr>
        <w:t xml:space="preserve">, como parte de los trámites </w:t>
      </w:r>
      <w:r w:rsidR="00611FCD">
        <w:rPr>
          <w:rFonts w:ascii="Book Antiqua" w:eastAsia="Times New Roman" w:hAnsi="Book Antiqua" w:cs="Times New Roman"/>
          <w:kern w:val="0"/>
          <w14:ligatures w14:val="none"/>
        </w:rPr>
        <w:t xml:space="preserve">del P. de la C. 916, proyecto idéntico presentado en el Senado bajo el P. del S. 770. </w:t>
      </w:r>
      <w:r>
        <w:rPr>
          <w:rFonts w:ascii="Book Antiqua" w:eastAsia="Times New Roman" w:hAnsi="Book Antiqua" w:cs="Times New Roman"/>
          <w:kern w:val="0"/>
          <w14:ligatures w14:val="none"/>
        </w:rPr>
        <w:t xml:space="preserve"> </w:t>
      </w:r>
    </w:p>
    <w:p w14:paraId="3F276911" w14:textId="77777777" w:rsidR="00DC6E3D" w:rsidRPr="00B934F1" w:rsidRDefault="00DC6E3D" w:rsidP="00B934F1">
      <w:pPr>
        <w:pStyle w:val="ListParagraph"/>
        <w:numPr>
          <w:ilvl w:val="0"/>
          <w:numId w:val="10"/>
        </w:numPr>
        <w:spacing w:after="200" w:line="276" w:lineRule="auto"/>
        <w:ind w:left="360"/>
        <w:jc w:val="center"/>
        <w:rPr>
          <w:rFonts w:ascii="Book Antiqua" w:eastAsia="Times New Roman" w:hAnsi="Book Antiqua" w:cs="Times New Roman"/>
          <w:b/>
          <w:bCs/>
          <w:kern w:val="0"/>
          <w:u w:val="single"/>
          <w14:ligatures w14:val="none"/>
        </w:rPr>
      </w:pPr>
      <w:r w:rsidRPr="00B934F1">
        <w:rPr>
          <w:rFonts w:ascii="Book Antiqua" w:eastAsia="Times New Roman" w:hAnsi="Book Antiqua" w:cs="Times New Roman"/>
          <w:b/>
          <w:bCs/>
          <w:kern w:val="0"/>
          <w:u w:val="single"/>
          <w14:ligatures w14:val="none"/>
        </w:rPr>
        <w:t>Compañía de Turismo de Puerto Rico</w:t>
      </w:r>
    </w:p>
    <w:p w14:paraId="5A9C35E2" w14:textId="4135A56F" w:rsidR="00161CBC" w:rsidRDefault="00B6689C" w:rsidP="00161CBC">
      <w:pPr>
        <w:spacing w:after="200" w:line="360" w:lineRule="auto"/>
        <w:ind w:firstLine="360"/>
        <w:jc w:val="both"/>
        <w:rPr>
          <w:rFonts w:ascii="Book Antiqua" w:eastAsia="Times New Roman" w:hAnsi="Book Antiqua" w:cs="Times New Roman"/>
          <w:bCs/>
          <w:kern w:val="0"/>
          <w14:ligatures w14:val="none"/>
        </w:rPr>
      </w:pPr>
      <w:r w:rsidRPr="00B6689C">
        <w:rPr>
          <w:rFonts w:ascii="Book Antiqua" w:eastAsia="Times New Roman" w:hAnsi="Book Antiqua" w:cs="Times New Roman"/>
          <w:bCs/>
          <w:kern w:val="0"/>
          <w14:ligatures w14:val="none"/>
        </w:rPr>
        <w:t xml:space="preserve">La </w:t>
      </w:r>
      <w:r w:rsidRPr="00B75823">
        <w:rPr>
          <w:rFonts w:ascii="Book Antiqua" w:eastAsia="Times New Roman" w:hAnsi="Book Antiqua" w:cs="Times New Roman"/>
          <w:b/>
          <w:kern w:val="0"/>
          <w14:ligatures w14:val="none"/>
        </w:rPr>
        <w:t>Compañía de Turismo de Puerto Rico</w:t>
      </w:r>
      <w:r w:rsidRPr="00B6689C">
        <w:rPr>
          <w:rFonts w:ascii="Book Antiqua" w:eastAsia="Times New Roman" w:hAnsi="Book Antiqua" w:cs="Times New Roman"/>
          <w:bCs/>
          <w:kern w:val="0"/>
          <w14:ligatures w14:val="none"/>
        </w:rPr>
        <w:t xml:space="preserve"> endosó la aprobación del P del. S. 770 por entender que la medida es consistente con la política pública actual, de modernizar </w:t>
      </w:r>
      <w:r>
        <w:rPr>
          <w:rFonts w:ascii="Book Antiqua" w:eastAsia="Times New Roman" w:hAnsi="Book Antiqua" w:cs="Times New Roman"/>
          <w:bCs/>
          <w:kern w:val="0"/>
          <w14:ligatures w14:val="none"/>
        </w:rPr>
        <w:t>el andamiaje gubernamental, y eliminar o modificar aquellas estructuras que impidan un gobierno más ágil y efectivo</w:t>
      </w:r>
      <w:r w:rsidRPr="00B6689C">
        <w:rPr>
          <w:rFonts w:ascii="Book Antiqua" w:eastAsia="Times New Roman" w:hAnsi="Book Antiqua" w:cs="Times New Roman"/>
          <w:bCs/>
          <w:kern w:val="0"/>
          <w14:ligatures w14:val="none"/>
        </w:rPr>
        <w:t>.</w:t>
      </w:r>
      <w:r>
        <w:rPr>
          <w:rStyle w:val="FootnoteReference"/>
          <w:rFonts w:ascii="Book Antiqua" w:eastAsia="Times New Roman" w:hAnsi="Book Antiqua" w:cs="Times New Roman"/>
          <w:bCs/>
          <w:kern w:val="0"/>
          <w14:ligatures w14:val="none"/>
        </w:rPr>
        <w:footnoteReference w:id="2"/>
      </w:r>
      <w:r w:rsidRPr="00B6689C">
        <w:rPr>
          <w:rFonts w:ascii="Book Antiqua" w:eastAsia="Times New Roman" w:hAnsi="Book Antiqua" w:cs="Times New Roman"/>
          <w:bCs/>
          <w:kern w:val="0"/>
          <w14:ligatures w14:val="none"/>
        </w:rPr>
        <w:t xml:space="preserve"> Indicó</w:t>
      </w:r>
      <w:r>
        <w:rPr>
          <w:rFonts w:ascii="Book Antiqua" w:eastAsia="Times New Roman" w:hAnsi="Book Antiqua" w:cs="Times New Roman"/>
          <w:bCs/>
          <w:kern w:val="0"/>
          <w14:ligatures w14:val="none"/>
        </w:rPr>
        <w:t>, además, que</w:t>
      </w:r>
    </w:p>
    <w:p w14:paraId="65F68445" w14:textId="487D98B6" w:rsidR="00DC6E3D" w:rsidRPr="00161CBC" w:rsidRDefault="00B6689C" w:rsidP="00161CBC">
      <w:pPr>
        <w:spacing w:after="200" w:line="240" w:lineRule="auto"/>
        <w:ind w:left="720" w:right="720"/>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tal y como surge claramente de la Exposición de Motivos del Proyecto, dicho comité no logró consolidarse como un organismo operativo, permaneciendo </w:t>
      </w:r>
      <w:proofErr w:type="spellStart"/>
      <w:r>
        <w:rPr>
          <w:rFonts w:ascii="Book Antiqua" w:eastAsia="Times New Roman" w:hAnsi="Book Antiqua" w:cs="Times New Roman"/>
          <w:bCs/>
          <w:kern w:val="0"/>
          <w14:ligatures w14:val="none"/>
        </w:rPr>
        <w:t>incativo</w:t>
      </w:r>
      <w:proofErr w:type="spellEnd"/>
      <w:r>
        <w:rPr>
          <w:rFonts w:ascii="Book Antiqua" w:eastAsia="Times New Roman" w:hAnsi="Book Antiqua" w:cs="Times New Roman"/>
          <w:bCs/>
          <w:kern w:val="0"/>
          <w14:ligatures w14:val="none"/>
        </w:rPr>
        <w:t xml:space="preserve"> desde el a</w:t>
      </w:r>
      <w:r w:rsidR="004317A5">
        <w:rPr>
          <w:rFonts w:ascii="Book Antiqua" w:eastAsia="Times New Roman" w:hAnsi="Book Antiqua" w:cs="Times New Roman"/>
          <w:bCs/>
          <w:kern w:val="0"/>
          <w14:ligatures w14:val="none"/>
        </w:rPr>
        <w:t>ñ</w:t>
      </w:r>
      <w:r>
        <w:rPr>
          <w:rFonts w:ascii="Book Antiqua" w:eastAsia="Times New Roman" w:hAnsi="Book Antiqua" w:cs="Times New Roman"/>
          <w:bCs/>
          <w:kern w:val="0"/>
          <w14:ligatures w14:val="none"/>
        </w:rPr>
        <w:t xml:space="preserve">o 2015, y sin cumplir las funciones para las que fue concebido … </w:t>
      </w:r>
      <w:r w:rsidR="00161CBC">
        <w:rPr>
          <w:rFonts w:ascii="Book Antiqua" w:eastAsia="Times New Roman" w:hAnsi="Book Antiqua" w:cs="Times New Roman"/>
          <w:bCs/>
          <w:kern w:val="0"/>
          <w14:ligatures w14:val="none"/>
        </w:rPr>
        <w:t>la CTPR cuenta con programas instrumentos y facultades suficientes para impulsar iniciativas de desarrollo turístico de base histórica y cultural. Lo realiza, integrándolas a la planificación estratégica regional y a las políticas públicas vigentes, sin necesidad de comités adicionales que, en la práctica, no han demostrado viabilidad operativa.</w:t>
      </w:r>
      <w:r w:rsidR="00161CBC">
        <w:rPr>
          <w:rStyle w:val="FootnoteReference"/>
          <w:rFonts w:ascii="Book Antiqua" w:eastAsia="Times New Roman" w:hAnsi="Book Antiqua" w:cs="Times New Roman"/>
          <w:bCs/>
          <w:kern w:val="0"/>
          <w14:ligatures w14:val="none"/>
        </w:rPr>
        <w:footnoteReference w:id="3"/>
      </w:r>
      <w:r w:rsidR="00161CBC">
        <w:rPr>
          <w:rFonts w:ascii="Book Antiqua" w:eastAsia="Times New Roman" w:hAnsi="Book Antiqua" w:cs="Times New Roman"/>
          <w:bCs/>
          <w:kern w:val="0"/>
          <w14:ligatures w14:val="none"/>
        </w:rPr>
        <w:t xml:space="preserve"> </w:t>
      </w:r>
    </w:p>
    <w:p w14:paraId="0C10E06F" w14:textId="2D4DEE6B" w:rsidR="00DC6E3D" w:rsidRPr="00161CBC" w:rsidRDefault="00DC6E3D" w:rsidP="00161CBC">
      <w:pPr>
        <w:pStyle w:val="ListParagraph"/>
        <w:numPr>
          <w:ilvl w:val="0"/>
          <w:numId w:val="10"/>
        </w:numPr>
        <w:spacing w:after="200" w:line="276" w:lineRule="auto"/>
        <w:ind w:left="360"/>
        <w:jc w:val="center"/>
        <w:rPr>
          <w:rFonts w:ascii="Book Antiqua" w:eastAsia="Times New Roman" w:hAnsi="Book Antiqua" w:cs="Times New Roman"/>
          <w:b/>
          <w:kern w:val="0"/>
          <w:u w:val="single"/>
          <w14:ligatures w14:val="none"/>
        </w:rPr>
      </w:pPr>
      <w:r w:rsidRPr="00B934F1">
        <w:rPr>
          <w:rFonts w:ascii="Book Antiqua" w:eastAsia="Times New Roman" w:hAnsi="Book Antiqua" w:cs="Times New Roman"/>
          <w:b/>
          <w:kern w:val="0"/>
          <w:u w:val="single"/>
          <w14:ligatures w14:val="none"/>
        </w:rPr>
        <w:t>Municipio de Arroyo</w:t>
      </w:r>
    </w:p>
    <w:p w14:paraId="2EF525BB" w14:textId="77777777" w:rsidR="005D07E6" w:rsidRDefault="005D07E6" w:rsidP="005D07E6">
      <w:pPr>
        <w:spacing w:after="0" w:line="360" w:lineRule="auto"/>
        <w:ind w:firstLine="360"/>
        <w:jc w:val="both"/>
        <w:rPr>
          <w:rFonts w:ascii="Book Antiqua" w:hAnsi="Book Antiqua"/>
        </w:rPr>
      </w:pPr>
      <w:r w:rsidRPr="0078577E">
        <w:rPr>
          <w:rFonts w:ascii="Book Antiqua" w:hAnsi="Book Antiqua"/>
        </w:rPr>
        <w:t xml:space="preserve">El </w:t>
      </w:r>
      <w:r w:rsidRPr="00B75823">
        <w:rPr>
          <w:rFonts w:ascii="Book Antiqua" w:hAnsi="Book Antiqua"/>
          <w:b/>
          <w:bCs/>
        </w:rPr>
        <w:t>Municipio de Arroyo</w:t>
      </w:r>
      <w:r w:rsidRPr="0078577E">
        <w:rPr>
          <w:rFonts w:ascii="Book Antiqua" w:hAnsi="Book Antiqua"/>
        </w:rPr>
        <w:t xml:space="preserve"> expres</w:t>
      </w:r>
      <w:r>
        <w:rPr>
          <w:rFonts w:ascii="Book Antiqua" w:hAnsi="Book Antiqua"/>
        </w:rPr>
        <w:t>ó</w:t>
      </w:r>
      <w:r w:rsidRPr="0078577E">
        <w:rPr>
          <w:rFonts w:ascii="Book Antiqua" w:hAnsi="Book Antiqua"/>
        </w:rPr>
        <w:t xml:space="preserve"> que la Ley Núm. 212-2014</w:t>
      </w:r>
      <w:r>
        <w:rPr>
          <w:rFonts w:ascii="Book Antiqua" w:hAnsi="Book Antiqua"/>
        </w:rPr>
        <w:t xml:space="preserve">, </w:t>
      </w:r>
      <w:r w:rsidRPr="0078577E">
        <w:rPr>
          <w:rFonts w:ascii="Book Antiqua" w:hAnsi="Book Antiqua"/>
          <w:i/>
          <w:iCs/>
        </w:rPr>
        <w:t>supra</w:t>
      </w:r>
      <w:r>
        <w:rPr>
          <w:rFonts w:ascii="Book Antiqua" w:hAnsi="Book Antiqua"/>
        </w:rPr>
        <w:t>,</w:t>
      </w:r>
      <w:r w:rsidRPr="0078577E">
        <w:rPr>
          <w:rFonts w:ascii="Book Antiqua" w:hAnsi="Book Antiqua"/>
        </w:rPr>
        <w:t xml:space="preserve"> “[r]epresenta un precedente importante en la gestión cultural municipal, al descentralizar la conservación del patrimonio y permitir que los municipios participen activamente. Su eliminación enviaría un mensaje contrario a los esfuerzos de fortalecimiento cultural y autonómico de los municipios.”</w:t>
      </w:r>
      <w:r w:rsidRPr="002544DF">
        <w:rPr>
          <w:rStyle w:val="FootnoteReference"/>
          <w:rFonts w:ascii="Book Antiqua" w:hAnsi="Book Antiqua"/>
        </w:rPr>
        <w:footnoteReference w:id="4"/>
      </w:r>
      <w:r>
        <w:rPr>
          <w:rFonts w:ascii="Book Antiqua" w:hAnsi="Book Antiqua"/>
        </w:rPr>
        <w:t xml:space="preserve"> Añadió que </w:t>
      </w:r>
      <w:r w:rsidRPr="0078577E">
        <w:rPr>
          <w:rFonts w:ascii="Book Antiqua" w:hAnsi="Book Antiqua"/>
        </w:rPr>
        <w:t>“</w:t>
      </w:r>
      <w:r>
        <w:rPr>
          <w:rFonts w:ascii="Book Antiqua" w:hAnsi="Book Antiqua"/>
        </w:rPr>
        <w:t>[l]</w:t>
      </w:r>
      <w:r w:rsidRPr="0078577E">
        <w:rPr>
          <w:rFonts w:ascii="Book Antiqua" w:hAnsi="Book Antiqua"/>
        </w:rPr>
        <w:t xml:space="preserve">a derogación de esta ley no solo atentaría contra la </w:t>
      </w:r>
      <w:r w:rsidRPr="0078577E">
        <w:rPr>
          <w:rFonts w:ascii="Book Antiqua" w:hAnsi="Book Antiqua"/>
        </w:rPr>
        <w:lastRenderedPageBreak/>
        <w:t>preservación de un bien histórico de valor incalculable, sino que también representan un retroceso en las iniciativas del turismo cultural.”</w:t>
      </w:r>
      <w:r w:rsidRPr="002544DF">
        <w:rPr>
          <w:rStyle w:val="FootnoteReference"/>
          <w:rFonts w:ascii="Book Antiqua" w:hAnsi="Book Antiqua"/>
        </w:rPr>
        <w:footnoteReference w:id="5"/>
      </w:r>
      <w:r>
        <w:rPr>
          <w:rFonts w:ascii="Book Antiqua" w:hAnsi="Book Antiqua"/>
        </w:rPr>
        <w:t xml:space="preserve"> </w:t>
      </w:r>
    </w:p>
    <w:p w14:paraId="48F7382A" w14:textId="33D4FED4" w:rsidR="00161CBC" w:rsidRDefault="005D07E6" w:rsidP="00611FCD">
      <w:pPr>
        <w:spacing w:after="0" w:line="360" w:lineRule="auto"/>
        <w:ind w:firstLine="360"/>
        <w:jc w:val="both"/>
        <w:rPr>
          <w:rFonts w:ascii="Book Antiqua" w:hAnsi="Book Antiqua"/>
        </w:rPr>
      </w:pPr>
      <w:r>
        <w:rPr>
          <w:rFonts w:ascii="Book Antiqua" w:hAnsi="Book Antiqua"/>
        </w:rPr>
        <w:t>Con respecto al estatus del cumplimiento con lo dispuesto en la Ley, el</w:t>
      </w:r>
      <w:r w:rsidRPr="0078577E">
        <w:rPr>
          <w:rFonts w:ascii="Book Antiqua" w:hAnsi="Book Antiqua"/>
        </w:rPr>
        <w:t xml:space="preserve"> Municipio </w:t>
      </w:r>
      <w:r>
        <w:rPr>
          <w:rFonts w:ascii="Book Antiqua" w:hAnsi="Book Antiqua"/>
        </w:rPr>
        <w:t>expresó que</w:t>
      </w:r>
      <w:r w:rsidRPr="0078577E">
        <w:rPr>
          <w:rFonts w:ascii="Book Antiqua" w:hAnsi="Book Antiqua"/>
        </w:rPr>
        <w:t xml:space="preserve"> cuenta con un diseño y planos para el proyecto desde el 2014</w:t>
      </w:r>
      <w:r w:rsidRPr="002544DF">
        <w:rPr>
          <w:rStyle w:val="FootnoteReference"/>
          <w:rFonts w:ascii="Book Antiqua" w:hAnsi="Book Antiqua"/>
        </w:rPr>
        <w:footnoteReference w:id="6"/>
      </w:r>
      <w:r>
        <w:rPr>
          <w:rFonts w:ascii="Book Antiqua" w:hAnsi="Book Antiqua"/>
        </w:rPr>
        <w:t xml:space="preserve"> y con </w:t>
      </w:r>
      <w:r w:rsidRPr="0078577E">
        <w:rPr>
          <w:rFonts w:ascii="Book Antiqua" w:hAnsi="Book Antiqua"/>
        </w:rPr>
        <w:t>unos $200,000.00 de fondos de FTA para trabajar con el diseño de NEPA.</w:t>
      </w:r>
      <w:r w:rsidRPr="002544DF">
        <w:rPr>
          <w:rStyle w:val="FootnoteReference"/>
          <w:rFonts w:ascii="Book Antiqua" w:hAnsi="Book Antiqua"/>
        </w:rPr>
        <w:footnoteReference w:id="7"/>
      </w:r>
      <w:r w:rsidRPr="0078577E">
        <w:rPr>
          <w:rFonts w:ascii="Book Antiqua" w:hAnsi="Book Antiqua"/>
        </w:rPr>
        <w:t xml:space="preserve"> </w:t>
      </w:r>
      <w:r>
        <w:rPr>
          <w:rFonts w:ascii="Book Antiqua" w:hAnsi="Book Antiqua"/>
        </w:rPr>
        <w:t xml:space="preserve">Además, que </w:t>
      </w:r>
    </w:p>
    <w:p w14:paraId="2DEE5052" w14:textId="77777777" w:rsidR="005D07E6" w:rsidRDefault="005D07E6" w:rsidP="005D07E6">
      <w:pPr>
        <w:spacing w:after="0" w:line="240" w:lineRule="auto"/>
        <w:ind w:left="720" w:right="720"/>
        <w:jc w:val="both"/>
        <w:rPr>
          <w:rFonts w:ascii="Book Antiqua" w:hAnsi="Book Antiqua"/>
        </w:rPr>
      </w:pPr>
      <w:r w:rsidRPr="0078577E">
        <w:rPr>
          <w:rFonts w:ascii="Book Antiqua" w:hAnsi="Book Antiqua"/>
        </w:rPr>
        <w:t xml:space="preserve">El Municipio de Arroyo </w:t>
      </w:r>
      <w:r w:rsidRPr="0078577E">
        <w:rPr>
          <w:rFonts w:ascii="Book Antiqua" w:hAnsi="Book Antiqua"/>
          <w:b/>
          <w:bCs/>
        </w:rPr>
        <w:t>va a solicitar</w:t>
      </w:r>
      <w:r w:rsidRPr="0078577E">
        <w:rPr>
          <w:rFonts w:ascii="Book Antiqua" w:hAnsi="Book Antiqua"/>
        </w:rPr>
        <w:t xml:space="preserve"> propuestas de consultores calificados, con experiencia en transporte y en las normas y regulaciones de la Administración Federal de Tránsito (FTA) del Departamento de Transporte de los Estados Unidos (US DOT) para el desarrollo […] Servicios Profesionales de Servicios Ambientales integrales para apoyar el cumplimiento de FTA con NEPA.”</w:t>
      </w:r>
      <w:r w:rsidRPr="002544DF">
        <w:rPr>
          <w:rStyle w:val="FootnoteReference"/>
          <w:rFonts w:ascii="Book Antiqua" w:hAnsi="Book Antiqua"/>
        </w:rPr>
        <w:footnoteReference w:id="8"/>
      </w:r>
      <w:r w:rsidRPr="0078577E">
        <w:rPr>
          <w:rFonts w:ascii="Book Antiqua" w:hAnsi="Book Antiqua"/>
        </w:rPr>
        <w:t xml:space="preserve"> Ello con el objetivo de “elaborar un plan que guíe  el desarrollo del sistema de transporte del Municipio de Arroyo”</w:t>
      </w:r>
      <w:r w:rsidRPr="002544DF">
        <w:rPr>
          <w:rStyle w:val="FootnoteReference"/>
          <w:rFonts w:ascii="Book Antiqua" w:hAnsi="Book Antiqua"/>
        </w:rPr>
        <w:footnoteReference w:id="9"/>
      </w:r>
      <w:r w:rsidRPr="0078577E">
        <w:rPr>
          <w:rFonts w:ascii="Book Antiqua" w:hAnsi="Book Antiqua"/>
        </w:rPr>
        <w:t xml:space="preserve"> con el propósito de -entre otros- “[c]ompletar la versión más reciente de la Lista de Verificación de Exclusión Categórica (CE) de la FTA u otra lista de verificación de la NEPA, según corresponda a la clase de acción del proyecto.</w:t>
      </w:r>
      <w:r>
        <w:rPr>
          <w:rFonts w:ascii="Book Antiqua" w:hAnsi="Book Antiqua"/>
        </w:rPr>
        <w:t xml:space="preserve"> (Negrillas añadidas).</w:t>
      </w:r>
      <w:r w:rsidRPr="002544DF">
        <w:rPr>
          <w:rStyle w:val="FootnoteReference"/>
          <w:rFonts w:ascii="Book Antiqua" w:hAnsi="Book Antiqua"/>
        </w:rPr>
        <w:footnoteReference w:id="10"/>
      </w:r>
    </w:p>
    <w:p w14:paraId="0D96C8A5" w14:textId="77777777" w:rsidR="005D07E6" w:rsidRDefault="005D07E6" w:rsidP="005D07E6">
      <w:pPr>
        <w:spacing w:after="0" w:line="240" w:lineRule="auto"/>
        <w:ind w:left="720" w:right="720"/>
        <w:jc w:val="both"/>
        <w:rPr>
          <w:rFonts w:ascii="Book Antiqua" w:hAnsi="Book Antiqua"/>
        </w:rPr>
      </w:pPr>
    </w:p>
    <w:p w14:paraId="7C9975D0" w14:textId="0A2C83DA" w:rsidR="005D07E6" w:rsidRPr="00161CBC" w:rsidRDefault="005D07E6" w:rsidP="00B934F1">
      <w:pPr>
        <w:pStyle w:val="ListParagraph"/>
        <w:numPr>
          <w:ilvl w:val="0"/>
          <w:numId w:val="10"/>
        </w:numPr>
        <w:spacing w:after="200" w:line="276" w:lineRule="auto"/>
        <w:ind w:left="360"/>
        <w:jc w:val="center"/>
        <w:rPr>
          <w:rFonts w:ascii="Book Antiqua" w:eastAsia="Times New Roman" w:hAnsi="Book Antiqua" w:cs="Times New Roman"/>
          <w:b/>
          <w:kern w:val="0"/>
          <w:u w:val="single"/>
          <w14:ligatures w14:val="none"/>
        </w:rPr>
      </w:pPr>
      <w:r w:rsidRPr="00161CBC">
        <w:rPr>
          <w:rFonts w:ascii="Book Antiqua" w:eastAsia="Times New Roman" w:hAnsi="Book Antiqua" w:cs="Times New Roman"/>
          <w:b/>
          <w:kern w:val="0"/>
          <w:u w:val="single"/>
          <w14:ligatures w14:val="none"/>
        </w:rPr>
        <w:t>Autoridad de Asesoría Financiera y Agencia Fiscal de Puerto Rico (AAFAF)</w:t>
      </w:r>
    </w:p>
    <w:p w14:paraId="2EAE994E" w14:textId="567B4CC4" w:rsidR="005D07E6" w:rsidRDefault="005D07E6" w:rsidP="00B6689C">
      <w:pPr>
        <w:spacing w:after="200" w:line="360" w:lineRule="auto"/>
        <w:ind w:firstLine="360"/>
        <w:contextualSpacing/>
        <w:jc w:val="both"/>
        <w:rPr>
          <w:rFonts w:ascii="Book Antiqua" w:eastAsia="Times New Roman" w:hAnsi="Book Antiqua" w:cs="Times New Roman"/>
          <w:bCs/>
          <w:kern w:val="0"/>
          <w14:ligatures w14:val="none"/>
        </w:rPr>
      </w:pPr>
      <w:r w:rsidRPr="005D07E6">
        <w:rPr>
          <w:rFonts w:ascii="Book Antiqua" w:eastAsia="Times New Roman" w:hAnsi="Book Antiqua" w:cs="Times New Roman"/>
          <w:bCs/>
          <w:kern w:val="0"/>
          <w14:ligatures w14:val="none"/>
        </w:rPr>
        <w:t xml:space="preserve">La </w:t>
      </w:r>
      <w:r w:rsidRPr="002E510F">
        <w:rPr>
          <w:rFonts w:ascii="Book Antiqua" w:eastAsia="Times New Roman" w:hAnsi="Book Antiqua" w:cs="Times New Roman"/>
          <w:b/>
          <w:kern w:val="0"/>
          <w14:ligatures w14:val="none"/>
        </w:rPr>
        <w:t>Autoridad de Asesoría Financiera y Agencia Fiscal de Puerto Rico</w:t>
      </w:r>
      <w:r w:rsidRPr="005D07E6">
        <w:rPr>
          <w:rFonts w:ascii="Book Antiqua" w:eastAsia="Times New Roman" w:hAnsi="Book Antiqua" w:cs="Times New Roman"/>
          <w:bCs/>
          <w:kern w:val="0"/>
          <w14:ligatures w14:val="none"/>
        </w:rPr>
        <w:t xml:space="preserve"> </w:t>
      </w:r>
      <w:r w:rsidRPr="002E510F">
        <w:rPr>
          <w:rFonts w:ascii="Book Antiqua" w:eastAsia="Times New Roman" w:hAnsi="Book Antiqua" w:cs="Times New Roman"/>
          <w:b/>
          <w:kern w:val="0"/>
          <w14:ligatures w14:val="none"/>
        </w:rPr>
        <w:t>(AAFAF)</w:t>
      </w:r>
      <w:r w:rsidRPr="005D07E6">
        <w:rPr>
          <w:rFonts w:ascii="Book Antiqua" w:eastAsia="Times New Roman" w:hAnsi="Book Antiqua" w:cs="Times New Roman"/>
          <w:bCs/>
          <w:kern w:val="0"/>
          <w14:ligatures w14:val="none"/>
        </w:rPr>
        <w:t xml:space="preserve"> </w:t>
      </w:r>
      <w:r w:rsidR="00B934F1">
        <w:rPr>
          <w:rFonts w:ascii="Book Antiqua" w:eastAsia="Times New Roman" w:hAnsi="Book Antiqua" w:cs="Times New Roman"/>
          <w:bCs/>
          <w:kern w:val="0"/>
          <w14:ligatures w14:val="none"/>
        </w:rPr>
        <w:t>endosó la aprobación del P del. S. 770 por entender que la medida es consistente con la política pública actual, de modernizar y racionalizar el aparato gubernamental, maximizando la utilización efectiva de los recursos.</w:t>
      </w:r>
      <w:r w:rsidR="00B934F1">
        <w:rPr>
          <w:rStyle w:val="FootnoteReference"/>
          <w:rFonts w:ascii="Book Antiqua" w:eastAsia="Times New Roman" w:hAnsi="Book Antiqua" w:cs="Times New Roman"/>
          <w:bCs/>
          <w:kern w:val="0"/>
          <w14:ligatures w14:val="none"/>
        </w:rPr>
        <w:footnoteReference w:id="11"/>
      </w:r>
      <w:r w:rsidR="00B934F1">
        <w:rPr>
          <w:rFonts w:ascii="Book Antiqua" w:eastAsia="Times New Roman" w:hAnsi="Book Antiqua" w:cs="Times New Roman"/>
          <w:bCs/>
          <w:kern w:val="0"/>
          <w14:ligatures w14:val="none"/>
        </w:rPr>
        <w:t xml:space="preserve"> Indicó que la Ley Núm. 212-2014, supra, permanece inoperante desde el año 2015, dado que no se han efectuado nombramientos, informes de festión ni asignaciones presupuestarias. </w:t>
      </w:r>
    </w:p>
    <w:p w14:paraId="1FF913BD" w14:textId="04F4E1F0" w:rsidR="00B75823" w:rsidRPr="00B6689C" w:rsidRDefault="00A81845" w:rsidP="00611FCD">
      <w:pPr>
        <w:spacing w:after="200" w:line="360" w:lineRule="auto"/>
        <w:ind w:firstLine="36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De igual manera, AAFAF consideró que el P. del S. 770 no conlleva impacto fiscal ni debe tener conflicto con el plan fiscal cetificado.</w:t>
      </w:r>
      <w:r>
        <w:rPr>
          <w:rStyle w:val="FootnoteReference"/>
          <w:rFonts w:ascii="Book Antiqua" w:eastAsia="Times New Roman" w:hAnsi="Book Antiqua" w:cs="Times New Roman"/>
          <w:bCs/>
          <w:kern w:val="0"/>
          <w14:ligatures w14:val="none"/>
        </w:rPr>
        <w:footnoteReference w:id="12"/>
      </w:r>
      <w:r>
        <w:rPr>
          <w:rFonts w:ascii="Book Antiqua" w:eastAsia="Times New Roman" w:hAnsi="Book Antiqua" w:cs="Times New Roman"/>
          <w:bCs/>
          <w:kern w:val="0"/>
          <w14:ligatures w14:val="none"/>
        </w:rPr>
        <w:t xml:space="preserve"> </w:t>
      </w:r>
    </w:p>
    <w:p w14:paraId="722F21AA" w14:textId="6D9E80BB" w:rsidR="00DC6E3D" w:rsidRPr="00B6689C" w:rsidRDefault="00DC6E3D" w:rsidP="00DC6E3D">
      <w:pPr>
        <w:pStyle w:val="ListParagraph"/>
        <w:numPr>
          <w:ilvl w:val="0"/>
          <w:numId w:val="10"/>
        </w:numPr>
        <w:spacing w:after="200" w:line="276" w:lineRule="auto"/>
        <w:jc w:val="center"/>
        <w:rPr>
          <w:rFonts w:ascii="Book Antiqua" w:eastAsia="Times New Roman" w:hAnsi="Book Antiqua" w:cs="Times New Roman"/>
          <w:b/>
          <w:kern w:val="0"/>
          <w:u w:val="single"/>
          <w14:ligatures w14:val="none"/>
        </w:rPr>
      </w:pPr>
      <w:r w:rsidRPr="00A81845">
        <w:rPr>
          <w:rFonts w:ascii="Book Antiqua" w:eastAsia="Times New Roman" w:hAnsi="Book Antiqua" w:cs="Times New Roman"/>
          <w:b/>
          <w:kern w:val="0"/>
          <w:u w:val="single"/>
          <w14:ligatures w14:val="none"/>
        </w:rPr>
        <w:lastRenderedPageBreak/>
        <w:t>Municipio de Patillas</w:t>
      </w:r>
    </w:p>
    <w:p w14:paraId="0672CCFC" w14:textId="39C4A1FD" w:rsidR="00A81845" w:rsidRPr="00CB1979" w:rsidRDefault="00A81845" w:rsidP="00A81845">
      <w:pPr>
        <w:spacing w:after="20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w:t>
      </w:r>
      <w:r w:rsidR="00611FCD">
        <w:rPr>
          <w:rFonts w:ascii="Book Antiqua" w:eastAsia="Times New Roman" w:hAnsi="Book Antiqua" w:cs="Times New Roman"/>
          <w:kern w:val="0"/>
          <w14:ligatures w14:val="none"/>
        </w:rPr>
        <w:t>el</w:t>
      </w:r>
      <w:r w:rsidRPr="00CB1979">
        <w:rPr>
          <w:rFonts w:ascii="Book Antiqua" w:eastAsia="Times New Roman" w:hAnsi="Book Antiqua" w:cs="Times New Roman"/>
          <w:kern w:val="0"/>
          <w14:ligatures w14:val="none"/>
        </w:rPr>
        <w:t xml:space="preserve"> </w:t>
      </w:r>
      <w:r w:rsidR="00B75823" w:rsidRPr="00B75823">
        <w:rPr>
          <w:rFonts w:ascii="Book Antiqua" w:eastAsia="Times New Roman" w:hAnsi="Book Antiqua" w:cs="Times New Roman"/>
          <w:b/>
          <w:bCs/>
          <w:kern w:val="0"/>
          <w14:ligatures w14:val="none"/>
        </w:rPr>
        <w:t>Municipio de Patillas</w:t>
      </w:r>
      <w:r w:rsidRPr="009A03B4">
        <w:rPr>
          <w:rFonts w:ascii="Book Antiqua" w:eastAsia="Times New Roman" w:hAnsi="Book Antiqua" w:cs="Times New Roman"/>
          <w:kern w:val="0"/>
          <w14:ligatures w14:val="none"/>
        </w:rPr>
        <w:t xml:space="preserve"> </w:t>
      </w:r>
      <w:r w:rsidRPr="00CB1979">
        <w:rPr>
          <w:rFonts w:ascii="Book Antiqua" w:eastAsia="Times New Roman" w:hAnsi="Book Antiqua" w:cs="Times New Roman"/>
          <w:kern w:val="0"/>
          <w14:ligatures w14:val="none"/>
        </w:rPr>
        <w:t xml:space="preserve">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r>
        <w:rPr>
          <w:rFonts w:ascii="Book Antiqua" w:eastAsia="Times New Roman" w:hAnsi="Book Antiqua" w:cs="Times New Roman"/>
          <w:kern w:val="0"/>
          <w14:ligatures w14:val="none"/>
        </w:rPr>
        <w:t xml:space="preserve">, </w:t>
      </w:r>
      <w:r w:rsidR="00611FCD">
        <w:rPr>
          <w:rFonts w:ascii="Book Antiqua" w:eastAsia="Times New Roman" w:hAnsi="Book Antiqua" w:cs="Times New Roman"/>
          <w:kern w:val="0"/>
          <w14:ligatures w14:val="none"/>
        </w:rPr>
        <w:t xml:space="preserve">como parte de los trámites del P. de la C. 916, proyecto idéntico presentado en el Senado bajo el P. del S. 770.  </w:t>
      </w:r>
    </w:p>
    <w:p w14:paraId="765B98CC" w14:textId="2ACB7782" w:rsidR="00DC6E3D" w:rsidRPr="00B6689C" w:rsidRDefault="00DC6E3D" w:rsidP="00DC6E3D">
      <w:pPr>
        <w:pStyle w:val="ListParagraph"/>
        <w:numPr>
          <w:ilvl w:val="0"/>
          <w:numId w:val="10"/>
        </w:numPr>
        <w:spacing w:after="200" w:line="276" w:lineRule="auto"/>
        <w:jc w:val="center"/>
        <w:rPr>
          <w:rFonts w:ascii="Book Antiqua" w:eastAsia="Times New Roman" w:hAnsi="Book Antiqua" w:cs="Times New Roman"/>
          <w:b/>
          <w:kern w:val="0"/>
          <w:u w:val="single"/>
          <w14:ligatures w14:val="none"/>
        </w:rPr>
      </w:pPr>
      <w:r w:rsidRPr="00A81845">
        <w:rPr>
          <w:rFonts w:ascii="Book Antiqua" w:eastAsia="Times New Roman" w:hAnsi="Book Antiqua" w:cs="Times New Roman"/>
          <w:b/>
          <w:kern w:val="0"/>
          <w:u w:val="single"/>
          <w14:ligatures w14:val="none"/>
        </w:rPr>
        <w:t>Municipio de</w:t>
      </w:r>
      <w:bookmarkStart w:id="0" w:name="_Hlk191473974"/>
      <w:r w:rsidRPr="00A81845">
        <w:rPr>
          <w:rFonts w:ascii="Book Antiqua" w:eastAsia="Times New Roman" w:hAnsi="Book Antiqua" w:cs="Times New Roman"/>
          <w:b/>
          <w:kern w:val="0"/>
          <w:u w:val="single"/>
          <w14:ligatures w14:val="none"/>
        </w:rPr>
        <w:t xml:space="preserve"> Guayama</w:t>
      </w:r>
    </w:p>
    <w:p w14:paraId="59EA8AB2" w14:textId="2B83CF26" w:rsidR="005D07E6" w:rsidRDefault="00A81845" w:rsidP="00A81845">
      <w:pPr>
        <w:spacing w:after="20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w:t>
      </w:r>
      <w:r w:rsidR="00611FCD">
        <w:rPr>
          <w:rFonts w:ascii="Book Antiqua" w:eastAsia="Times New Roman" w:hAnsi="Book Antiqua" w:cs="Times New Roman"/>
          <w:kern w:val="0"/>
          <w14:ligatures w14:val="none"/>
        </w:rPr>
        <w:t>el</w:t>
      </w:r>
      <w:r w:rsidRPr="00CB1979">
        <w:rPr>
          <w:rFonts w:ascii="Book Antiqua" w:eastAsia="Times New Roman" w:hAnsi="Book Antiqua" w:cs="Times New Roman"/>
          <w:kern w:val="0"/>
          <w14:ligatures w14:val="none"/>
        </w:rPr>
        <w:t xml:space="preserve"> </w:t>
      </w:r>
      <w:r w:rsidR="00B75823" w:rsidRPr="00B75823">
        <w:rPr>
          <w:rFonts w:ascii="Book Antiqua" w:eastAsia="Times New Roman" w:hAnsi="Book Antiqua" w:cs="Times New Roman"/>
          <w:b/>
          <w:bCs/>
          <w:kern w:val="0"/>
          <w14:ligatures w14:val="none"/>
        </w:rPr>
        <w:t>Municipio de Guayama</w:t>
      </w:r>
      <w:r w:rsidRPr="009A03B4">
        <w:rPr>
          <w:rFonts w:ascii="Book Antiqua" w:eastAsia="Times New Roman" w:hAnsi="Book Antiqua" w:cs="Times New Roman"/>
          <w:kern w:val="0"/>
          <w14:ligatures w14:val="none"/>
        </w:rPr>
        <w:t xml:space="preserve"> </w:t>
      </w:r>
      <w:r w:rsidRPr="00CB1979">
        <w:rPr>
          <w:rFonts w:ascii="Book Antiqua" w:eastAsia="Times New Roman" w:hAnsi="Book Antiqua" w:cs="Times New Roman"/>
          <w:kern w:val="0"/>
          <w14:ligatures w14:val="none"/>
        </w:rPr>
        <w:t xml:space="preserve">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r>
        <w:rPr>
          <w:rFonts w:ascii="Book Antiqua" w:eastAsia="Times New Roman" w:hAnsi="Book Antiqua" w:cs="Times New Roman"/>
          <w:kern w:val="0"/>
          <w14:ligatures w14:val="none"/>
        </w:rPr>
        <w:t xml:space="preserve">, </w:t>
      </w:r>
      <w:r w:rsidR="00611FCD">
        <w:rPr>
          <w:rFonts w:ascii="Book Antiqua" w:eastAsia="Times New Roman" w:hAnsi="Book Antiqua" w:cs="Times New Roman"/>
          <w:kern w:val="0"/>
          <w14:ligatures w14:val="none"/>
        </w:rPr>
        <w:t xml:space="preserve">como parte de los trámites del P. de la C. 916, proyecto idéntico presentado en el Senado bajo el P. del S. 770.  </w:t>
      </w:r>
    </w:p>
    <w:p w14:paraId="5317A3B0" w14:textId="595CC46F" w:rsidR="00161CBC" w:rsidRPr="00161CBC" w:rsidRDefault="00161CBC" w:rsidP="00161CBC">
      <w:pPr>
        <w:spacing w:after="200" w:line="360" w:lineRule="auto"/>
        <w:ind w:firstLine="360"/>
        <w:jc w:val="center"/>
        <w:rPr>
          <w:rFonts w:ascii="Book Antiqua" w:eastAsia="Times New Roman" w:hAnsi="Book Antiqua" w:cs="Times New Roman"/>
          <w:b/>
          <w:bCs/>
          <w:kern w:val="0"/>
          <w14:ligatures w14:val="none"/>
        </w:rPr>
      </w:pPr>
      <w:r w:rsidRPr="00161CBC">
        <w:rPr>
          <w:rFonts w:ascii="Book Antiqua" w:eastAsia="Times New Roman" w:hAnsi="Book Antiqua" w:cs="Times New Roman"/>
          <w:b/>
          <w:bCs/>
          <w:kern w:val="0"/>
          <w14:ligatures w14:val="none"/>
        </w:rPr>
        <w:t>INFORMES</w:t>
      </w:r>
    </w:p>
    <w:p w14:paraId="7CF473C7" w14:textId="61C3D47A" w:rsidR="00DC6E3D" w:rsidRPr="00161CBC" w:rsidRDefault="00DC6E3D" w:rsidP="00161CBC">
      <w:pPr>
        <w:pStyle w:val="ListParagraph"/>
        <w:numPr>
          <w:ilvl w:val="0"/>
          <w:numId w:val="11"/>
        </w:numPr>
        <w:spacing w:after="200" w:line="360" w:lineRule="auto"/>
        <w:jc w:val="center"/>
        <w:rPr>
          <w:rFonts w:ascii="Book Antiqua" w:eastAsia="Times New Roman" w:hAnsi="Book Antiqua" w:cs="Times New Roman"/>
          <w:b/>
          <w:kern w:val="0"/>
          <w:u w:val="single"/>
          <w14:ligatures w14:val="none"/>
        </w:rPr>
      </w:pPr>
      <w:r w:rsidRPr="00161CBC">
        <w:rPr>
          <w:rFonts w:ascii="Book Antiqua" w:eastAsia="Times New Roman" w:hAnsi="Book Antiqua" w:cs="Times New Roman"/>
          <w:b/>
          <w:kern w:val="0"/>
          <w:u w:val="single"/>
          <w14:ligatures w14:val="none"/>
        </w:rPr>
        <w:t>Oficina de Presupuesto de la Asamblea Legislativa</w:t>
      </w:r>
    </w:p>
    <w:p w14:paraId="5A181F8E" w14:textId="767F7756" w:rsidR="00DC6E3D" w:rsidRPr="00CB1979" w:rsidRDefault="00DC6E3D" w:rsidP="00611FCD">
      <w:pPr>
        <w:spacing w:after="0" w:line="360" w:lineRule="auto"/>
        <w:ind w:firstLine="708"/>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La </w:t>
      </w:r>
      <w:r w:rsidRPr="00B75823">
        <w:rPr>
          <w:rFonts w:ascii="Book Antiqua" w:eastAsia="Times New Roman" w:hAnsi="Book Antiqua" w:cs="Times New Roman"/>
          <w:b/>
          <w:bCs/>
          <w:kern w:val="0"/>
          <w14:ligatures w14:val="none"/>
        </w:rPr>
        <w:t>Oficina de Presupuesto de la Asamblea Legislativa (OPAL)</w:t>
      </w:r>
      <w:r>
        <w:rPr>
          <w:rFonts w:ascii="Book Antiqua" w:eastAsia="Times New Roman" w:hAnsi="Book Antiqua" w:cs="Times New Roman"/>
          <w:kern w:val="0"/>
          <w14:ligatures w14:val="none"/>
        </w:rPr>
        <w:t xml:space="preserve"> </w:t>
      </w:r>
      <w:r w:rsidRPr="00CB1979">
        <w:rPr>
          <w:rFonts w:ascii="Book Antiqua" w:eastAsia="Times New Roman" w:hAnsi="Book Antiqua" w:cs="Times New Roman"/>
          <w:kern w:val="0"/>
          <w14:ligatures w14:val="none"/>
        </w:rPr>
        <w:t>expresó</w:t>
      </w:r>
      <w:r>
        <w:rPr>
          <w:rFonts w:ascii="Book Antiqua" w:eastAsia="Times New Roman" w:hAnsi="Book Antiqua" w:cs="Times New Roman"/>
          <w:kern w:val="0"/>
          <w14:ligatures w14:val="none"/>
        </w:rPr>
        <w:t xml:space="preserve"> </w:t>
      </w:r>
      <w:r w:rsidRPr="00CB1979">
        <w:rPr>
          <w:rFonts w:ascii="Book Antiqua" w:eastAsia="Times New Roman" w:hAnsi="Book Antiqua" w:cs="Times New Roman"/>
          <w:kern w:val="0"/>
          <w14:ligatures w14:val="none"/>
        </w:rPr>
        <w:t>como parte de su análisis que “[l]a medida pretende modernizar la estructura gubernamental, suprimir organismos inoperantes y fomentar una administración pública más eficiente y orientada a resultados.”</w:t>
      </w:r>
      <w:r w:rsidRPr="00CB1979">
        <w:rPr>
          <w:rStyle w:val="FootnoteReference"/>
          <w:rFonts w:ascii="Book Antiqua" w:eastAsia="Times New Roman" w:hAnsi="Book Antiqua"/>
          <w:kern w:val="0"/>
          <w14:ligatures w14:val="none"/>
        </w:rPr>
        <w:footnoteReference w:id="13"/>
      </w:r>
      <w:r w:rsidRPr="00CB1979">
        <w:rPr>
          <w:rFonts w:ascii="Book Antiqua" w:eastAsia="Times New Roman" w:hAnsi="Book Antiqua" w:cs="Times New Roman"/>
          <w:kern w:val="0"/>
          <w14:ligatures w14:val="none"/>
        </w:rPr>
        <w:t xml:space="preserve"> Asimismo, añadió que </w:t>
      </w:r>
      <w:r>
        <w:rPr>
          <w:rFonts w:ascii="Book Antiqua" w:eastAsia="Times New Roman" w:hAnsi="Book Antiqua" w:cs="Times New Roman"/>
          <w:kern w:val="0"/>
          <w14:ligatures w14:val="none"/>
        </w:rPr>
        <w:t>la aprobación de la medida no</w:t>
      </w:r>
      <w:r w:rsidRPr="00CB1979">
        <w:rPr>
          <w:rFonts w:ascii="Book Antiqua" w:eastAsia="Times New Roman" w:hAnsi="Book Antiqua" w:cs="Times New Roman"/>
          <w:kern w:val="0"/>
          <w14:ligatures w14:val="none"/>
        </w:rPr>
        <w:t xml:space="preserve"> tendría impacto fiscal</w:t>
      </w:r>
      <w:r>
        <w:rPr>
          <w:rFonts w:ascii="Book Antiqua" w:eastAsia="Times New Roman" w:hAnsi="Book Antiqua" w:cs="Times New Roman"/>
          <w:kern w:val="0"/>
          <w14:ligatures w14:val="none"/>
        </w:rPr>
        <w:t>, sino que,</w:t>
      </w:r>
      <w:r w:rsidRPr="00CB1979">
        <w:rPr>
          <w:rFonts w:ascii="Book Antiqua" w:eastAsia="Times New Roman" w:hAnsi="Book Antiqua" w:cs="Times New Roman"/>
          <w:kern w:val="0"/>
          <w14:ligatures w14:val="none"/>
        </w:rPr>
        <w:t xml:space="preserve"> por el contrario, podría genera</w:t>
      </w:r>
      <w:r w:rsidR="005F5CBE">
        <w:rPr>
          <w:rFonts w:ascii="Book Antiqua" w:eastAsia="Times New Roman" w:hAnsi="Book Antiqua" w:cs="Times New Roman"/>
          <w:kern w:val="0"/>
          <w14:ligatures w14:val="none"/>
        </w:rPr>
        <w:t>r</w:t>
      </w:r>
      <w:r w:rsidRPr="00CB1979">
        <w:rPr>
          <w:rFonts w:ascii="Book Antiqua" w:eastAsia="Times New Roman" w:hAnsi="Book Antiqua" w:cs="Times New Roman"/>
          <w:kern w:val="0"/>
          <w14:ligatures w14:val="none"/>
        </w:rPr>
        <w:t xml:space="preserve"> ahorros, ya que la medida elimina la obligación de const</w:t>
      </w:r>
      <w:r w:rsidR="00763221">
        <w:rPr>
          <w:rFonts w:ascii="Book Antiqua" w:eastAsia="Times New Roman" w:hAnsi="Book Antiqua" w:cs="Times New Roman"/>
          <w:kern w:val="0"/>
          <w14:ligatures w14:val="none"/>
        </w:rPr>
        <w:t>it</w:t>
      </w:r>
      <w:r w:rsidRPr="00CB1979">
        <w:rPr>
          <w:rFonts w:ascii="Book Antiqua" w:eastAsia="Times New Roman" w:hAnsi="Book Antiqua" w:cs="Times New Roman"/>
          <w:kern w:val="0"/>
          <w14:ligatures w14:val="none"/>
        </w:rPr>
        <w:t xml:space="preserve">uir el </w:t>
      </w:r>
      <w:r>
        <w:rPr>
          <w:rFonts w:ascii="Book Antiqua" w:eastAsia="Times New Roman" w:hAnsi="Book Antiqua" w:cs="Times New Roman"/>
          <w:kern w:val="0"/>
          <w14:ligatures w14:val="none"/>
        </w:rPr>
        <w:t>C</w:t>
      </w:r>
      <w:r w:rsidRPr="00CB1979">
        <w:rPr>
          <w:rFonts w:ascii="Book Antiqua" w:eastAsia="Times New Roman" w:hAnsi="Book Antiqua" w:cs="Times New Roman"/>
          <w:kern w:val="0"/>
          <w14:ligatures w14:val="none"/>
        </w:rPr>
        <w:t xml:space="preserve">omité creado por la Ley 212-2014 y, en consecuencia, los gastos </w:t>
      </w:r>
      <w:r>
        <w:rPr>
          <w:rFonts w:ascii="Book Antiqua" w:eastAsia="Times New Roman" w:hAnsi="Book Antiqua" w:cs="Times New Roman"/>
          <w:kern w:val="0"/>
          <w14:ligatures w14:val="none"/>
        </w:rPr>
        <w:t>operacionales</w:t>
      </w:r>
      <w:r w:rsidRPr="00CB1979">
        <w:rPr>
          <w:rFonts w:ascii="Book Antiqua" w:eastAsia="Times New Roman" w:hAnsi="Book Antiqua" w:cs="Times New Roman"/>
          <w:kern w:val="0"/>
          <w14:ligatures w14:val="none"/>
        </w:rPr>
        <w:t>.</w:t>
      </w:r>
      <w:r w:rsidRPr="00CB1979">
        <w:rPr>
          <w:rStyle w:val="FootnoteReference"/>
          <w:rFonts w:ascii="Book Antiqua" w:eastAsia="Times New Roman" w:hAnsi="Book Antiqua"/>
          <w:kern w:val="0"/>
          <w14:ligatures w14:val="none"/>
        </w:rPr>
        <w:footnoteReference w:id="14"/>
      </w:r>
      <w:r w:rsidRPr="00CB1979">
        <w:rPr>
          <w:rFonts w:ascii="Book Antiqua" w:eastAsia="Times New Roman" w:hAnsi="Book Antiqua" w:cs="Times New Roman"/>
          <w:kern w:val="0"/>
          <w14:ligatures w14:val="none"/>
        </w:rPr>
        <w:t xml:space="preserve"> </w:t>
      </w:r>
      <w:bookmarkEnd w:id="0"/>
    </w:p>
    <w:p w14:paraId="4EC80333" w14:textId="77777777" w:rsidR="00DC6E3D" w:rsidRPr="00CB1979" w:rsidRDefault="00DC6E3D" w:rsidP="00DC6E3D">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VISTA PÚBLICA</w:t>
      </w:r>
    </w:p>
    <w:p w14:paraId="6A2F9716" w14:textId="77777777" w:rsidR="00DC6E3D" w:rsidRPr="00CB1979" w:rsidRDefault="00DC6E3D" w:rsidP="00DC6E3D">
      <w:pPr>
        <w:spacing w:after="0" w:line="240" w:lineRule="auto"/>
        <w:jc w:val="center"/>
        <w:rPr>
          <w:rFonts w:ascii="Book Antiqua" w:eastAsia="Times New Roman" w:hAnsi="Book Antiqua" w:cs="Times New Roman"/>
          <w:b/>
          <w:kern w:val="0"/>
          <w14:ligatures w14:val="none"/>
        </w:rPr>
      </w:pPr>
    </w:p>
    <w:p w14:paraId="12564911" w14:textId="21EB7C26" w:rsidR="009A03B4" w:rsidRPr="000D79AE" w:rsidRDefault="00DC6E3D" w:rsidP="000D79AE">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Esta Comisión decidió no realizar Vistas Públicas, toda vez que la información proporcionada por las entidades que remitieron Memoriales Explicativos resultó suficiente para ponderar el alcance del proyecto de ley, aprovechando y utilizando así los recursos del Gobierno de Puerto Rico, y en particular la Asamblea Legislativa, de la manera más eficiente y costo-efectiva posible. </w:t>
      </w:r>
    </w:p>
    <w:p w14:paraId="015F67E8" w14:textId="41B68698" w:rsidR="00F94272" w:rsidRPr="000C1572" w:rsidRDefault="00CB4BCC" w:rsidP="00611FCD">
      <w:pPr>
        <w:spacing w:before="240" w:after="0" w:line="360" w:lineRule="auto"/>
        <w:jc w:val="center"/>
        <w:rPr>
          <w:rFonts w:ascii="Book Antiqua" w:eastAsia="Calibri" w:hAnsi="Book Antiqua" w:cs="Times New Roman"/>
          <w:b/>
          <w:bCs/>
          <w:spacing w:val="12"/>
          <w:kern w:val="0"/>
          <w14:ligatures w14:val="none"/>
        </w:rPr>
      </w:pPr>
      <w:r w:rsidRPr="000C1572">
        <w:rPr>
          <w:rFonts w:ascii="Book Antiqua" w:eastAsia="Calibri" w:hAnsi="Book Antiqua" w:cs="Times New Roman"/>
          <w:b/>
          <w:bCs/>
          <w:spacing w:val="12"/>
          <w:kern w:val="0"/>
          <w14:ligatures w14:val="none"/>
        </w:rPr>
        <w:lastRenderedPageBreak/>
        <w:t>ANÁLISIS DE LA MEDIDA</w:t>
      </w:r>
    </w:p>
    <w:p w14:paraId="04A556FB" w14:textId="77777777" w:rsidR="00A81845" w:rsidRDefault="00A81845" w:rsidP="00611FCD">
      <w:pPr>
        <w:spacing w:line="360" w:lineRule="auto"/>
        <w:ind w:firstLine="708"/>
        <w:jc w:val="both"/>
        <w:rPr>
          <w:rFonts w:ascii="Book Antiqua" w:hAnsi="Book Antiqua"/>
        </w:rPr>
      </w:pPr>
      <w:r w:rsidRPr="0053157F">
        <w:rPr>
          <w:rFonts w:ascii="Book Antiqua" w:hAnsi="Book Antiqua"/>
        </w:rPr>
        <w:t>La Ley 212-2014</w:t>
      </w:r>
      <w:r>
        <w:rPr>
          <w:rFonts w:ascii="Book Antiqua" w:hAnsi="Book Antiqua"/>
        </w:rPr>
        <w:t xml:space="preserve">, </w:t>
      </w:r>
      <w:r w:rsidRPr="00B934F1">
        <w:rPr>
          <w:rFonts w:ascii="Book Antiqua" w:hAnsi="Book Antiqua"/>
          <w:i/>
          <w:iCs/>
        </w:rPr>
        <w:t>supra</w:t>
      </w:r>
      <w:r>
        <w:rPr>
          <w:rFonts w:ascii="Book Antiqua" w:hAnsi="Book Antiqua"/>
        </w:rPr>
        <w:t>,</w:t>
      </w:r>
      <w:r w:rsidRPr="0053157F">
        <w:rPr>
          <w:rFonts w:ascii="Book Antiqua" w:hAnsi="Book Antiqua"/>
        </w:rPr>
        <w:t xml:space="preserve"> fue aprobada con el propósito de </w:t>
      </w:r>
      <w:r>
        <w:rPr>
          <w:rFonts w:ascii="Book Antiqua" w:hAnsi="Book Antiqua"/>
        </w:rPr>
        <w:t xml:space="preserve">crear el Comité </w:t>
      </w:r>
      <w:proofErr w:type="spellStart"/>
      <w:r>
        <w:rPr>
          <w:rFonts w:ascii="Book Antiqua" w:hAnsi="Book Antiqua"/>
        </w:rPr>
        <w:t>Interagencial</w:t>
      </w:r>
      <w:proofErr w:type="spellEnd"/>
      <w:r>
        <w:rPr>
          <w:rFonts w:ascii="Book Antiqua" w:hAnsi="Book Antiqua"/>
        </w:rPr>
        <w:t xml:space="preserve"> para el Desarrollo y Preservación del Tren de Arroyo (Comité</w:t>
      </w:r>
      <w:r w:rsidRPr="009A03B4">
        <w:t xml:space="preserve"> </w:t>
      </w:r>
      <w:r w:rsidRPr="009A03B4">
        <w:rPr>
          <w:rFonts w:ascii="Book Antiqua" w:hAnsi="Book Antiqua"/>
        </w:rPr>
        <w:t>concebido como el ente encargado de coordinar los esfuerzos dirigidos a la preservación del antiguo Tren de Arroyo</w:t>
      </w:r>
      <w:r>
        <w:rPr>
          <w:rFonts w:ascii="Book Antiqua" w:hAnsi="Book Antiqua"/>
        </w:rPr>
        <w:t>)</w:t>
      </w:r>
      <w:r w:rsidRPr="009A03B4">
        <w:rPr>
          <w:rFonts w:ascii="Book Antiqua" w:hAnsi="Book Antiqua"/>
        </w:rPr>
        <w:t>. Dicho Comité estaría integrado</w:t>
      </w:r>
      <w:r>
        <w:rPr>
          <w:rFonts w:ascii="Book Antiqua" w:hAnsi="Book Antiqua"/>
        </w:rPr>
        <w:t xml:space="preserve"> por el </w:t>
      </w:r>
      <w:proofErr w:type="gramStart"/>
      <w:r>
        <w:rPr>
          <w:rFonts w:ascii="Book Antiqua" w:hAnsi="Book Antiqua"/>
        </w:rPr>
        <w:t>Alcalde</w:t>
      </w:r>
      <w:proofErr w:type="gramEnd"/>
      <w:r>
        <w:rPr>
          <w:rFonts w:ascii="Book Antiqua" w:hAnsi="Book Antiqua"/>
        </w:rPr>
        <w:t xml:space="preserve"> del Municipio de Arroyo, el </w:t>
      </w:r>
      <w:proofErr w:type="gramStart"/>
      <w:r>
        <w:rPr>
          <w:rFonts w:ascii="Book Antiqua" w:hAnsi="Book Antiqua"/>
        </w:rPr>
        <w:t>Secretario</w:t>
      </w:r>
      <w:proofErr w:type="gramEnd"/>
      <w:r>
        <w:rPr>
          <w:rFonts w:ascii="Book Antiqua" w:hAnsi="Book Antiqua"/>
        </w:rPr>
        <w:t xml:space="preserve"> del Departamento de Transportación y Obras Públicas, el </w:t>
      </w:r>
      <w:proofErr w:type="gramStart"/>
      <w:r>
        <w:rPr>
          <w:rFonts w:ascii="Book Antiqua" w:hAnsi="Book Antiqua"/>
        </w:rPr>
        <w:t>Presidente</w:t>
      </w:r>
      <w:proofErr w:type="gramEnd"/>
      <w:r>
        <w:rPr>
          <w:rFonts w:ascii="Book Antiqua" w:hAnsi="Book Antiqua"/>
        </w:rPr>
        <w:t xml:space="preserve"> de la Junta de Planificación, el </w:t>
      </w:r>
      <w:proofErr w:type="gramStart"/>
      <w:r>
        <w:rPr>
          <w:rFonts w:ascii="Book Antiqua" w:hAnsi="Book Antiqua"/>
        </w:rPr>
        <w:t>Director Ejecutivo</w:t>
      </w:r>
      <w:proofErr w:type="gramEnd"/>
      <w:r>
        <w:rPr>
          <w:rFonts w:ascii="Book Antiqua" w:hAnsi="Book Antiqua"/>
        </w:rPr>
        <w:t xml:space="preserve"> de la Oficina de Preservación Histórica, el </w:t>
      </w:r>
      <w:proofErr w:type="gramStart"/>
      <w:r>
        <w:rPr>
          <w:rFonts w:ascii="Book Antiqua" w:hAnsi="Book Antiqua"/>
        </w:rPr>
        <w:t>Director Ejecutivo</w:t>
      </w:r>
      <w:proofErr w:type="gramEnd"/>
      <w:r>
        <w:rPr>
          <w:rFonts w:ascii="Book Antiqua" w:hAnsi="Book Antiqua"/>
        </w:rPr>
        <w:t xml:space="preserve"> de la Autoridad de Energía Eléctrica y el Administrador de la Administración de Terrenos y el </w:t>
      </w:r>
      <w:proofErr w:type="gramStart"/>
      <w:r>
        <w:rPr>
          <w:rFonts w:ascii="Book Antiqua" w:hAnsi="Book Antiqua"/>
        </w:rPr>
        <w:t>Director</w:t>
      </w:r>
      <w:proofErr w:type="gramEnd"/>
      <w:r>
        <w:rPr>
          <w:rFonts w:ascii="Book Antiqua" w:hAnsi="Book Antiqua"/>
        </w:rPr>
        <w:t xml:space="preserve"> de la Compañía de Turismo. </w:t>
      </w:r>
      <w:r w:rsidRPr="0053157F">
        <w:rPr>
          <w:rFonts w:ascii="Book Antiqua" w:hAnsi="Book Antiqua"/>
        </w:rPr>
        <w:t xml:space="preserve">No obstante, </w:t>
      </w:r>
      <w:proofErr w:type="gramStart"/>
      <w:r>
        <w:rPr>
          <w:rFonts w:ascii="Book Antiqua" w:hAnsi="Book Antiqua"/>
        </w:rPr>
        <w:t>al día de hoy</w:t>
      </w:r>
      <w:proofErr w:type="gramEnd"/>
      <w:r>
        <w:rPr>
          <w:rFonts w:ascii="Book Antiqua" w:hAnsi="Book Antiqua"/>
        </w:rPr>
        <w:t xml:space="preserve">, el </w:t>
      </w:r>
      <w:r w:rsidRPr="0053157F">
        <w:rPr>
          <w:rFonts w:ascii="Book Antiqua" w:hAnsi="Book Antiqua"/>
        </w:rPr>
        <w:t>Comité nunca logró consolidarse como un cuerpo funcional</w:t>
      </w:r>
      <w:r>
        <w:rPr>
          <w:rFonts w:ascii="Book Antiqua" w:hAnsi="Book Antiqua"/>
        </w:rPr>
        <w:t xml:space="preserve">, </w:t>
      </w:r>
      <w:r w:rsidRPr="0053157F">
        <w:rPr>
          <w:rFonts w:ascii="Book Antiqua" w:hAnsi="Book Antiqua"/>
        </w:rPr>
        <w:t>lo que ha resultado en su inoperancia absoluta.</w:t>
      </w:r>
      <w:r>
        <w:rPr>
          <w:rFonts w:ascii="Book Antiqua" w:hAnsi="Book Antiqua"/>
        </w:rPr>
        <w:t xml:space="preserve"> Dicha</w:t>
      </w:r>
      <w:r w:rsidRPr="0053157F">
        <w:rPr>
          <w:rFonts w:ascii="Book Antiqua" w:hAnsi="Book Antiqua"/>
        </w:rPr>
        <w:t xml:space="preserve"> falta de actividad ha impedido que el Comité cumpla con los objetivos para los cuales fue creado.</w:t>
      </w:r>
      <w:r>
        <w:rPr>
          <w:rFonts w:ascii="Book Antiqua" w:hAnsi="Book Antiqua"/>
        </w:rPr>
        <w:t xml:space="preserve"> </w:t>
      </w:r>
    </w:p>
    <w:p w14:paraId="01B7F420" w14:textId="165BB849" w:rsidR="00BD5256" w:rsidRDefault="006B6070" w:rsidP="00A81845">
      <w:pPr>
        <w:spacing w:before="240" w:line="360" w:lineRule="auto"/>
        <w:ind w:firstLine="706"/>
        <w:jc w:val="both"/>
        <w:rPr>
          <w:rFonts w:ascii="Book Antiqua" w:eastAsia="Calibri" w:hAnsi="Book Antiqua" w:cs="Times New Roman"/>
          <w:bCs/>
          <w:kern w:val="0"/>
          <w14:ligatures w14:val="none"/>
        </w:rPr>
      </w:pPr>
      <w:r w:rsidRPr="000C1572">
        <w:rPr>
          <w:rFonts w:ascii="Book Antiqua" w:eastAsia="Calibri" w:hAnsi="Book Antiqua" w:cs="Times New Roman"/>
          <w:bCs/>
          <w:kern w:val="0"/>
          <w14:ligatures w14:val="none"/>
        </w:rPr>
        <w:t xml:space="preserve">Luego de evaluar detenidamente los comentarios recibidos, esta Comisión </w:t>
      </w:r>
      <w:r w:rsidR="00AA517B">
        <w:rPr>
          <w:rFonts w:ascii="Book Antiqua" w:eastAsia="Calibri" w:hAnsi="Book Antiqua" w:cs="Times New Roman"/>
          <w:bCs/>
          <w:kern w:val="0"/>
          <w14:ligatures w14:val="none"/>
        </w:rPr>
        <w:t xml:space="preserve">concluye que </w:t>
      </w:r>
      <w:r w:rsidR="00B479DE" w:rsidRPr="00B479DE">
        <w:rPr>
          <w:rFonts w:ascii="Book Antiqua" w:eastAsia="Calibri" w:hAnsi="Book Antiqua" w:cs="Times New Roman"/>
          <w:bCs/>
          <w:kern w:val="0"/>
          <w14:ligatures w14:val="none"/>
        </w:rPr>
        <w:t>la derogación de la Ley 212-2014</w:t>
      </w:r>
      <w:r w:rsidR="00AA03D1">
        <w:rPr>
          <w:rFonts w:ascii="Book Antiqua" w:eastAsia="Calibri" w:hAnsi="Book Antiqua" w:cs="Times New Roman"/>
          <w:bCs/>
          <w:kern w:val="0"/>
          <w14:ligatures w14:val="none"/>
        </w:rPr>
        <w:t>, según propone el P. del S. 770,</w:t>
      </w:r>
      <w:r w:rsidR="00B479DE" w:rsidRPr="00B479DE">
        <w:rPr>
          <w:rFonts w:ascii="Book Antiqua" w:eastAsia="Calibri" w:hAnsi="Book Antiqua" w:cs="Times New Roman"/>
          <w:bCs/>
          <w:kern w:val="0"/>
          <w14:ligatures w14:val="none"/>
        </w:rPr>
        <w:t xml:space="preserve"> es una acción necesaria y justificada </w:t>
      </w:r>
      <w:r w:rsidR="00B479DE">
        <w:rPr>
          <w:rFonts w:ascii="Book Antiqua" w:eastAsia="Calibri" w:hAnsi="Book Antiqua" w:cs="Times New Roman"/>
          <w:bCs/>
          <w:kern w:val="0"/>
          <w14:ligatures w14:val="none"/>
        </w:rPr>
        <w:t>en atención a</w:t>
      </w:r>
      <w:r w:rsidR="00B479DE" w:rsidRPr="00B479DE">
        <w:rPr>
          <w:rFonts w:ascii="Book Antiqua" w:eastAsia="Calibri" w:hAnsi="Book Antiqua" w:cs="Times New Roman"/>
          <w:bCs/>
          <w:kern w:val="0"/>
          <w14:ligatures w14:val="none"/>
        </w:rPr>
        <w:t xml:space="preserve"> la inoperancia del Comité </w:t>
      </w:r>
      <w:proofErr w:type="spellStart"/>
      <w:r w:rsidR="00B479DE" w:rsidRPr="00B479DE">
        <w:rPr>
          <w:rFonts w:ascii="Book Antiqua" w:eastAsia="Calibri" w:hAnsi="Book Antiqua" w:cs="Times New Roman"/>
          <w:bCs/>
          <w:kern w:val="0"/>
          <w14:ligatures w14:val="none"/>
        </w:rPr>
        <w:t>Interagencial</w:t>
      </w:r>
      <w:proofErr w:type="spellEnd"/>
      <w:r w:rsidR="00B479DE" w:rsidRPr="00B479DE">
        <w:rPr>
          <w:rFonts w:ascii="Book Antiqua" w:eastAsia="Calibri" w:hAnsi="Book Antiqua" w:cs="Times New Roman"/>
          <w:bCs/>
          <w:kern w:val="0"/>
          <w14:ligatures w14:val="none"/>
        </w:rPr>
        <w:t xml:space="preserve"> para el Desarrollo y Preservación del Tren de Arroyo</w:t>
      </w:r>
      <w:r w:rsidR="00BD5256">
        <w:rPr>
          <w:rFonts w:ascii="Book Antiqua" w:eastAsia="Calibri" w:hAnsi="Book Antiqua" w:cs="Times New Roman"/>
          <w:bCs/>
          <w:kern w:val="0"/>
          <w14:ligatures w14:val="none"/>
        </w:rPr>
        <w:t xml:space="preserve">. </w:t>
      </w:r>
      <w:r w:rsidR="00BD5256" w:rsidRPr="00BD5256">
        <w:rPr>
          <w:rFonts w:ascii="Book Antiqua" w:eastAsia="Calibri" w:hAnsi="Book Antiqua" w:cs="Times New Roman"/>
          <w:bCs/>
          <w:kern w:val="0"/>
          <w14:ligatures w14:val="none"/>
        </w:rPr>
        <w:t xml:space="preserve">Mediante esta medida se elimina una estructura administrativa que no ha cumplido con los fines para los cuales fue creada y que, </w:t>
      </w:r>
      <w:r w:rsidR="00763221">
        <w:rPr>
          <w:rFonts w:ascii="Book Antiqua" w:eastAsia="Calibri" w:hAnsi="Book Antiqua" w:cs="Times New Roman"/>
          <w:bCs/>
          <w:kern w:val="0"/>
          <w14:ligatures w14:val="none"/>
        </w:rPr>
        <w:t>como</w:t>
      </w:r>
      <w:r w:rsidR="00BD5256" w:rsidRPr="00BD5256">
        <w:rPr>
          <w:rFonts w:ascii="Book Antiqua" w:eastAsia="Calibri" w:hAnsi="Book Antiqua" w:cs="Times New Roman"/>
          <w:bCs/>
          <w:kern w:val="0"/>
          <w14:ligatures w14:val="none"/>
        </w:rPr>
        <w:t xml:space="preserve"> consecuencia, resulta innecesaria y redundante dentro del andamiaje gubernamental.</w:t>
      </w:r>
    </w:p>
    <w:p w14:paraId="766AB9E7" w14:textId="26496F54" w:rsidR="00B479DE" w:rsidRPr="00B479DE" w:rsidRDefault="00B479DE" w:rsidP="00B479DE">
      <w:pPr>
        <w:spacing w:before="240" w:line="360" w:lineRule="auto"/>
        <w:ind w:firstLine="706"/>
        <w:jc w:val="both"/>
        <w:rPr>
          <w:rFonts w:ascii="Book Antiqua" w:eastAsia="Calibri" w:hAnsi="Book Antiqua" w:cs="Times New Roman"/>
          <w:bCs/>
          <w:kern w:val="0"/>
          <w14:ligatures w14:val="none"/>
        </w:rPr>
      </w:pPr>
      <w:r w:rsidRPr="00B479DE">
        <w:rPr>
          <w:rFonts w:ascii="Book Antiqua" w:eastAsia="Calibri" w:hAnsi="Book Antiqua" w:cs="Times New Roman"/>
          <w:bCs/>
          <w:kern w:val="0"/>
          <w14:ligatures w14:val="none"/>
        </w:rPr>
        <w:t>Del análisis realizado surge que la permanencia de dicho organismo en el ordenamiento jurídico no adelanta política pública alguna, sino que, por el contrario, contribuye a la proliferación de entidades inactivas que dificultan una gestión gubernamental eficiente</w:t>
      </w:r>
      <w:r>
        <w:rPr>
          <w:rFonts w:ascii="Book Antiqua" w:eastAsia="Calibri" w:hAnsi="Book Antiqua" w:cs="Times New Roman"/>
          <w:bCs/>
          <w:kern w:val="0"/>
          <w14:ligatures w14:val="none"/>
        </w:rPr>
        <w:t xml:space="preserve"> y ágil</w:t>
      </w:r>
      <w:r w:rsidRPr="00B479DE">
        <w:rPr>
          <w:rFonts w:ascii="Book Antiqua" w:eastAsia="Calibri" w:hAnsi="Book Antiqua" w:cs="Times New Roman"/>
          <w:bCs/>
          <w:kern w:val="0"/>
          <w14:ligatures w14:val="none"/>
        </w:rPr>
        <w:t xml:space="preserve">. En ese sentido, la medida se alinea con los principios de </w:t>
      </w:r>
      <w:r w:rsidR="00BD5256">
        <w:rPr>
          <w:rFonts w:ascii="Book Antiqua" w:eastAsia="Calibri" w:hAnsi="Book Antiqua" w:cs="Times New Roman"/>
          <w:bCs/>
          <w:kern w:val="0"/>
          <w14:ligatures w14:val="none"/>
        </w:rPr>
        <w:t>la sana</w:t>
      </w:r>
      <w:r w:rsidRPr="00B479DE">
        <w:rPr>
          <w:rFonts w:ascii="Book Antiqua" w:eastAsia="Calibri" w:hAnsi="Book Antiqua" w:cs="Times New Roman"/>
          <w:bCs/>
          <w:kern w:val="0"/>
          <w14:ligatures w14:val="none"/>
        </w:rPr>
        <w:t xml:space="preserve"> administración pública al promover la eliminación de duplicidades innecesarias.</w:t>
      </w:r>
    </w:p>
    <w:p w14:paraId="6D4531B6" w14:textId="1D09EE3B" w:rsidR="00AF32B1" w:rsidRDefault="00B479DE" w:rsidP="002E510F">
      <w:pPr>
        <w:spacing w:after="0" w:line="360" w:lineRule="auto"/>
        <w:ind w:firstLine="708"/>
        <w:jc w:val="both"/>
        <w:rPr>
          <w:rFonts w:ascii="Book Antiqua" w:eastAsia="Calibri" w:hAnsi="Book Antiqua" w:cs="Times New Roman"/>
          <w:bCs/>
          <w:kern w:val="0"/>
          <w14:ligatures w14:val="none"/>
        </w:rPr>
      </w:pPr>
      <w:r w:rsidRPr="00B479DE">
        <w:rPr>
          <w:rFonts w:ascii="Book Antiqua" w:eastAsia="Calibri" w:hAnsi="Book Antiqua" w:cs="Times New Roman"/>
          <w:bCs/>
          <w:kern w:val="0"/>
          <w14:ligatures w14:val="none"/>
        </w:rPr>
        <w:t xml:space="preserve">Asimismo, esta Comisión reconoce que la derogación propuesta no menoscaba los esfuerzos de preservación histórica ni el potencial desarrollo turístico del antiguo Tren del Sur. Por el contrario, permite que dichas iniciativas sean atendidas por entidades con </w:t>
      </w:r>
      <w:r w:rsidRPr="00B479DE">
        <w:rPr>
          <w:rFonts w:ascii="Book Antiqua" w:eastAsia="Calibri" w:hAnsi="Book Antiqua" w:cs="Times New Roman"/>
          <w:bCs/>
          <w:kern w:val="0"/>
          <w14:ligatures w14:val="none"/>
        </w:rPr>
        <w:lastRenderedPageBreak/>
        <w:t>capacidad operacional real y competencia directa en la materia, lo que re</w:t>
      </w:r>
      <w:r w:rsidR="00763221">
        <w:rPr>
          <w:rFonts w:ascii="Book Antiqua" w:eastAsia="Calibri" w:hAnsi="Book Antiqua" w:cs="Times New Roman"/>
          <w:bCs/>
          <w:kern w:val="0"/>
          <w14:ligatures w14:val="none"/>
        </w:rPr>
        <w:t>sulta</w:t>
      </w:r>
      <w:r w:rsidRPr="00B479DE">
        <w:rPr>
          <w:rFonts w:ascii="Book Antiqua" w:eastAsia="Calibri" w:hAnsi="Book Antiqua" w:cs="Times New Roman"/>
          <w:bCs/>
          <w:kern w:val="0"/>
          <w14:ligatures w14:val="none"/>
        </w:rPr>
        <w:t xml:space="preserve"> en una ejecución más efectiva de la política pública.</w:t>
      </w:r>
      <w:r w:rsidR="00B6689C" w:rsidRPr="00B6689C">
        <w:rPr>
          <w:rFonts w:ascii="Book Antiqua" w:hAnsi="Book Antiqua"/>
        </w:rPr>
        <w:t xml:space="preserve"> </w:t>
      </w:r>
      <w:r w:rsidRPr="00B479DE">
        <w:rPr>
          <w:rFonts w:ascii="Book Antiqua" w:eastAsia="Calibri" w:hAnsi="Book Antiqua" w:cs="Times New Roman"/>
          <w:bCs/>
          <w:kern w:val="0"/>
          <w14:ligatures w14:val="none"/>
        </w:rPr>
        <w:t xml:space="preserve">De igual forma, se considera persuasivo </w:t>
      </w:r>
      <w:r w:rsidR="002E510F" w:rsidRPr="00B479DE">
        <w:rPr>
          <w:rFonts w:ascii="Book Antiqua" w:eastAsia="Calibri" w:hAnsi="Book Antiqua" w:cs="Times New Roman"/>
          <w:bCs/>
          <w:kern w:val="0"/>
          <w14:ligatures w14:val="none"/>
        </w:rPr>
        <w:t xml:space="preserve">el </w:t>
      </w:r>
      <w:r w:rsidR="002E510F">
        <w:rPr>
          <w:rFonts w:ascii="Book Antiqua" w:eastAsia="Calibri" w:hAnsi="Book Antiqua" w:cs="Times New Roman"/>
          <w:bCs/>
          <w:kern w:val="0"/>
          <w14:ligatures w14:val="none"/>
        </w:rPr>
        <w:t>hecho</w:t>
      </w:r>
      <w:r w:rsidR="00B6689C">
        <w:rPr>
          <w:rFonts w:ascii="Book Antiqua" w:eastAsia="Calibri" w:hAnsi="Book Antiqua" w:cs="Times New Roman"/>
          <w:bCs/>
          <w:kern w:val="0"/>
          <w14:ligatures w14:val="none"/>
        </w:rPr>
        <w:t xml:space="preserve"> de que tanto</w:t>
      </w:r>
      <w:r w:rsidRPr="00B479DE">
        <w:rPr>
          <w:rFonts w:ascii="Book Antiqua" w:eastAsia="Calibri" w:hAnsi="Book Antiqua" w:cs="Times New Roman"/>
          <w:bCs/>
          <w:kern w:val="0"/>
          <w14:ligatures w14:val="none"/>
        </w:rPr>
        <w:t xml:space="preserve"> </w:t>
      </w:r>
      <w:r w:rsidR="00B6689C">
        <w:rPr>
          <w:rFonts w:ascii="Book Antiqua" w:eastAsia="Calibri" w:hAnsi="Book Antiqua" w:cs="Times New Roman"/>
          <w:bCs/>
          <w:kern w:val="0"/>
          <w14:ligatures w14:val="none"/>
        </w:rPr>
        <w:t>la OPAL como AAFAF consideran que la medida</w:t>
      </w:r>
      <w:r w:rsidRPr="00B479DE">
        <w:rPr>
          <w:rFonts w:ascii="Book Antiqua" w:eastAsia="Calibri" w:hAnsi="Book Antiqua" w:cs="Times New Roman"/>
          <w:bCs/>
          <w:kern w:val="0"/>
          <w14:ligatures w14:val="none"/>
        </w:rPr>
        <w:t xml:space="preserve"> no conlleva impacto fiscal adverso</w:t>
      </w:r>
      <w:r w:rsidR="00B6689C">
        <w:rPr>
          <w:rFonts w:ascii="Book Antiqua" w:eastAsia="Calibri" w:hAnsi="Book Antiqua" w:cs="Times New Roman"/>
          <w:bCs/>
          <w:kern w:val="0"/>
          <w14:ligatures w14:val="none"/>
        </w:rPr>
        <w:t>, no contraviene el plan fiscal certificado, y</w:t>
      </w:r>
      <w:r w:rsidRPr="00B479DE">
        <w:rPr>
          <w:rFonts w:ascii="Book Antiqua" w:eastAsia="Calibri" w:hAnsi="Book Antiqua" w:cs="Times New Roman"/>
          <w:bCs/>
          <w:kern w:val="0"/>
          <w14:ligatures w14:val="none"/>
        </w:rPr>
        <w:t xml:space="preserve"> podría generar ahorros al eliminar gastos asociados a un organismo inactivo.</w:t>
      </w:r>
    </w:p>
    <w:p w14:paraId="2F2986C1" w14:textId="435ABE30" w:rsidR="00B6689C" w:rsidRPr="00B6689C" w:rsidRDefault="00B6689C" w:rsidP="002E510F">
      <w:pPr>
        <w:spacing w:line="360" w:lineRule="auto"/>
        <w:ind w:firstLine="708"/>
        <w:jc w:val="both"/>
        <w:rPr>
          <w:rFonts w:ascii="Book Antiqua" w:hAnsi="Book Antiqua"/>
        </w:rPr>
      </w:pPr>
      <w:r w:rsidRPr="0053157F">
        <w:rPr>
          <w:rFonts w:ascii="Book Antiqua" w:hAnsi="Book Antiqua"/>
        </w:rPr>
        <w:t>Ante esta realidad, reconoce</w:t>
      </w:r>
      <w:r>
        <w:rPr>
          <w:rFonts w:ascii="Book Antiqua" w:hAnsi="Book Antiqua"/>
        </w:rPr>
        <w:t>mos</w:t>
      </w:r>
      <w:r w:rsidRPr="0053157F">
        <w:rPr>
          <w:rFonts w:ascii="Book Antiqua" w:hAnsi="Book Antiqua"/>
        </w:rPr>
        <w:t xml:space="preserve"> la necesidad de</w:t>
      </w:r>
      <w:r>
        <w:rPr>
          <w:rFonts w:ascii="Book Antiqua" w:hAnsi="Book Antiqua"/>
        </w:rPr>
        <w:t xml:space="preserve"> </w:t>
      </w:r>
      <w:r w:rsidRPr="0053157F">
        <w:rPr>
          <w:rFonts w:ascii="Book Antiqua" w:hAnsi="Book Antiqua"/>
        </w:rPr>
        <w:t>elimin</w:t>
      </w:r>
      <w:r>
        <w:rPr>
          <w:rFonts w:ascii="Book Antiqua" w:hAnsi="Book Antiqua"/>
        </w:rPr>
        <w:t xml:space="preserve">ar </w:t>
      </w:r>
      <w:r w:rsidRPr="0053157F">
        <w:rPr>
          <w:rFonts w:ascii="Book Antiqua" w:hAnsi="Book Antiqua"/>
        </w:rPr>
        <w:t>estructuras redundantes</w:t>
      </w:r>
      <w:r>
        <w:rPr>
          <w:rFonts w:ascii="Book Antiqua" w:hAnsi="Book Antiqua"/>
        </w:rPr>
        <w:t xml:space="preserve"> e inoperantes, particularmente, cuando</w:t>
      </w:r>
      <w:r w:rsidRPr="0053157F">
        <w:rPr>
          <w:rFonts w:ascii="Book Antiqua" w:hAnsi="Book Antiqua"/>
        </w:rPr>
        <w:t xml:space="preserve"> </w:t>
      </w:r>
      <w:r>
        <w:rPr>
          <w:rFonts w:ascii="Book Antiqua" w:hAnsi="Book Antiqua"/>
        </w:rPr>
        <w:t>la propia medida reconoce que</w:t>
      </w:r>
      <w:r w:rsidRPr="0053157F">
        <w:rPr>
          <w:rFonts w:ascii="Book Antiqua" w:hAnsi="Book Antiqua"/>
        </w:rPr>
        <w:t xml:space="preserve"> existen entidades con competencia directa que pueden asumir de manera más efectiva cualquier iniciativa relacionada con la preservación y promoción del patrimonio ferroviario del área.</w:t>
      </w:r>
    </w:p>
    <w:p w14:paraId="6B6F77A8" w14:textId="3416E468" w:rsidR="00C94F38" w:rsidRPr="000C1572" w:rsidRDefault="00CB4BCC" w:rsidP="00AA517B">
      <w:pPr>
        <w:spacing w:before="240" w:line="360" w:lineRule="auto"/>
        <w:jc w:val="center"/>
        <w:rPr>
          <w:rFonts w:ascii="Book Antiqua" w:eastAsia="Book Antiqua" w:hAnsi="Book Antiqua" w:cs="Book Antiqua"/>
          <w:b/>
          <w:spacing w:val="12"/>
          <w:kern w:val="0"/>
          <w14:ligatures w14:val="none"/>
        </w:rPr>
      </w:pPr>
      <w:r w:rsidRPr="000C1572">
        <w:rPr>
          <w:rFonts w:ascii="Book Antiqua" w:eastAsia="Book Antiqua" w:hAnsi="Book Antiqua" w:cs="Book Antiqua"/>
          <w:b/>
          <w:spacing w:val="12"/>
          <w:kern w:val="0"/>
          <w14:ligatures w14:val="none"/>
        </w:rPr>
        <w:t>CONCLUSIÓN</w:t>
      </w:r>
    </w:p>
    <w:p w14:paraId="21488ADE" w14:textId="164FB93D" w:rsidR="000743E5" w:rsidRPr="000C1572" w:rsidRDefault="000743E5" w:rsidP="00BB61EE">
      <w:pPr>
        <w:pStyle w:val="NormalWeb"/>
        <w:spacing w:before="240" w:beforeAutospacing="0" w:after="160" w:afterAutospacing="0" w:line="360" w:lineRule="auto"/>
        <w:ind w:firstLine="708"/>
        <w:jc w:val="both"/>
        <w:rPr>
          <w:rFonts w:ascii="Book Antiqua" w:hAnsi="Book Antiqua"/>
        </w:rPr>
      </w:pPr>
      <w:r w:rsidRPr="000C1572">
        <w:rPr>
          <w:rFonts w:ascii="Book Antiqua" w:hAnsi="Book Antiqua"/>
        </w:rPr>
        <w:t xml:space="preserve">Por los fundamentos expuestos, la </w:t>
      </w:r>
      <w:r w:rsidR="00101F54">
        <w:rPr>
          <w:rFonts w:ascii="Book Antiqua" w:hAnsi="Book Antiqua"/>
        </w:rPr>
        <w:t>Comisión de Reorganización, Eficiencia y Diligencia</w:t>
      </w:r>
      <w:r w:rsidRPr="000C1572">
        <w:rPr>
          <w:rFonts w:ascii="Book Antiqua" w:hAnsi="Book Antiqua"/>
        </w:rPr>
        <w:t xml:space="preserve"> </w:t>
      </w:r>
      <w:r w:rsidRPr="0099000B">
        <w:rPr>
          <w:rFonts w:ascii="Book Antiqua" w:hAnsi="Book Antiqua"/>
        </w:rPr>
        <w:t xml:space="preserve">recomienda la </w:t>
      </w:r>
      <w:r w:rsidRPr="00611FCD">
        <w:rPr>
          <w:rFonts w:ascii="Book Antiqua" w:hAnsi="Book Antiqua"/>
          <w:b/>
          <w:bCs/>
        </w:rPr>
        <w:t xml:space="preserve">aprobación del </w:t>
      </w:r>
      <w:r w:rsidR="004D661C" w:rsidRPr="00611FCD">
        <w:rPr>
          <w:rFonts w:ascii="Book Antiqua" w:hAnsi="Book Antiqua"/>
          <w:b/>
          <w:bCs/>
        </w:rPr>
        <w:t>P. del S. 770</w:t>
      </w:r>
      <w:r w:rsidRPr="000C1572">
        <w:rPr>
          <w:rFonts w:ascii="Book Antiqua" w:hAnsi="Book Antiqua"/>
        </w:rPr>
        <w:t xml:space="preserve">, </w:t>
      </w:r>
      <w:r w:rsidR="00A81845">
        <w:rPr>
          <w:rFonts w:ascii="Book Antiqua" w:hAnsi="Book Antiqua"/>
        </w:rPr>
        <w:t xml:space="preserve">según remitido por el Senado de Puerto Rico a este Cuerpo Legislativo, </w:t>
      </w:r>
      <w:r w:rsidR="00A81845" w:rsidRPr="00611FCD">
        <w:rPr>
          <w:rFonts w:ascii="Book Antiqua" w:hAnsi="Book Antiqua"/>
          <w:u w:val="single"/>
        </w:rPr>
        <w:t>sin enmiendas</w:t>
      </w:r>
      <w:r w:rsidR="00A81845">
        <w:rPr>
          <w:rFonts w:ascii="Book Antiqua" w:hAnsi="Book Antiqua"/>
        </w:rPr>
        <w:t xml:space="preserve">. </w:t>
      </w:r>
    </w:p>
    <w:p w14:paraId="44E63056" w14:textId="77777777" w:rsidR="000B72A1" w:rsidRPr="000C1572" w:rsidRDefault="000B72A1" w:rsidP="000B4646">
      <w:pPr>
        <w:spacing w:after="0" w:line="360" w:lineRule="auto"/>
        <w:jc w:val="both"/>
        <w:rPr>
          <w:rFonts w:ascii="Book Antiqua" w:eastAsia="Book Antiqua" w:hAnsi="Book Antiqua" w:cs="Book Antiqua"/>
          <w:kern w:val="0"/>
          <w14:ligatures w14:val="none"/>
        </w:rPr>
      </w:pPr>
    </w:p>
    <w:p w14:paraId="5144D337" w14:textId="104868B9" w:rsidR="00CB4BCC" w:rsidRPr="000C1572" w:rsidRDefault="00CB4BCC" w:rsidP="000B4646">
      <w:pPr>
        <w:spacing w:after="0" w:line="360" w:lineRule="auto"/>
        <w:jc w:val="both"/>
        <w:rPr>
          <w:rFonts w:ascii="Book Antiqua" w:eastAsia="Book Antiqua" w:hAnsi="Book Antiqua" w:cs="Book Antiqua"/>
          <w:kern w:val="0"/>
          <w14:ligatures w14:val="none"/>
        </w:rPr>
      </w:pPr>
      <w:r w:rsidRPr="000C1572">
        <w:rPr>
          <w:rFonts w:ascii="Book Antiqua" w:eastAsia="Book Antiqua" w:hAnsi="Book Antiqua" w:cs="Book Antiqua"/>
          <w:kern w:val="0"/>
          <w14:ligatures w14:val="none"/>
        </w:rPr>
        <w:t xml:space="preserve">Respetuosamente </w:t>
      </w:r>
      <w:r w:rsidR="006B02FF" w:rsidRPr="000C1572">
        <w:rPr>
          <w:rFonts w:ascii="Book Antiqua" w:eastAsia="Book Antiqua" w:hAnsi="Book Antiqua" w:cs="Book Antiqua"/>
          <w:kern w:val="0"/>
          <w14:ligatures w14:val="none"/>
        </w:rPr>
        <w:t>presentad</w:t>
      </w:r>
      <w:r w:rsidRPr="000C1572">
        <w:rPr>
          <w:rFonts w:ascii="Book Antiqua" w:eastAsia="Book Antiqua" w:hAnsi="Book Antiqua" w:cs="Book Antiqua"/>
          <w:kern w:val="0"/>
          <w14:ligatures w14:val="none"/>
        </w:rPr>
        <w:t>o,</w:t>
      </w:r>
    </w:p>
    <w:p w14:paraId="5867B946" w14:textId="77777777" w:rsidR="00CB4BCC" w:rsidRPr="000C1572" w:rsidRDefault="00CB4BCC" w:rsidP="00CB4BCC">
      <w:pPr>
        <w:spacing w:after="0" w:line="360" w:lineRule="auto"/>
        <w:jc w:val="both"/>
        <w:rPr>
          <w:rFonts w:ascii="Book Antiqua" w:eastAsia="Book Antiqua" w:hAnsi="Book Antiqua" w:cs="Book Antiqua"/>
          <w:b/>
          <w:bCs/>
          <w:i/>
          <w:iCs/>
          <w:kern w:val="0"/>
          <w14:ligatures w14:val="none"/>
        </w:rPr>
      </w:pPr>
    </w:p>
    <w:p w14:paraId="725277FD" w14:textId="77777777" w:rsidR="00F46CE1" w:rsidRPr="000C1572" w:rsidRDefault="00F46CE1" w:rsidP="00CB4BCC">
      <w:pPr>
        <w:spacing w:after="0" w:line="360" w:lineRule="auto"/>
        <w:jc w:val="both"/>
        <w:rPr>
          <w:rFonts w:ascii="Book Antiqua" w:eastAsia="Book Antiqua" w:hAnsi="Book Antiqua" w:cs="Book Antiqua"/>
          <w:b/>
          <w:bCs/>
          <w:i/>
          <w:iCs/>
          <w:kern w:val="0"/>
          <w14:ligatures w14:val="none"/>
        </w:rPr>
      </w:pPr>
    </w:p>
    <w:p w14:paraId="1E3B9989" w14:textId="72D18292" w:rsidR="00CB4BCC" w:rsidRPr="00611FCD" w:rsidRDefault="00B479DE" w:rsidP="00CB4BCC">
      <w:pPr>
        <w:spacing w:after="0" w:line="240" w:lineRule="auto"/>
        <w:jc w:val="both"/>
        <w:rPr>
          <w:rFonts w:ascii="Book Antiqua" w:eastAsia="Book Antiqua" w:hAnsi="Book Antiqua" w:cs="Book Antiqua"/>
          <w:b/>
          <w:bCs/>
          <w:kern w:val="0"/>
          <w14:ligatures w14:val="none"/>
        </w:rPr>
      </w:pPr>
      <w:r w:rsidRPr="00611FCD">
        <w:rPr>
          <w:rFonts w:ascii="Book Antiqua" w:eastAsia="Book Antiqua" w:hAnsi="Book Antiqua" w:cs="Book Antiqua"/>
          <w:b/>
          <w:bCs/>
          <w:kern w:val="0"/>
          <w14:ligatures w14:val="none"/>
        </w:rPr>
        <w:t xml:space="preserve">Hon. </w:t>
      </w:r>
      <w:r w:rsidR="0099000B" w:rsidRPr="00611FCD">
        <w:rPr>
          <w:rFonts w:ascii="Book Antiqua" w:eastAsia="Book Antiqua" w:hAnsi="Book Antiqua" w:cs="Book Antiqua"/>
          <w:b/>
          <w:bCs/>
          <w:kern w:val="0"/>
          <w14:ligatures w14:val="none"/>
        </w:rPr>
        <w:t>Ángel A. Morey Noble</w:t>
      </w:r>
    </w:p>
    <w:p w14:paraId="6F7DCDD8" w14:textId="77777777" w:rsidR="00CB4BCC" w:rsidRPr="00161CBC" w:rsidRDefault="00CB4BCC" w:rsidP="00CB4BCC">
      <w:pPr>
        <w:spacing w:after="0" w:line="240" w:lineRule="auto"/>
        <w:jc w:val="both"/>
        <w:rPr>
          <w:rFonts w:ascii="Book Antiqua" w:eastAsia="Book Antiqua" w:hAnsi="Book Antiqua" w:cs="Book Antiqua"/>
          <w:i/>
          <w:iCs/>
          <w:kern w:val="0"/>
          <w14:ligatures w14:val="none"/>
        </w:rPr>
      </w:pPr>
      <w:r w:rsidRPr="00161CBC">
        <w:rPr>
          <w:rFonts w:ascii="Book Antiqua" w:eastAsia="Book Antiqua" w:hAnsi="Book Antiqua" w:cs="Book Antiqua"/>
          <w:i/>
          <w:iCs/>
          <w:kern w:val="0"/>
          <w14:ligatures w14:val="none"/>
        </w:rPr>
        <w:t>Presidente</w:t>
      </w:r>
    </w:p>
    <w:p w14:paraId="36546E0C" w14:textId="39D1034D" w:rsidR="00AD63FF" w:rsidRPr="000C1572" w:rsidRDefault="00101F54" w:rsidP="00644A21">
      <w:pPr>
        <w:spacing w:after="0" w:line="240" w:lineRule="auto"/>
        <w:rPr>
          <w:rFonts w:ascii="Book Antiqua" w:eastAsia="Times New Roman" w:hAnsi="Book Antiqua" w:cs="Times New Roman"/>
          <w:kern w:val="0"/>
          <w:szCs w:val="20"/>
          <w14:ligatures w14:val="none"/>
        </w:rPr>
      </w:pPr>
      <w:r>
        <w:rPr>
          <w:rFonts w:ascii="Book Antiqua" w:eastAsia="Book Antiqua" w:hAnsi="Book Antiqua" w:cs="Book Antiqua"/>
          <w:kern w:val="0"/>
          <w14:ligatures w14:val="none"/>
        </w:rPr>
        <w:t>Comisión de Reorganización, Eficiencia y Diligencia</w:t>
      </w:r>
    </w:p>
    <w:sectPr w:rsidR="00AD63FF" w:rsidRPr="000C1572" w:rsidSect="00CB4BCC">
      <w:headerReference w:type="even" r:id="rId12"/>
      <w:headerReference w:type="default" r:id="rId13"/>
      <w:footerReference w:type="even"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96EFA" w14:textId="77777777" w:rsidR="00CE47BB" w:rsidRDefault="00CE47BB">
      <w:pPr>
        <w:spacing w:after="0" w:line="240" w:lineRule="auto"/>
      </w:pPr>
      <w:r>
        <w:separator/>
      </w:r>
    </w:p>
  </w:endnote>
  <w:endnote w:type="continuationSeparator" w:id="0">
    <w:p w14:paraId="00105723" w14:textId="77777777" w:rsidR="00CE47BB" w:rsidRDefault="00CE4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dy CS)">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4690345"/>
      <w:docPartObj>
        <w:docPartGallery w:val="Page Numbers (Bottom of Page)"/>
        <w:docPartUnique/>
      </w:docPartObj>
    </w:sdtPr>
    <w:sdtEndPr>
      <w:rPr>
        <w:rStyle w:val="PageNumber"/>
      </w:rPr>
    </w:sdtEndPr>
    <w:sdtContent>
      <w:p w14:paraId="7ACD5E4D" w14:textId="4457D1EC" w:rsidR="00A81845" w:rsidRDefault="00A81845" w:rsidP="00BA6B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8E7AC64" w14:textId="77777777" w:rsidR="00A81845" w:rsidRDefault="00A818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5885981"/>
      <w:docPartObj>
        <w:docPartGallery w:val="Page Numbers (Bottom of Page)"/>
        <w:docPartUnique/>
      </w:docPartObj>
    </w:sdtPr>
    <w:sdtEndPr>
      <w:rPr>
        <w:rStyle w:val="PageNumber"/>
      </w:rPr>
    </w:sdtEndPr>
    <w:sdtContent>
      <w:p w14:paraId="2FD5075E" w14:textId="30785D5C" w:rsidR="00A81845" w:rsidRDefault="00A81845" w:rsidP="00BA6BB9">
        <w:pPr>
          <w:pStyle w:val="Footer"/>
          <w:framePr w:wrap="none" w:vAnchor="text" w:hAnchor="margin" w:xAlign="center" w:y="1"/>
          <w:rPr>
            <w:rStyle w:val="PageNumber"/>
          </w:rPr>
        </w:pPr>
        <w:r w:rsidRPr="00A81845">
          <w:rPr>
            <w:rStyle w:val="PageNumber"/>
            <w:rFonts w:ascii="Book Antiqua" w:hAnsi="Book Antiqua"/>
          </w:rPr>
          <w:fldChar w:fldCharType="begin"/>
        </w:r>
        <w:r w:rsidRPr="00A81845">
          <w:rPr>
            <w:rStyle w:val="PageNumber"/>
            <w:rFonts w:ascii="Book Antiqua" w:hAnsi="Book Antiqua"/>
          </w:rPr>
          <w:instrText xml:space="preserve"> PAGE </w:instrText>
        </w:r>
        <w:r w:rsidRPr="00A81845">
          <w:rPr>
            <w:rStyle w:val="PageNumber"/>
            <w:rFonts w:ascii="Book Antiqua" w:hAnsi="Book Antiqua"/>
          </w:rPr>
          <w:fldChar w:fldCharType="separate"/>
        </w:r>
        <w:r w:rsidRPr="00A81845">
          <w:rPr>
            <w:rStyle w:val="PageNumber"/>
            <w:rFonts w:ascii="Book Antiqua" w:hAnsi="Book Antiqua"/>
            <w:noProof/>
          </w:rPr>
          <w:t>2</w:t>
        </w:r>
        <w:r w:rsidRPr="00A81845">
          <w:rPr>
            <w:rStyle w:val="PageNumber"/>
            <w:rFonts w:ascii="Book Antiqua" w:hAnsi="Book Antiqua"/>
          </w:rPr>
          <w:fldChar w:fldCharType="end"/>
        </w:r>
      </w:p>
    </w:sdtContent>
  </w:sdt>
  <w:p w14:paraId="541E7756" w14:textId="77777777" w:rsidR="00A81845" w:rsidRDefault="00A81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F5902" w14:textId="77777777" w:rsidR="00CE47BB" w:rsidRDefault="00CE47BB">
      <w:pPr>
        <w:spacing w:after="0" w:line="240" w:lineRule="auto"/>
      </w:pPr>
      <w:r>
        <w:separator/>
      </w:r>
    </w:p>
  </w:footnote>
  <w:footnote w:type="continuationSeparator" w:id="0">
    <w:p w14:paraId="0CB9E32F" w14:textId="77777777" w:rsidR="00CE47BB" w:rsidRDefault="00CE47BB">
      <w:pPr>
        <w:spacing w:after="0" w:line="240" w:lineRule="auto"/>
      </w:pPr>
      <w:r>
        <w:continuationSeparator/>
      </w:r>
    </w:p>
  </w:footnote>
  <w:footnote w:id="1">
    <w:p w14:paraId="59371580" w14:textId="0BBD8FB5" w:rsidR="00B934F1" w:rsidRPr="00085614" w:rsidRDefault="00B934F1">
      <w:pPr>
        <w:pStyle w:val="FootnoteText"/>
        <w:rPr>
          <w:rFonts w:ascii="Book Antiqua" w:hAnsi="Book Antiqua"/>
          <w:lang w:val="es-PR"/>
        </w:rPr>
      </w:pPr>
      <w:r w:rsidRPr="00B934F1">
        <w:rPr>
          <w:rStyle w:val="FootnoteReference"/>
          <w:rFonts w:ascii="Book Antiqua" w:hAnsi="Book Antiqua"/>
        </w:rPr>
        <w:footnoteRef/>
      </w:r>
      <w:r w:rsidRPr="00B934F1">
        <w:rPr>
          <w:rFonts w:ascii="Book Antiqua" w:hAnsi="Book Antiqua"/>
        </w:rPr>
        <w:t xml:space="preserve"> </w:t>
      </w:r>
      <w:r w:rsidRPr="00085614">
        <w:rPr>
          <w:rFonts w:ascii="Book Antiqua" w:hAnsi="Book Antiqua"/>
          <w:lang w:val="es-PR"/>
        </w:rPr>
        <w:tab/>
        <w:t>Al igual que su homólogo en la Cámara de Representantes, P. de la C. 916</w:t>
      </w:r>
      <w:r w:rsidR="004317A5">
        <w:rPr>
          <w:rFonts w:ascii="Book Antiqua" w:hAnsi="Book Antiqua"/>
          <w:lang w:val="es-PR"/>
        </w:rPr>
        <w:t xml:space="preserve"> (A-079)</w:t>
      </w:r>
      <w:r w:rsidRPr="00085614">
        <w:rPr>
          <w:rFonts w:ascii="Book Antiqua" w:hAnsi="Book Antiqua"/>
          <w:lang w:val="es-PR"/>
        </w:rPr>
        <w:t xml:space="preserve">. </w:t>
      </w:r>
    </w:p>
  </w:footnote>
  <w:footnote w:id="2">
    <w:p w14:paraId="1E8AE56A" w14:textId="68F1C247" w:rsidR="00B6689C" w:rsidRPr="00161CBC" w:rsidRDefault="00B6689C" w:rsidP="004317A5">
      <w:pPr>
        <w:pStyle w:val="FootnoteText"/>
        <w:ind w:left="720" w:hanging="720"/>
        <w:jc w:val="both"/>
        <w:rPr>
          <w:rFonts w:ascii="Book Antiqua" w:hAnsi="Book Antiqua"/>
        </w:rPr>
      </w:pPr>
      <w:r w:rsidRPr="00161CBC">
        <w:rPr>
          <w:rStyle w:val="FootnoteReference"/>
          <w:rFonts w:ascii="Book Antiqua" w:hAnsi="Book Antiqua"/>
        </w:rPr>
        <w:footnoteRef/>
      </w:r>
      <w:r w:rsidRPr="00161CBC">
        <w:rPr>
          <w:rFonts w:ascii="Book Antiqua" w:hAnsi="Book Antiqua"/>
        </w:rPr>
        <w:t xml:space="preserve"> </w:t>
      </w:r>
      <w:r w:rsidRPr="00161CBC">
        <w:rPr>
          <w:rFonts w:ascii="Book Antiqua" w:hAnsi="Book Antiqua"/>
        </w:rPr>
        <w:tab/>
      </w:r>
      <w:r w:rsidR="00161CBC" w:rsidRPr="00161CBC">
        <w:rPr>
          <w:rFonts w:ascii="Book Antiqua" w:hAnsi="Book Antiqua"/>
        </w:rPr>
        <w:t>Compañía de Turismo de Puerto Rico,</w:t>
      </w:r>
      <w:r w:rsidRPr="00161CBC">
        <w:rPr>
          <w:rFonts w:ascii="Book Antiqua" w:hAnsi="Book Antiqua"/>
        </w:rPr>
        <w:t xml:space="preserve"> </w:t>
      </w:r>
      <w:r w:rsidR="00161CBC" w:rsidRPr="004317A5">
        <w:rPr>
          <w:rFonts w:ascii="Book Antiqua" w:hAnsi="Book Antiqua"/>
          <w:i/>
          <w:iCs/>
        </w:rPr>
        <w:t xml:space="preserve">Memorial de la Compañía de Turismo de Puerto Rico sobre el P. de la S. [sic] 770; “para derogar la Ley Núm. 212 de 16 de diciembre de 2014, conocida como “Ley de Desarrollo y Preservación del Tren de Arroyo” a los fines de eliminar del ordenamiento jurídico un organismo </w:t>
      </w:r>
      <w:proofErr w:type="spellStart"/>
      <w:r w:rsidR="00161CBC" w:rsidRPr="004317A5">
        <w:rPr>
          <w:rFonts w:ascii="Book Antiqua" w:hAnsi="Book Antiqua"/>
          <w:i/>
          <w:iCs/>
        </w:rPr>
        <w:t>interagencial</w:t>
      </w:r>
      <w:proofErr w:type="spellEnd"/>
      <w:r w:rsidR="00161CBC" w:rsidRPr="004317A5">
        <w:rPr>
          <w:rFonts w:ascii="Book Antiqua" w:hAnsi="Book Antiqua"/>
          <w:i/>
          <w:iCs/>
        </w:rPr>
        <w:t xml:space="preserve"> inoperante desde 2015</w:t>
      </w:r>
      <w:r w:rsidR="00161CBC" w:rsidRPr="00161CBC">
        <w:rPr>
          <w:rFonts w:ascii="Book Antiqua" w:hAnsi="Book Antiqua"/>
        </w:rPr>
        <w:t xml:space="preserve">, </w:t>
      </w:r>
      <w:r w:rsidR="00161CBC" w:rsidRPr="004317A5">
        <w:rPr>
          <w:rFonts w:ascii="Book Antiqua" w:hAnsi="Book Antiqua"/>
          <w:i/>
          <w:iCs/>
        </w:rPr>
        <w:t>evitar duplicidad administrativa y modernizar el andamiaje gubernamental de Puerto Rico</w:t>
      </w:r>
      <w:r w:rsidR="00161CBC" w:rsidRPr="00161CBC">
        <w:rPr>
          <w:rFonts w:ascii="Book Antiqua" w:hAnsi="Book Antiqua"/>
        </w:rPr>
        <w:t xml:space="preserve">, </w:t>
      </w:r>
      <w:r w:rsidRPr="00161CBC">
        <w:rPr>
          <w:rFonts w:ascii="Book Antiqua" w:hAnsi="Book Antiqua"/>
        </w:rPr>
        <w:t xml:space="preserve">pág. 2 (9 de </w:t>
      </w:r>
      <w:r w:rsidR="00161CBC" w:rsidRPr="00161CBC">
        <w:rPr>
          <w:rFonts w:ascii="Book Antiqua" w:hAnsi="Book Antiqua"/>
        </w:rPr>
        <w:t>enero</w:t>
      </w:r>
      <w:r w:rsidRPr="00161CBC">
        <w:rPr>
          <w:rFonts w:ascii="Book Antiqua" w:hAnsi="Book Antiqua"/>
        </w:rPr>
        <w:t xml:space="preserve"> de 202</w:t>
      </w:r>
      <w:r w:rsidR="00161CBC" w:rsidRPr="00161CBC">
        <w:rPr>
          <w:rFonts w:ascii="Book Antiqua" w:hAnsi="Book Antiqua"/>
        </w:rPr>
        <w:t>6</w:t>
      </w:r>
      <w:r w:rsidRPr="00161CBC">
        <w:rPr>
          <w:rFonts w:ascii="Book Antiqua" w:hAnsi="Book Antiqua"/>
        </w:rPr>
        <w:t xml:space="preserve">). </w:t>
      </w:r>
    </w:p>
  </w:footnote>
  <w:footnote w:id="3">
    <w:p w14:paraId="7B9702D9" w14:textId="31A683C2" w:rsidR="00161CBC" w:rsidRPr="00085614" w:rsidRDefault="00161CBC" w:rsidP="00161CBC">
      <w:pPr>
        <w:pStyle w:val="FootnoteText"/>
        <w:jc w:val="both"/>
        <w:rPr>
          <w:lang w:val="es-PR"/>
        </w:rPr>
      </w:pPr>
      <w:r w:rsidRPr="00161CBC">
        <w:rPr>
          <w:rStyle w:val="FootnoteReference"/>
          <w:rFonts w:ascii="Book Antiqua" w:hAnsi="Book Antiqua"/>
        </w:rPr>
        <w:footnoteRef/>
      </w:r>
      <w:r w:rsidRPr="00161CBC">
        <w:rPr>
          <w:rFonts w:ascii="Book Antiqua" w:hAnsi="Book Antiqua"/>
        </w:rPr>
        <w:t xml:space="preserve"> </w:t>
      </w:r>
      <w:r w:rsidRPr="00085614">
        <w:rPr>
          <w:rFonts w:ascii="Book Antiqua" w:hAnsi="Book Antiqua"/>
          <w:lang w:val="es-PR"/>
        </w:rPr>
        <w:tab/>
      </w:r>
      <w:r w:rsidRPr="00085614">
        <w:rPr>
          <w:rFonts w:ascii="Book Antiqua" w:hAnsi="Book Antiqua"/>
          <w:i/>
          <w:iCs/>
          <w:lang w:val="es-PR"/>
        </w:rPr>
        <w:t>Íd</w:t>
      </w:r>
      <w:r w:rsidRPr="00085614">
        <w:rPr>
          <w:rFonts w:ascii="Book Antiqua" w:hAnsi="Book Antiqua"/>
          <w:lang w:val="es-PR"/>
        </w:rPr>
        <w:t>.</w:t>
      </w:r>
    </w:p>
  </w:footnote>
  <w:footnote w:id="4">
    <w:p w14:paraId="2A8C31AE" w14:textId="6963502B" w:rsidR="005D07E6" w:rsidRPr="0078577E" w:rsidRDefault="005D07E6" w:rsidP="00161CBC">
      <w:pPr>
        <w:pStyle w:val="FootnoteText"/>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78577E">
        <w:rPr>
          <w:rFonts w:ascii="Book Antiqua" w:hAnsi="Book Antiqua"/>
        </w:rPr>
        <w:tab/>
        <w:t>Gobierno Municipal de Arroyo, Memorial Explicativo</w:t>
      </w:r>
      <w:r w:rsidR="004317A5">
        <w:rPr>
          <w:rFonts w:ascii="Book Antiqua" w:hAnsi="Book Antiqua"/>
        </w:rPr>
        <w:t>,</w:t>
      </w:r>
      <w:r w:rsidRPr="0078577E">
        <w:rPr>
          <w:rFonts w:ascii="Book Antiqua" w:hAnsi="Book Antiqua"/>
        </w:rPr>
        <w:t xml:space="preserve"> </w:t>
      </w:r>
      <w:r w:rsidR="004317A5" w:rsidRPr="0078577E">
        <w:rPr>
          <w:rFonts w:ascii="Book Antiqua" w:hAnsi="Book Antiqua"/>
        </w:rPr>
        <w:t xml:space="preserve">pág. 2. </w:t>
      </w:r>
      <w:r w:rsidRPr="0078577E">
        <w:rPr>
          <w:rFonts w:ascii="Book Antiqua" w:hAnsi="Book Antiqua"/>
        </w:rPr>
        <w:t>(17 de octubre de 2025)</w:t>
      </w:r>
      <w:r w:rsidR="004317A5">
        <w:rPr>
          <w:rFonts w:ascii="Book Antiqua" w:hAnsi="Book Antiqua"/>
        </w:rPr>
        <w:t>.</w:t>
      </w:r>
    </w:p>
  </w:footnote>
  <w:footnote w:id="5">
    <w:p w14:paraId="5F5ABC85" w14:textId="77777777" w:rsidR="005D07E6" w:rsidRPr="0078577E" w:rsidRDefault="005D07E6" w:rsidP="00161CBC">
      <w:pPr>
        <w:pStyle w:val="FootnoteText"/>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78577E">
        <w:rPr>
          <w:rFonts w:ascii="Book Antiqua" w:hAnsi="Book Antiqua"/>
        </w:rPr>
        <w:tab/>
      </w:r>
      <w:r w:rsidRPr="0078577E">
        <w:rPr>
          <w:rFonts w:ascii="Book Antiqua" w:hAnsi="Book Antiqua"/>
          <w:i/>
          <w:iCs/>
        </w:rPr>
        <w:t>Íd</w:t>
      </w:r>
      <w:r w:rsidRPr="0078577E">
        <w:rPr>
          <w:rFonts w:ascii="Book Antiqua" w:hAnsi="Book Antiqua"/>
        </w:rPr>
        <w:t xml:space="preserve">., pág. 1. </w:t>
      </w:r>
    </w:p>
  </w:footnote>
  <w:footnote w:id="6">
    <w:p w14:paraId="36FF3221" w14:textId="77777777" w:rsidR="005D07E6" w:rsidRPr="0078577E" w:rsidRDefault="005D07E6" w:rsidP="00161CBC">
      <w:pPr>
        <w:pStyle w:val="FootnoteText"/>
        <w:ind w:left="720" w:hanging="720"/>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78577E">
        <w:rPr>
          <w:rFonts w:ascii="Book Antiqua" w:hAnsi="Book Antiqua"/>
        </w:rPr>
        <w:tab/>
        <w:t>Íd., pág. 2.</w:t>
      </w:r>
    </w:p>
  </w:footnote>
  <w:footnote w:id="7">
    <w:p w14:paraId="7732E078" w14:textId="77777777" w:rsidR="005D07E6" w:rsidRPr="0078577E" w:rsidRDefault="005D07E6" w:rsidP="00161CBC">
      <w:pPr>
        <w:pStyle w:val="FootnoteText"/>
        <w:ind w:left="720" w:hanging="720"/>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2544DF">
        <w:rPr>
          <w:rFonts w:ascii="Book Antiqua" w:hAnsi="Book Antiqua"/>
        </w:rPr>
        <w:tab/>
      </w:r>
      <w:r w:rsidRPr="002544DF">
        <w:rPr>
          <w:rFonts w:ascii="Book Antiqua" w:hAnsi="Book Antiqua"/>
          <w:i/>
          <w:iCs/>
        </w:rPr>
        <w:t>Íd</w:t>
      </w:r>
      <w:r w:rsidRPr="002544DF">
        <w:rPr>
          <w:rFonts w:ascii="Book Antiqua" w:hAnsi="Book Antiqua"/>
        </w:rPr>
        <w:t>.</w:t>
      </w:r>
    </w:p>
  </w:footnote>
  <w:footnote w:id="8">
    <w:p w14:paraId="75DA5C8B" w14:textId="77777777" w:rsidR="005D07E6" w:rsidRPr="0078577E" w:rsidRDefault="005D07E6" w:rsidP="00161CBC">
      <w:pPr>
        <w:pStyle w:val="FootnoteText"/>
        <w:ind w:left="720" w:hanging="720"/>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2544DF">
        <w:rPr>
          <w:rFonts w:ascii="Book Antiqua" w:hAnsi="Book Antiqua"/>
        </w:rPr>
        <w:tab/>
        <w:t xml:space="preserve">Gobierno Municipal de Arroyo, </w:t>
      </w:r>
      <w:r w:rsidRPr="00161CBC">
        <w:rPr>
          <w:rFonts w:ascii="Book Antiqua" w:hAnsi="Book Antiqua"/>
          <w:i/>
          <w:iCs/>
        </w:rPr>
        <w:t>supra</w:t>
      </w:r>
      <w:r w:rsidRPr="002544DF">
        <w:rPr>
          <w:rFonts w:ascii="Book Antiqua" w:hAnsi="Book Antiqua"/>
        </w:rPr>
        <w:t>, pág. 2.</w:t>
      </w:r>
      <w:r>
        <w:rPr>
          <w:rFonts w:ascii="Book Antiqua" w:hAnsi="Book Antiqua"/>
          <w:i/>
          <w:iCs/>
        </w:rPr>
        <w:t xml:space="preserve"> </w:t>
      </w:r>
    </w:p>
  </w:footnote>
  <w:footnote w:id="9">
    <w:p w14:paraId="551D3190" w14:textId="77777777" w:rsidR="005D07E6" w:rsidRPr="0078577E" w:rsidRDefault="005D07E6" w:rsidP="00161CBC">
      <w:pPr>
        <w:pStyle w:val="FootnoteText"/>
        <w:ind w:left="720" w:hanging="720"/>
        <w:jc w:val="both"/>
        <w:rPr>
          <w:rFonts w:ascii="Book Antiqua" w:hAnsi="Book Antiqua"/>
        </w:rPr>
      </w:pPr>
      <w:r w:rsidRPr="002544DF">
        <w:rPr>
          <w:rStyle w:val="FootnoteReference"/>
          <w:rFonts w:ascii="Book Antiqua" w:hAnsi="Book Antiqua"/>
        </w:rPr>
        <w:footnoteRef/>
      </w:r>
      <w:r w:rsidRPr="002544DF">
        <w:rPr>
          <w:rFonts w:ascii="Book Antiqua" w:hAnsi="Book Antiqua"/>
        </w:rPr>
        <w:t xml:space="preserve"> </w:t>
      </w:r>
      <w:r w:rsidRPr="002544DF">
        <w:rPr>
          <w:rFonts w:ascii="Book Antiqua" w:hAnsi="Book Antiqua"/>
        </w:rPr>
        <w:tab/>
      </w:r>
      <w:r w:rsidRPr="002544DF">
        <w:rPr>
          <w:rFonts w:ascii="Book Antiqua" w:hAnsi="Book Antiqua"/>
          <w:i/>
          <w:iCs/>
        </w:rPr>
        <w:t>Íd</w:t>
      </w:r>
      <w:r w:rsidRPr="002544DF">
        <w:rPr>
          <w:rFonts w:ascii="Book Antiqua" w:hAnsi="Book Antiqua"/>
        </w:rPr>
        <w:t>.</w:t>
      </w:r>
    </w:p>
  </w:footnote>
  <w:footnote w:id="10">
    <w:p w14:paraId="5C033EE6" w14:textId="77777777" w:rsidR="005D07E6" w:rsidRPr="0078577E" w:rsidRDefault="005D07E6" w:rsidP="00161CBC">
      <w:pPr>
        <w:pStyle w:val="FootnoteText"/>
        <w:ind w:left="720" w:hanging="720"/>
        <w:jc w:val="both"/>
      </w:pPr>
      <w:r w:rsidRPr="002544DF">
        <w:rPr>
          <w:rStyle w:val="FootnoteReference"/>
          <w:rFonts w:ascii="Book Antiqua" w:hAnsi="Book Antiqua"/>
        </w:rPr>
        <w:footnoteRef/>
      </w:r>
      <w:r w:rsidRPr="002544DF">
        <w:rPr>
          <w:rFonts w:ascii="Book Antiqua" w:hAnsi="Book Antiqua"/>
        </w:rPr>
        <w:t xml:space="preserve"> </w:t>
      </w:r>
      <w:r w:rsidRPr="002544DF">
        <w:rPr>
          <w:rFonts w:ascii="Book Antiqua" w:hAnsi="Book Antiqua"/>
        </w:rPr>
        <w:tab/>
      </w:r>
      <w:r w:rsidRPr="002544DF">
        <w:rPr>
          <w:rFonts w:ascii="Book Antiqua" w:hAnsi="Book Antiqua"/>
          <w:i/>
          <w:iCs/>
        </w:rPr>
        <w:t>Íd</w:t>
      </w:r>
      <w:r w:rsidRPr="002544DF">
        <w:rPr>
          <w:rFonts w:ascii="Book Antiqua" w:hAnsi="Book Antiqua"/>
        </w:rPr>
        <w:t>.</w:t>
      </w:r>
    </w:p>
  </w:footnote>
  <w:footnote w:id="11">
    <w:p w14:paraId="15FF293E" w14:textId="5484DBBA" w:rsidR="00B934F1" w:rsidRPr="00085614" w:rsidRDefault="00B934F1" w:rsidP="00161CBC">
      <w:pPr>
        <w:pStyle w:val="FootnoteText"/>
        <w:ind w:left="720" w:hanging="720"/>
        <w:rPr>
          <w:rFonts w:ascii="Book Antiqua" w:hAnsi="Book Antiqua"/>
          <w:lang w:val="es-PR"/>
        </w:rPr>
      </w:pPr>
      <w:r w:rsidRPr="00A81845">
        <w:rPr>
          <w:rStyle w:val="FootnoteReference"/>
          <w:rFonts w:ascii="Book Antiqua" w:hAnsi="Book Antiqua"/>
        </w:rPr>
        <w:footnoteRef/>
      </w:r>
      <w:r w:rsidRPr="00A81845">
        <w:rPr>
          <w:rFonts w:ascii="Book Antiqua" w:hAnsi="Book Antiqua"/>
        </w:rPr>
        <w:t xml:space="preserve"> </w:t>
      </w:r>
      <w:r w:rsidRPr="00085614">
        <w:rPr>
          <w:rFonts w:ascii="Book Antiqua" w:hAnsi="Book Antiqua"/>
          <w:lang w:val="es-PR"/>
        </w:rPr>
        <w:tab/>
        <w:t>Autoridad de Asesoría Financiera y Agencia Fiscal de Puerto Rico (AAFAF),</w:t>
      </w:r>
      <w:r w:rsidR="00161CBC" w:rsidRPr="00085614">
        <w:rPr>
          <w:rFonts w:ascii="Book Antiqua" w:hAnsi="Book Antiqua"/>
          <w:lang w:val="es-PR"/>
        </w:rPr>
        <w:t xml:space="preserve"> </w:t>
      </w:r>
      <w:r w:rsidR="00161CBC" w:rsidRPr="00085614">
        <w:rPr>
          <w:rFonts w:ascii="Book Antiqua" w:hAnsi="Book Antiqua"/>
          <w:i/>
          <w:iCs/>
          <w:lang w:val="es-PR"/>
        </w:rPr>
        <w:t>Memorial Explicativo del Proyecto del Senado 770</w:t>
      </w:r>
      <w:r w:rsidR="00161CBC" w:rsidRPr="00085614">
        <w:rPr>
          <w:rFonts w:ascii="Book Antiqua" w:hAnsi="Book Antiqua"/>
          <w:lang w:val="es-PR"/>
        </w:rPr>
        <w:t>,</w:t>
      </w:r>
      <w:r w:rsidRPr="00085614">
        <w:rPr>
          <w:rFonts w:ascii="Book Antiqua" w:hAnsi="Book Antiqua"/>
          <w:lang w:val="es-PR"/>
        </w:rPr>
        <w:t xml:space="preserve"> </w:t>
      </w:r>
      <w:r w:rsidR="00A81845" w:rsidRPr="00085614">
        <w:rPr>
          <w:rFonts w:ascii="Book Antiqua" w:hAnsi="Book Antiqua"/>
          <w:lang w:val="es-PR"/>
        </w:rPr>
        <w:t xml:space="preserve">pág. 2 (29 de octubre de 2025). </w:t>
      </w:r>
    </w:p>
  </w:footnote>
  <w:footnote w:id="12">
    <w:p w14:paraId="4EF4A78D" w14:textId="03998F71" w:rsidR="00A81845" w:rsidRPr="00085614" w:rsidRDefault="00A81845" w:rsidP="00161CBC">
      <w:pPr>
        <w:pStyle w:val="FootnoteText"/>
        <w:ind w:left="720" w:hanging="720"/>
        <w:rPr>
          <w:lang w:val="es-PR"/>
        </w:rPr>
      </w:pPr>
      <w:r w:rsidRPr="00A81845">
        <w:rPr>
          <w:rStyle w:val="FootnoteReference"/>
          <w:rFonts w:ascii="Book Antiqua" w:hAnsi="Book Antiqua"/>
        </w:rPr>
        <w:footnoteRef/>
      </w:r>
      <w:r w:rsidRPr="00A81845">
        <w:rPr>
          <w:rFonts w:ascii="Book Antiqua" w:hAnsi="Book Antiqua"/>
        </w:rPr>
        <w:t xml:space="preserve"> </w:t>
      </w:r>
      <w:r w:rsidRPr="00085614">
        <w:rPr>
          <w:rFonts w:ascii="Book Antiqua" w:hAnsi="Book Antiqua"/>
          <w:lang w:val="es-PR"/>
        </w:rPr>
        <w:tab/>
      </w:r>
      <w:r w:rsidRPr="00085614">
        <w:rPr>
          <w:rFonts w:ascii="Book Antiqua" w:hAnsi="Book Antiqua"/>
          <w:i/>
          <w:iCs/>
          <w:lang w:val="es-PR"/>
        </w:rPr>
        <w:t>Íd</w:t>
      </w:r>
      <w:r w:rsidRPr="00085614">
        <w:rPr>
          <w:rFonts w:ascii="Book Antiqua" w:hAnsi="Book Antiqua"/>
          <w:lang w:val="es-PR"/>
        </w:rPr>
        <w:t>., pág. 3.</w:t>
      </w:r>
    </w:p>
  </w:footnote>
  <w:footnote w:id="13">
    <w:p w14:paraId="1216E26F" w14:textId="34C1F9C4" w:rsidR="00DC6E3D" w:rsidRPr="00D03212" w:rsidRDefault="00DC6E3D" w:rsidP="004317A5">
      <w:pPr>
        <w:pStyle w:val="FootnoteText"/>
        <w:ind w:left="720" w:hanging="720"/>
        <w:jc w:val="both"/>
        <w:rPr>
          <w:rFonts w:ascii="Book Antiqua" w:hAnsi="Book Antiqua"/>
        </w:rPr>
      </w:pPr>
      <w:r w:rsidRPr="00D03212">
        <w:rPr>
          <w:rStyle w:val="FootnoteReference"/>
          <w:rFonts w:ascii="Book Antiqua" w:hAnsi="Book Antiqua"/>
        </w:rPr>
        <w:footnoteRef/>
      </w:r>
      <w:r w:rsidRPr="00D03212">
        <w:rPr>
          <w:rFonts w:ascii="Book Antiqua" w:hAnsi="Book Antiqua"/>
        </w:rPr>
        <w:t xml:space="preserve"> </w:t>
      </w:r>
      <w:r w:rsidR="00A81845">
        <w:rPr>
          <w:rFonts w:ascii="Book Antiqua" w:hAnsi="Book Antiqua"/>
        </w:rPr>
        <w:tab/>
      </w:r>
      <w:r w:rsidR="002E510F">
        <w:rPr>
          <w:rFonts w:ascii="Book Antiqua" w:hAnsi="Book Antiqua" w:cs="Times New Roman"/>
        </w:rPr>
        <w:t>Oficina de Presupuesto de la Asamblea Legislativa (OPAL)</w:t>
      </w:r>
      <w:r w:rsidRPr="00D03212">
        <w:rPr>
          <w:rFonts w:ascii="Book Antiqua" w:hAnsi="Book Antiqua" w:cs="Times New Roman"/>
        </w:rPr>
        <w:t xml:space="preserve">, </w:t>
      </w:r>
      <w:r w:rsidRPr="00D03212">
        <w:rPr>
          <w:rFonts w:ascii="Book Antiqua" w:hAnsi="Book Antiqua" w:cs="Times New Roman"/>
          <w:i/>
          <w:iCs/>
        </w:rPr>
        <w:t xml:space="preserve">Informe sobre el efecto fiscal del </w:t>
      </w:r>
      <w:r w:rsidR="005952BF">
        <w:rPr>
          <w:rFonts w:ascii="Book Antiqua" w:hAnsi="Book Antiqua" w:cs="Times New Roman"/>
          <w:i/>
          <w:iCs/>
        </w:rPr>
        <w:t>Proyecto del Senado</w:t>
      </w:r>
      <w:r w:rsidRPr="00D03212">
        <w:rPr>
          <w:rFonts w:ascii="Book Antiqua" w:hAnsi="Book Antiqua" w:cs="Times New Roman"/>
          <w:i/>
          <w:iCs/>
        </w:rPr>
        <w:t xml:space="preserve"> 916</w:t>
      </w:r>
      <w:r w:rsidRPr="00D03212">
        <w:rPr>
          <w:rFonts w:ascii="Book Antiqua" w:hAnsi="Book Antiqua" w:cs="Times New Roman"/>
        </w:rPr>
        <w:t xml:space="preserve">, Informe 2026-232, pág. </w:t>
      </w:r>
      <w:r>
        <w:rPr>
          <w:rFonts w:ascii="Book Antiqua" w:hAnsi="Book Antiqua" w:cs="Times New Roman"/>
        </w:rPr>
        <w:t>2</w:t>
      </w:r>
      <w:r w:rsidR="002E510F">
        <w:rPr>
          <w:rFonts w:ascii="Book Antiqua" w:hAnsi="Book Antiqua" w:cs="Times New Roman"/>
        </w:rPr>
        <w:t xml:space="preserve"> (noviembre 2025)</w:t>
      </w:r>
      <w:r w:rsidRPr="00D03212">
        <w:rPr>
          <w:rFonts w:ascii="Book Antiqua" w:hAnsi="Book Antiqua" w:cs="Times New Roman"/>
        </w:rPr>
        <w:t>.</w:t>
      </w:r>
      <w:r w:rsidR="00A81845">
        <w:rPr>
          <w:rFonts w:ascii="Book Antiqua" w:hAnsi="Book Antiqua" w:cs="Times New Roman"/>
        </w:rPr>
        <w:t xml:space="preserve"> El </w:t>
      </w:r>
      <w:r w:rsidR="004317A5">
        <w:rPr>
          <w:rFonts w:ascii="Book Antiqua" w:hAnsi="Book Antiqua" w:cs="Times New Roman"/>
        </w:rPr>
        <w:t>P</w:t>
      </w:r>
      <w:r w:rsidR="00A81845">
        <w:rPr>
          <w:rFonts w:ascii="Book Antiqua" w:hAnsi="Book Antiqua" w:cs="Times New Roman"/>
        </w:rPr>
        <w:t xml:space="preserve">. de la C. 916 es el homólogo en la Cámara del P. del S. 770. </w:t>
      </w:r>
    </w:p>
  </w:footnote>
  <w:footnote w:id="14">
    <w:p w14:paraId="12F97340" w14:textId="5676BF04" w:rsidR="00DC6E3D" w:rsidRPr="00D03212" w:rsidRDefault="00DC6E3D" w:rsidP="004317A5">
      <w:pPr>
        <w:pStyle w:val="FootnoteText"/>
        <w:ind w:left="720" w:hanging="720"/>
        <w:jc w:val="both"/>
      </w:pPr>
      <w:r w:rsidRPr="00D03212">
        <w:rPr>
          <w:rStyle w:val="FootnoteReference"/>
          <w:rFonts w:ascii="Book Antiqua" w:hAnsi="Book Antiqua"/>
        </w:rPr>
        <w:footnoteRef/>
      </w:r>
      <w:r w:rsidRPr="00D03212">
        <w:rPr>
          <w:rFonts w:ascii="Book Antiqua" w:hAnsi="Book Antiqua"/>
        </w:rPr>
        <w:t xml:space="preserve"> </w:t>
      </w:r>
      <w:r w:rsidR="00A81845">
        <w:rPr>
          <w:rFonts w:ascii="Book Antiqua" w:hAnsi="Book Antiqua"/>
        </w:rPr>
        <w:tab/>
      </w:r>
      <w:r>
        <w:rPr>
          <w:rFonts w:ascii="Book Antiqua" w:hAnsi="Book Antiqua"/>
          <w:i/>
          <w:iCs/>
        </w:rPr>
        <w:t>Í</w:t>
      </w:r>
      <w:r w:rsidRPr="00D03212">
        <w:rPr>
          <w:rFonts w:ascii="Book Antiqua" w:hAnsi="Book Antiqua"/>
          <w:i/>
          <w:iCs/>
        </w:rPr>
        <w:t>d</w:t>
      </w:r>
      <w:r w:rsidRPr="00D03212">
        <w:rPr>
          <w:rFonts w:ascii="Book Antiqua" w:hAnsi="Book Antiq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178E6"/>
    <w:multiLevelType w:val="hybridMultilevel"/>
    <w:tmpl w:val="50B45F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1E7EBB"/>
    <w:multiLevelType w:val="multilevel"/>
    <w:tmpl w:val="224E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0347B6"/>
    <w:multiLevelType w:val="hybridMultilevel"/>
    <w:tmpl w:val="CDEC69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04F35D6"/>
    <w:multiLevelType w:val="hybridMultilevel"/>
    <w:tmpl w:val="2348CAD6"/>
    <w:lvl w:ilvl="0" w:tplc="1DA0D392">
      <w:start w:val="1"/>
      <w:numFmt w:val="upperLetter"/>
      <w:lvlText w:val="%1."/>
      <w:lvlJc w:val="left"/>
      <w:pPr>
        <w:ind w:left="1426" w:hanging="360"/>
      </w:pPr>
      <w:rPr>
        <w:rFonts w:cs="Times New Roman (Body CS)" w:hint="default"/>
        <w:b/>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 w15:restartNumberingAfterBreak="0">
    <w:nsid w:val="2C2411CB"/>
    <w:multiLevelType w:val="hybridMultilevel"/>
    <w:tmpl w:val="F2C058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B54F6D"/>
    <w:multiLevelType w:val="hybridMultilevel"/>
    <w:tmpl w:val="76889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C6B67DB"/>
    <w:multiLevelType w:val="hybridMultilevel"/>
    <w:tmpl w:val="50B45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380116"/>
    <w:multiLevelType w:val="multilevel"/>
    <w:tmpl w:val="C1E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6"/>
  </w:num>
  <w:num w:numId="3" w16cid:durableId="574238919">
    <w:abstractNumId w:val="10"/>
  </w:num>
  <w:num w:numId="4" w16cid:durableId="1949703315">
    <w:abstractNumId w:val="1"/>
  </w:num>
  <w:num w:numId="5" w16cid:durableId="698550334">
    <w:abstractNumId w:val="9"/>
  </w:num>
  <w:num w:numId="6" w16cid:durableId="334961873">
    <w:abstractNumId w:val="5"/>
  </w:num>
  <w:num w:numId="7" w16cid:durableId="1796752155">
    <w:abstractNumId w:val="4"/>
  </w:num>
  <w:num w:numId="8" w16cid:durableId="1383552919">
    <w:abstractNumId w:val="2"/>
  </w:num>
  <w:num w:numId="9" w16cid:durableId="864321291">
    <w:abstractNumId w:val="3"/>
  </w:num>
  <w:num w:numId="10" w16cid:durableId="361712563">
    <w:abstractNumId w:val="8"/>
  </w:num>
  <w:num w:numId="11" w16cid:durableId="1423912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35B6"/>
    <w:rsid w:val="0000415C"/>
    <w:rsid w:val="000120EA"/>
    <w:rsid w:val="000136F7"/>
    <w:rsid w:val="000140F6"/>
    <w:rsid w:val="000155FF"/>
    <w:rsid w:val="000177B6"/>
    <w:rsid w:val="00017DE0"/>
    <w:rsid w:val="000250D2"/>
    <w:rsid w:val="000277D6"/>
    <w:rsid w:val="00033266"/>
    <w:rsid w:val="000341E7"/>
    <w:rsid w:val="00034B0C"/>
    <w:rsid w:val="000368D3"/>
    <w:rsid w:val="00042AC4"/>
    <w:rsid w:val="000468B9"/>
    <w:rsid w:val="000510A4"/>
    <w:rsid w:val="000515C3"/>
    <w:rsid w:val="00053414"/>
    <w:rsid w:val="00057149"/>
    <w:rsid w:val="0005781F"/>
    <w:rsid w:val="00062B3D"/>
    <w:rsid w:val="0006757A"/>
    <w:rsid w:val="00067A08"/>
    <w:rsid w:val="00070932"/>
    <w:rsid w:val="0007153C"/>
    <w:rsid w:val="00071AFA"/>
    <w:rsid w:val="000743E5"/>
    <w:rsid w:val="000748E3"/>
    <w:rsid w:val="00076BDB"/>
    <w:rsid w:val="00085614"/>
    <w:rsid w:val="00087EB1"/>
    <w:rsid w:val="00095FDC"/>
    <w:rsid w:val="00096272"/>
    <w:rsid w:val="000A2504"/>
    <w:rsid w:val="000A48EB"/>
    <w:rsid w:val="000A5BDE"/>
    <w:rsid w:val="000A762F"/>
    <w:rsid w:val="000B13D7"/>
    <w:rsid w:val="000B15BE"/>
    <w:rsid w:val="000B30BC"/>
    <w:rsid w:val="000B434F"/>
    <w:rsid w:val="000B4646"/>
    <w:rsid w:val="000B72A1"/>
    <w:rsid w:val="000C1572"/>
    <w:rsid w:val="000C18F3"/>
    <w:rsid w:val="000C6CA5"/>
    <w:rsid w:val="000D434B"/>
    <w:rsid w:val="000D6272"/>
    <w:rsid w:val="000D6426"/>
    <w:rsid w:val="000D7951"/>
    <w:rsid w:val="000D79AE"/>
    <w:rsid w:val="000E3E7B"/>
    <w:rsid w:val="000E66E9"/>
    <w:rsid w:val="000F0B24"/>
    <w:rsid w:val="000F3725"/>
    <w:rsid w:val="000F48F4"/>
    <w:rsid w:val="000F5571"/>
    <w:rsid w:val="000F7BDE"/>
    <w:rsid w:val="00101518"/>
    <w:rsid w:val="00101F54"/>
    <w:rsid w:val="00103370"/>
    <w:rsid w:val="001054C2"/>
    <w:rsid w:val="00110219"/>
    <w:rsid w:val="001124E2"/>
    <w:rsid w:val="001155A8"/>
    <w:rsid w:val="001279AE"/>
    <w:rsid w:val="00127DAC"/>
    <w:rsid w:val="00131433"/>
    <w:rsid w:val="001325B8"/>
    <w:rsid w:val="00134979"/>
    <w:rsid w:val="0013667B"/>
    <w:rsid w:val="00136D7B"/>
    <w:rsid w:val="00137636"/>
    <w:rsid w:val="001407A8"/>
    <w:rsid w:val="0014669D"/>
    <w:rsid w:val="00151944"/>
    <w:rsid w:val="00151C0B"/>
    <w:rsid w:val="00151EAB"/>
    <w:rsid w:val="00155053"/>
    <w:rsid w:val="00161CBC"/>
    <w:rsid w:val="00162770"/>
    <w:rsid w:val="00163F28"/>
    <w:rsid w:val="00165172"/>
    <w:rsid w:val="001659A1"/>
    <w:rsid w:val="00165BB2"/>
    <w:rsid w:val="00165F38"/>
    <w:rsid w:val="0016625F"/>
    <w:rsid w:val="00167D19"/>
    <w:rsid w:val="00171BA9"/>
    <w:rsid w:val="00171D05"/>
    <w:rsid w:val="001722E3"/>
    <w:rsid w:val="00176FB0"/>
    <w:rsid w:val="00183348"/>
    <w:rsid w:val="001843A5"/>
    <w:rsid w:val="00186A03"/>
    <w:rsid w:val="00187592"/>
    <w:rsid w:val="00191A62"/>
    <w:rsid w:val="001A0BCA"/>
    <w:rsid w:val="001A1EDF"/>
    <w:rsid w:val="001A1FF4"/>
    <w:rsid w:val="001A261F"/>
    <w:rsid w:val="001A2630"/>
    <w:rsid w:val="001A3B41"/>
    <w:rsid w:val="001B058C"/>
    <w:rsid w:val="001B0E86"/>
    <w:rsid w:val="001B2964"/>
    <w:rsid w:val="001B7C12"/>
    <w:rsid w:val="001C6691"/>
    <w:rsid w:val="001C7436"/>
    <w:rsid w:val="001D0ECC"/>
    <w:rsid w:val="001D2E44"/>
    <w:rsid w:val="001D7E64"/>
    <w:rsid w:val="001E040E"/>
    <w:rsid w:val="001E63B3"/>
    <w:rsid w:val="001F2813"/>
    <w:rsid w:val="001F2BD5"/>
    <w:rsid w:val="001F2E26"/>
    <w:rsid w:val="001F4835"/>
    <w:rsid w:val="001F65F6"/>
    <w:rsid w:val="001F682B"/>
    <w:rsid w:val="00200E2C"/>
    <w:rsid w:val="002016B5"/>
    <w:rsid w:val="00202382"/>
    <w:rsid w:val="00202B70"/>
    <w:rsid w:val="002039C9"/>
    <w:rsid w:val="00203B38"/>
    <w:rsid w:val="002044FE"/>
    <w:rsid w:val="00204A9D"/>
    <w:rsid w:val="00211176"/>
    <w:rsid w:val="00211351"/>
    <w:rsid w:val="002136CB"/>
    <w:rsid w:val="002149FE"/>
    <w:rsid w:val="00217313"/>
    <w:rsid w:val="00217E90"/>
    <w:rsid w:val="002221F0"/>
    <w:rsid w:val="002236D8"/>
    <w:rsid w:val="00226E4E"/>
    <w:rsid w:val="0022747E"/>
    <w:rsid w:val="00230542"/>
    <w:rsid w:val="002310D2"/>
    <w:rsid w:val="002323A7"/>
    <w:rsid w:val="0024129A"/>
    <w:rsid w:val="00242BF0"/>
    <w:rsid w:val="00250F0F"/>
    <w:rsid w:val="00252E35"/>
    <w:rsid w:val="002541BE"/>
    <w:rsid w:val="0026053E"/>
    <w:rsid w:val="00263686"/>
    <w:rsid w:val="00265D81"/>
    <w:rsid w:val="00272B73"/>
    <w:rsid w:val="00275C5D"/>
    <w:rsid w:val="00275F07"/>
    <w:rsid w:val="00277355"/>
    <w:rsid w:val="00282A9F"/>
    <w:rsid w:val="00283DF6"/>
    <w:rsid w:val="00294435"/>
    <w:rsid w:val="0029494C"/>
    <w:rsid w:val="00296EC8"/>
    <w:rsid w:val="002A439F"/>
    <w:rsid w:val="002A4C30"/>
    <w:rsid w:val="002A5686"/>
    <w:rsid w:val="002B1F9B"/>
    <w:rsid w:val="002B28D2"/>
    <w:rsid w:val="002B2A35"/>
    <w:rsid w:val="002B4C35"/>
    <w:rsid w:val="002B51B7"/>
    <w:rsid w:val="002B5A64"/>
    <w:rsid w:val="002C0D49"/>
    <w:rsid w:val="002C2D88"/>
    <w:rsid w:val="002C32E5"/>
    <w:rsid w:val="002C46B6"/>
    <w:rsid w:val="002C792B"/>
    <w:rsid w:val="002D2E26"/>
    <w:rsid w:val="002D45AC"/>
    <w:rsid w:val="002D5334"/>
    <w:rsid w:val="002E3BD8"/>
    <w:rsid w:val="002E44AD"/>
    <w:rsid w:val="002E49F0"/>
    <w:rsid w:val="002E4EC1"/>
    <w:rsid w:val="002E510F"/>
    <w:rsid w:val="002E53E1"/>
    <w:rsid w:val="002F0998"/>
    <w:rsid w:val="002F18AB"/>
    <w:rsid w:val="002F1980"/>
    <w:rsid w:val="002F4AC2"/>
    <w:rsid w:val="002F4E78"/>
    <w:rsid w:val="002F4F33"/>
    <w:rsid w:val="002F5B77"/>
    <w:rsid w:val="002F751E"/>
    <w:rsid w:val="002F7C13"/>
    <w:rsid w:val="00300B4D"/>
    <w:rsid w:val="00303A08"/>
    <w:rsid w:val="00303DE8"/>
    <w:rsid w:val="003062C9"/>
    <w:rsid w:val="003067F4"/>
    <w:rsid w:val="00306E26"/>
    <w:rsid w:val="00310674"/>
    <w:rsid w:val="00310C64"/>
    <w:rsid w:val="00313661"/>
    <w:rsid w:val="003140AD"/>
    <w:rsid w:val="0031417B"/>
    <w:rsid w:val="0031443B"/>
    <w:rsid w:val="00317204"/>
    <w:rsid w:val="00320217"/>
    <w:rsid w:val="003206BB"/>
    <w:rsid w:val="003206D9"/>
    <w:rsid w:val="00322C70"/>
    <w:rsid w:val="00322F83"/>
    <w:rsid w:val="0032636C"/>
    <w:rsid w:val="00331040"/>
    <w:rsid w:val="00332DC5"/>
    <w:rsid w:val="00333271"/>
    <w:rsid w:val="00337C3E"/>
    <w:rsid w:val="00337DDD"/>
    <w:rsid w:val="003429B9"/>
    <w:rsid w:val="003435EA"/>
    <w:rsid w:val="003439F8"/>
    <w:rsid w:val="00345A92"/>
    <w:rsid w:val="00345C57"/>
    <w:rsid w:val="00352885"/>
    <w:rsid w:val="00352DF9"/>
    <w:rsid w:val="0037032F"/>
    <w:rsid w:val="00371A01"/>
    <w:rsid w:val="00371D82"/>
    <w:rsid w:val="00374936"/>
    <w:rsid w:val="00376DD0"/>
    <w:rsid w:val="0038195D"/>
    <w:rsid w:val="00381AE9"/>
    <w:rsid w:val="003828D1"/>
    <w:rsid w:val="003835CF"/>
    <w:rsid w:val="00385EA0"/>
    <w:rsid w:val="00387AA8"/>
    <w:rsid w:val="003927E7"/>
    <w:rsid w:val="00393AFD"/>
    <w:rsid w:val="003A1A56"/>
    <w:rsid w:val="003A4D3E"/>
    <w:rsid w:val="003A5315"/>
    <w:rsid w:val="003A543A"/>
    <w:rsid w:val="003A56B4"/>
    <w:rsid w:val="003B05E6"/>
    <w:rsid w:val="003B353E"/>
    <w:rsid w:val="003B440F"/>
    <w:rsid w:val="003B48B0"/>
    <w:rsid w:val="003C2B1D"/>
    <w:rsid w:val="003C2DBF"/>
    <w:rsid w:val="003C30E4"/>
    <w:rsid w:val="003C3D24"/>
    <w:rsid w:val="003C61C9"/>
    <w:rsid w:val="003D0732"/>
    <w:rsid w:val="003D0CCD"/>
    <w:rsid w:val="003D2144"/>
    <w:rsid w:val="003D4C49"/>
    <w:rsid w:val="003E0ACD"/>
    <w:rsid w:val="003E2C27"/>
    <w:rsid w:val="003E2D16"/>
    <w:rsid w:val="003E31B6"/>
    <w:rsid w:val="003E4B8A"/>
    <w:rsid w:val="003E5F73"/>
    <w:rsid w:val="003F07BA"/>
    <w:rsid w:val="003F353F"/>
    <w:rsid w:val="003F6738"/>
    <w:rsid w:val="003F6B6E"/>
    <w:rsid w:val="0040058A"/>
    <w:rsid w:val="00400694"/>
    <w:rsid w:val="00400BFB"/>
    <w:rsid w:val="004011C3"/>
    <w:rsid w:val="00401E40"/>
    <w:rsid w:val="00403161"/>
    <w:rsid w:val="004047BE"/>
    <w:rsid w:val="00410994"/>
    <w:rsid w:val="00413517"/>
    <w:rsid w:val="00414D73"/>
    <w:rsid w:val="00416B0C"/>
    <w:rsid w:val="0041772F"/>
    <w:rsid w:val="00417E18"/>
    <w:rsid w:val="0042009C"/>
    <w:rsid w:val="0042272E"/>
    <w:rsid w:val="0042399B"/>
    <w:rsid w:val="0042546D"/>
    <w:rsid w:val="00425F9C"/>
    <w:rsid w:val="00426675"/>
    <w:rsid w:val="0042743B"/>
    <w:rsid w:val="0042783C"/>
    <w:rsid w:val="004317A5"/>
    <w:rsid w:val="00432086"/>
    <w:rsid w:val="00433900"/>
    <w:rsid w:val="004347CD"/>
    <w:rsid w:val="00434BA6"/>
    <w:rsid w:val="00436F96"/>
    <w:rsid w:val="00440ED7"/>
    <w:rsid w:val="00444A9E"/>
    <w:rsid w:val="00450143"/>
    <w:rsid w:val="0045102D"/>
    <w:rsid w:val="004524C9"/>
    <w:rsid w:val="00452A96"/>
    <w:rsid w:val="00453139"/>
    <w:rsid w:val="00453CFE"/>
    <w:rsid w:val="00455EAC"/>
    <w:rsid w:val="00457F21"/>
    <w:rsid w:val="00460F8A"/>
    <w:rsid w:val="0046292D"/>
    <w:rsid w:val="004642B0"/>
    <w:rsid w:val="00465F31"/>
    <w:rsid w:val="004678C2"/>
    <w:rsid w:val="00471331"/>
    <w:rsid w:val="00475B72"/>
    <w:rsid w:val="00480585"/>
    <w:rsid w:val="00481F5C"/>
    <w:rsid w:val="00486A6E"/>
    <w:rsid w:val="0049095B"/>
    <w:rsid w:val="00491057"/>
    <w:rsid w:val="004918F4"/>
    <w:rsid w:val="004922A1"/>
    <w:rsid w:val="004957F0"/>
    <w:rsid w:val="004A4D97"/>
    <w:rsid w:val="004A5C02"/>
    <w:rsid w:val="004B05BC"/>
    <w:rsid w:val="004B14E8"/>
    <w:rsid w:val="004B37F9"/>
    <w:rsid w:val="004B39EC"/>
    <w:rsid w:val="004B3E0A"/>
    <w:rsid w:val="004B3E3A"/>
    <w:rsid w:val="004B4944"/>
    <w:rsid w:val="004C0DAB"/>
    <w:rsid w:val="004C14F1"/>
    <w:rsid w:val="004C33B9"/>
    <w:rsid w:val="004C3C30"/>
    <w:rsid w:val="004D03F0"/>
    <w:rsid w:val="004D07CF"/>
    <w:rsid w:val="004D19BF"/>
    <w:rsid w:val="004D2FC8"/>
    <w:rsid w:val="004D661C"/>
    <w:rsid w:val="004E1D46"/>
    <w:rsid w:val="004E696C"/>
    <w:rsid w:val="004F1018"/>
    <w:rsid w:val="004F380E"/>
    <w:rsid w:val="004F5503"/>
    <w:rsid w:val="004F6867"/>
    <w:rsid w:val="005003E2"/>
    <w:rsid w:val="005007EE"/>
    <w:rsid w:val="005044D6"/>
    <w:rsid w:val="00510A81"/>
    <w:rsid w:val="00511877"/>
    <w:rsid w:val="00512BB2"/>
    <w:rsid w:val="00512D7C"/>
    <w:rsid w:val="00513338"/>
    <w:rsid w:val="005149DD"/>
    <w:rsid w:val="00517B4E"/>
    <w:rsid w:val="0052051E"/>
    <w:rsid w:val="00525C21"/>
    <w:rsid w:val="00526E3D"/>
    <w:rsid w:val="0053157F"/>
    <w:rsid w:val="00532969"/>
    <w:rsid w:val="00532FBC"/>
    <w:rsid w:val="0053673E"/>
    <w:rsid w:val="0054073A"/>
    <w:rsid w:val="005429CD"/>
    <w:rsid w:val="00544732"/>
    <w:rsid w:val="00544B79"/>
    <w:rsid w:val="005452A6"/>
    <w:rsid w:val="0054585D"/>
    <w:rsid w:val="00550440"/>
    <w:rsid w:val="0055257F"/>
    <w:rsid w:val="005534C8"/>
    <w:rsid w:val="0055498A"/>
    <w:rsid w:val="00566EB3"/>
    <w:rsid w:val="005670E8"/>
    <w:rsid w:val="00570CCC"/>
    <w:rsid w:val="00571EBB"/>
    <w:rsid w:val="00574681"/>
    <w:rsid w:val="00575F07"/>
    <w:rsid w:val="00582671"/>
    <w:rsid w:val="005838C2"/>
    <w:rsid w:val="00586AF3"/>
    <w:rsid w:val="00590826"/>
    <w:rsid w:val="0059332C"/>
    <w:rsid w:val="00593F67"/>
    <w:rsid w:val="005952BF"/>
    <w:rsid w:val="00595807"/>
    <w:rsid w:val="00595B66"/>
    <w:rsid w:val="00595E03"/>
    <w:rsid w:val="005979DD"/>
    <w:rsid w:val="005A13A5"/>
    <w:rsid w:val="005A1F4B"/>
    <w:rsid w:val="005A2049"/>
    <w:rsid w:val="005A295E"/>
    <w:rsid w:val="005A32A6"/>
    <w:rsid w:val="005A32FE"/>
    <w:rsid w:val="005A7DF9"/>
    <w:rsid w:val="005B08F8"/>
    <w:rsid w:val="005B1D73"/>
    <w:rsid w:val="005B1E02"/>
    <w:rsid w:val="005B1E47"/>
    <w:rsid w:val="005B2906"/>
    <w:rsid w:val="005B2A11"/>
    <w:rsid w:val="005B2E79"/>
    <w:rsid w:val="005B5ECB"/>
    <w:rsid w:val="005C4B93"/>
    <w:rsid w:val="005C5B93"/>
    <w:rsid w:val="005C6FEA"/>
    <w:rsid w:val="005D07E6"/>
    <w:rsid w:val="005D185C"/>
    <w:rsid w:val="005D2E19"/>
    <w:rsid w:val="005D415D"/>
    <w:rsid w:val="005E4019"/>
    <w:rsid w:val="005E4419"/>
    <w:rsid w:val="005E49FD"/>
    <w:rsid w:val="005E5A77"/>
    <w:rsid w:val="005E6827"/>
    <w:rsid w:val="005F06F3"/>
    <w:rsid w:val="005F2D63"/>
    <w:rsid w:val="005F595B"/>
    <w:rsid w:val="005F5CBE"/>
    <w:rsid w:val="0060097E"/>
    <w:rsid w:val="006032A1"/>
    <w:rsid w:val="00604F86"/>
    <w:rsid w:val="00607753"/>
    <w:rsid w:val="00610995"/>
    <w:rsid w:val="00610B2E"/>
    <w:rsid w:val="00611FCD"/>
    <w:rsid w:val="00616C07"/>
    <w:rsid w:val="00621FFC"/>
    <w:rsid w:val="006227E0"/>
    <w:rsid w:val="006238A3"/>
    <w:rsid w:val="0063395F"/>
    <w:rsid w:val="00633DA8"/>
    <w:rsid w:val="00634292"/>
    <w:rsid w:val="00634555"/>
    <w:rsid w:val="00635FC4"/>
    <w:rsid w:val="0063667B"/>
    <w:rsid w:val="0064035D"/>
    <w:rsid w:val="006425CA"/>
    <w:rsid w:val="00642B14"/>
    <w:rsid w:val="0064366D"/>
    <w:rsid w:val="006440AB"/>
    <w:rsid w:val="00644953"/>
    <w:rsid w:val="00644A21"/>
    <w:rsid w:val="00645C61"/>
    <w:rsid w:val="006474E4"/>
    <w:rsid w:val="00647AE3"/>
    <w:rsid w:val="00650E61"/>
    <w:rsid w:val="0065253D"/>
    <w:rsid w:val="00655576"/>
    <w:rsid w:val="00656B8F"/>
    <w:rsid w:val="00656F82"/>
    <w:rsid w:val="006609D4"/>
    <w:rsid w:val="00660E3A"/>
    <w:rsid w:val="00661A92"/>
    <w:rsid w:val="00662077"/>
    <w:rsid w:val="00663C6C"/>
    <w:rsid w:val="00665CC0"/>
    <w:rsid w:val="00666BEA"/>
    <w:rsid w:val="0067020F"/>
    <w:rsid w:val="006702E7"/>
    <w:rsid w:val="00671E3F"/>
    <w:rsid w:val="00673104"/>
    <w:rsid w:val="006756B5"/>
    <w:rsid w:val="00681750"/>
    <w:rsid w:val="00681E98"/>
    <w:rsid w:val="00683C80"/>
    <w:rsid w:val="00690458"/>
    <w:rsid w:val="00690505"/>
    <w:rsid w:val="00690C0B"/>
    <w:rsid w:val="006A151D"/>
    <w:rsid w:val="006B02FF"/>
    <w:rsid w:val="006B55C5"/>
    <w:rsid w:val="006B5669"/>
    <w:rsid w:val="006B6070"/>
    <w:rsid w:val="006B7588"/>
    <w:rsid w:val="006C0079"/>
    <w:rsid w:val="006C178D"/>
    <w:rsid w:val="006C26B3"/>
    <w:rsid w:val="006C3629"/>
    <w:rsid w:val="006C3AC9"/>
    <w:rsid w:val="006C5F9E"/>
    <w:rsid w:val="006C6271"/>
    <w:rsid w:val="006C68A1"/>
    <w:rsid w:val="006C6C95"/>
    <w:rsid w:val="006D3D53"/>
    <w:rsid w:val="006D5BFE"/>
    <w:rsid w:val="006D5EC1"/>
    <w:rsid w:val="006E019A"/>
    <w:rsid w:val="006E3AB8"/>
    <w:rsid w:val="006E3AFA"/>
    <w:rsid w:val="006E40DA"/>
    <w:rsid w:val="006E413B"/>
    <w:rsid w:val="006E441B"/>
    <w:rsid w:val="006E44D0"/>
    <w:rsid w:val="006E59AD"/>
    <w:rsid w:val="006E6FCA"/>
    <w:rsid w:val="006E7EED"/>
    <w:rsid w:val="006F3DA6"/>
    <w:rsid w:val="006F62C4"/>
    <w:rsid w:val="006F687A"/>
    <w:rsid w:val="00700A74"/>
    <w:rsid w:val="0070194A"/>
    <w:rsid w:val="00703AB8"/>
    <w:rsid w:val="007059A7"/>
    <w:rsid w:val="00706171"/>
    <w:rsid w:val="00706C48"/>
    <w:rsid w:val="00710CB1"/>
    <w:rsid w:val="00711B31"/>
    <w:rsid w:val="007138E7"/>
    <w:rsid w:val="00715AEE"/>
    <w:rsid w:val="00717CA9"/>
    <w:rsid w:val="0072272E"/>
    <w:rsid w:val="00724D9D"/>
    <w:rsid w:val="0072787E"/>
    <w:rsid w:val="00727AFB"/>
    <w:rsid w:val="00727FE4"/>
    <w:rsid w:val="00731469"/>
    <w:rsid w:val="007323DD"/>
    <w:rsid w:val="007343F0"/>
    <w:rsid w:val="00734878"/>
    <w:rsid w:val="007353C9"/>
    <w:rsid w:val="00735498"/>
    <w:rsid w:val="00737B0E"/>
    <w:rsid w:val="00744E2E"/>
    <w:rsid w:val="007535C4"/>
    <w:rsid w:val="00753C77"/>
    <w:rsid w:val="00754522"/>
    <w:rsid w:val="00761B64"/>
    <w:rsid w:val="00763221"/>
    <w:rsid w:val="0076367F"/>
    <w:rsid w:val="00764B9A"/>
    <w:rsid w:val="00765490"/>
    <w:rsid w:val="0077111F"/>
    <w:rsid w:val="00781046"/>
    <w:rsid w:val="00783C56"/>
    <w:rsid w:val="0078410D"/>
    <w:rsid w:val="007926D0"/>
    <w:rsid w:val="00794D28"/>
    <w:rsid w:val="00797EDD"/>
    <w:rsid w:val="007A57DF"/>
    <w:rsid w:val="007A5E0C"/>
    <w:rsid w:val="007B40D9"/>
    <w:rsid w:val="007B43B9"/>
    <w:rsid w:val="007B7D61"/>
    <w:rsid w:val="007C0447"/>
    <w:rsid w:val="007C07C2"/>
    <w:rsid w:val="007C2647"/>
    <w:rsid w:val="007C2A8D"/>
    <w:rsid w:val="007C2F35"/>
    <w:rsid w:val="007C4D01"/>
    <w:rsid w:val="007C4E34"/>
    <w:rsid w:val="007C60DB"/>
    <w:rsid w:val="007C70DB"/>
    <w:rsid w:val="007D012B"/>
    <w:rsid w:val="007D1087"/>
    <w:rsid w:val="007D1174"/>
    <w:rsid w:val="007D1DEA"/>
    <w:rsid w:val="007D6F71"/>
    <w:rsid w:val="007E1DCE"/>
    <w:rsid w:val="007E1FA6"/>
    <w:rsid w:val="007E324B"/>
    <w:rsid w:val="007E4D0B"/>
    <w:rsid w:val="007E520E"/>
    <w:rsid w:val="007E7DD1"/>
    <w:rsid w:val="007F0DBF"/>
    <w:rsid w:val="00800B2C"/>
    <w:rsid w:val="00801078"/>
    <w:rsid w:val="00803808"/>
    <w:rsid w:val="008048EC"/>
    <w:rsid w:val="0080694C"/>
    <w:rsid w:val="00807891"/>
    <w:rsid w:val="00811DB3"/>
    <w:rsid w:val="0081360F"/>
    <w:rsid w:val="0081466A"/>
    <w:rsid w:val="00814F73"/>
    <w:rsid w:val="008169F6"/>
    <w:rsid w:val="00816BAF"/>
    <w:rsid w:val="0081723C"/>
    <w:rsid w:val="00817714"/>
    <w:rsid w:val="00820959"/>
    <w:rsid w:val="00821032"/>
    <w:rsid w:val="00821C81"/>
    <w:rsid w:val="0082587F"/>
    <w:rsid w:val="00827EF7"/>
    <w:rsid w:val="008317B0"/>
    <w:rsid w:val="0083327E"/>
    <w:rsid w:val="0083507A"/>
    <w:rsid w:val="00836B0A"/>
    <w:rsid w:val="008414AA"/>
    <w:rsid w:val="008442E6"/>
    <w:rsid w:val="00844890"/>
    <w:rsid w:val="00847C71"/>
    <w:rsid w:val="008511D3"/>
    <w:rsid w:val="008512A6"/>
    <w:rsid w:val="00855337"/>
    <w:rsid w:val="00860A65"/>
    <w:rsid w:val="00862C0D"/>
    <w:rsid w:val="00862DFE"/>
    <w:rsid w:val="00866738"/>
    <w:rsid w:val="008703A0"/>
    <w:rsid w:val="0087092F"/>
    <w:rsid w:val="00873477"/>
    <w:rsid w:val="00875E12"/>
    <w:rsid w:val="00877607"/>
    <w:rsid w:val="00880772"/>
    <w:rsid w:val="00881EB6"/>
    <w:rsid w:val="00884F8A"/>
    <w:rsid w:val="00885B16"/>
    <w:rsid w:val="00885B8D"/>
    <w:rsid w:val="00887AA1"/>
    <w:rsid w:val="00891F60"/>
    <w:rsid w:val="00897743"/>
    <w:rsid w:val="008A29AF"/>
    <w:rsid w:val="008A2D53"/>
    <w:rsid w:val="008A3931"/>
    <w:rsid w:val="008A70CD"/>
    <w:rsid w:val="008B0257"/>
    <w:rsid w:val="008B1DBA"/>
    <w:rsid w:val="008B2587"/>
    <w:rsid w:val="008B5563"/>
    <w:rsid w:val="008C0062"/>
    <w:rsid w:val="008C4002"/>
    <w:rsid w:val="008D1760"/>
    <w:rsid w:val="008D4790"/>
    <w:rsid w:val="008E19A5"/>
    <w:rsid w:val="008E2114"/>
    <w:rsid w:val="008E3355"/>
    <w:rsid w:val="008E47DE"/>
    <w:rsid w:val="008F0220"/>
    <w:rsid w:val="008F12F9"/>
    <w:rsid w:val="008F2F73"/>
    <w:rsid w:val="008F3FC5"/>
    <w:rsid w:val="008F509B"/>
    <w:rsid w:val="008F5B4F"/>
    <w:rsid w:val="00901D6D"/>
    <w:rsid w:val="00902B84"/>
    <w:rsid w:val="00907023"/>
    <w:rsid w:val="00907242"/>
    <w:rsid w:val="00915134"/>
    <w:rsid w:val="009152B9"/>
    <w:rsid w:val="00917264"/>
    <w:rsid w:val="00921D43"/>
    <w:rsid w:val="009238D7"/>
    <w:rsid w:val="00924D99"/>
    <w:rsid w:val="009266CF"/>
    <w:rsid w:val="00926DE5"/>
    <w:rsid w:val="00927ED0"/>
    <w:rsid w:val="00931025"/>
    <w:rsid w:val="00932679"/>
    <w:rsid w:val="009338C3"/>
    <w:rsid w:val="00935627"/>
    <w:rsid w:val="0093575A"/>
    <w:rsid w:val="00943BBA"/>
    <w:rsid w:val="009459E4"/>
    <w:rsid w:val="0095282B"/>
    <w:rsid w:val="00952D5D"/>
    <w:rsid w:val="00953EB2"/>
    <w:rsid w:val="0095527E"/>
    <w:rsid w:val="00962693"/>
    <w:rsid w:val="00963D5B"/>
    <w:rsid w:val="009643AD"/>
    <w:rsid w:val="0096530F"/>
    <w:rsid w:val="00970143"/>
    <w:rsid w:val="009725A9"/>
    <w:rsid w:val="00975A50"/>
    <w:rsid w:val="00977EE6"/>
    <w:rsid w:val="00981DCF"/>
    <w:rsid w:val="00982CB0"/>
    <w:rsid w:val="0098467A"/>
    <w:rsid w:val="009847AF"/>
    <w:rsid w:val="00984908"/>
    <w:rsid w:val="009877D1"/>
    <w:rsid w:val="0099000B"/>
    <w:rsid w:val="00991596"/>
    <w:rsid w:val="00993247"/>
    <w:rsid w:val="00993383"/>
    <w:rsid w:val="00993EAF"/>
    <w:rsid w:val="0099414C"/>
    <w:rsid w:val="00996ED7"/>
    <w:rsid w:val="00997187"/>
    <w:rsid w:val="00997AFB"/>
    <w:rsid w:val="00997B9D"/>
    <w:rsid w:val="00997EC4"/>
    <w:rsid w:val="009A03B4"/>
    <w:rsid w:val="009A04F8"/>
    <w:rsid w:val="009A34A6"/>
    <w:rsid w:val="009A378D"/>
    <w:rsid w:val="009A40AE"/>
    <w:rsid w:val="009A497C"/>
    <w:rsid w:val="009A5203"/>
    <w:rsid w:val="009A694F"/>
    <w:rsid w:val="009A704E"/>
    <w:rsid w:val="009B217F"/>
    <w:rsid w:val="009B6234"/>
    <w:rsid w:val="009C2103"/>
    <w:rsid w:val="009C72E9"/>
    <w:rsid w:val="009D5AAE"/>
    <w:rsid w:val="009D7BA0"/>
    <w:rsid w:val="009D7BA5"/>
    <w:rsid w:val="009E04CA"/>
    <w:rsid w:val="009E198A"/>
    <w:rsid w:val="009E6DB5"/>
    <w:rsid w:val="009F2BA0"/>
    <w:rsid w:val="009F4E5C"/>
    <w:rsid w:val="009F53B4"/>
    <w:rsid w:val="009F6764"/>
    <w:rsid w:val="009F6B5A"/>
    <w:rsid w:val="009F7109"/>
    <w:rsid w:val="009F7A36"/>
    <w:rsid w:val="00A006A6"/>
    <w:rsid w:val="00A0085F"/>
    <w:rsid w:val="00A01C2A"/>
    <w:rsid w:val="00A01F1A"/>
    <w:rsid w:val="00A02F26"/>
    <w:rsid w:val="00A03E58"/>
    <w:rsid w:val="00A04094"/>
    <w:rsid w:val="00A0449E"/>
    <w:rsid w:val="00A0671A"/>
    <w:rsid w:val="00A10A5B"/>
    <w:rsid w:val="00A11846"/>
    <w:rsid w:val="00A158BE"/>
    <w:rsid w:val="00A2335A"/>
    <w:rsid w:val="00A24C90"/>
    <w:rsid w:val="00A27278"/>
    <w:rsid w:val="00A30B31"/>
    <w:rsid w:val="00A3135D"/>
    <w:rsid w:val="00A31858"/>
    <w:rsid w:val="00A36129"/>
    <w:rsid w:val="00A4357E"/>
    <w:rsid w:val="00A436EA"/>
    <w:rsid w:val="00A43EB6"/>
    <w:rsid w:val="00A4506C"/>
    <w:rsid w:val="00A453D6"/>
    <w:rsid w:val="00A456E2"/>
    <w:rsid w:val="00A45DD0"/>
    <w:rsid w:val="00A50956"/>
    <w:rsid w:val="00A50D44"/>
    <w:rsid w:val="00A619BC"/>
    <w:rsid w:val="00A63F11"/>
    <w:rsid w:val="00A65211"/>
    <w:rsid w:val="00A74BAB"/>
    <w:rsid w:val="00A80596"/>
    <w:rsid w:val="00A816AC"/>
    <w:rsid w:val="00A81845"/>
    <w:rsid w:val="00A84B57"/>
    <w:rsid w:val="00A863CE"/>
    <w:rsid w:val="00A877FA"/>
    <w:rsid w:val="00A879E7"/>
    <w:rsid w:val="00A925FE"/>
    <w:rsid w:val="00A92C00"/>
    <w:rsid w:val="00A931DB"/>
    <w:rsid w:val="00A94F88"/>
    <w:rsid w:val="00A977CD"/>
    <w:rsid w:val="00AA03D1"/>
    <w:rsid w:val="00AA1A70"/>
    <w:rsid w:val="00AA394D"/>
    <w:rsid w:val="00AA517B"/>
    <w:rsid w:val="00AA662B"/>
    <w:rsid w:val="00AB2D42"/>
    <w:rsid w:val="00AB31E0"/>
    <w:rsid w:val="00AB6F18"/>
    <w:rsid w:val="00AC073E"/>
    <w:rsid w:val="00AC3192"/>
    <w:rsid w:val="00AC4AA0"/>
    <w:rsid w:val="00AC78A6"/>
    <w:rsid w:val="00AC7AB9"/>
    <w:rsid w:val="00AD2C7C"/>
    <w:rsid w:val="00AD56C6"/>
    <w:rsid w:val="00AD63FF"/>
    <w:rsid w:val="00AD73D0"/>
    <w:rsid w:val="00AE0139"/>
    <w:rsid w:val="00AE37EF"/>
    <w:rsid w:val="00AE4634"/>
    <w:rsid w:val="00AF32B1"/>
    <w:rsid w:val="00AF7358"/>
    <w:rsid w:val="00AF7B69"/>
    <w:rsid w:val="00B01CED"/>
    <w:rsid w:val="00B02865"/>
    <w:rsid w:val="00B03DC3"/>
    <w:rsid w:val="00B0458E"/>
    <w:rsid w:val="00B0753A"/>
    <w:rsid w:val="00B12DE3"/>
    <w:rsid w:val="00B13836"/>
    <w:rsid w:val="00B1497F"/>
    <w:rsid w:val="00B14E2F"/>
    <w:rsid w:val="00B15A72"/>
    <w:rsid w:val="00B166D9"/>
    <w:rsid w:val="00B17875"/>
    <w:rsid w:val="00B20889"/>
    <w:rsid w:val="00B20FD6"/>
    <w:rsid w:val="00B21720"/>
    <w:rsid w:val="00B22333"/>
    <w:rsid w:val="00B379A4"/>
    <w:rsid w:val="00B41268"/>
    <w:rsid w:val="00B421AC"/>
    <w:rsid w:val="00B42969"/>
    <w:rsid w:val="00B4316B"/>
    <w:rsid w:val="00B4354A"/>
    <w:rsid w:val="00B457F6"/>
    <w:rsid w:val="00B45AA5"/>
    <w:rsid w:val="00B461B7"/>
    <w:rsid w:val="00B479DE"/>
    <w:rsid w:val="00B47C44"/>
    <w:rsid w:val="00B512CC"/>
    <w:rsid w:val="00B5398B"/>
    <w:rsid w:val="00B55F44"/>
    <w:rsid w:val="00B5657E"/>
    <w:rsid w:val="00B56E27"/>
    <w:rsid w:val="00B57119"/>
    <w:rsid w:val="00B636DF"/>
    <w:rsid w:val="00B6557B"/>
    <w:rsid w:val="00B6689C"/>
    <w:rsid w:val="00B675FD"/>
    <w:rsid w:val="00B67635"/>
    <w:rsid w:val="00B70A60"/>
    <w:rsid w:val="00B70C2E"/>
    <w:rsid w:val="00B7115C"/>
    <w:rsid w:val="00B7159F"/>
    <w:rsid w:val="00B72C62"/>
    <w:rsid w:val="00B749ED"/>
    <w:rsid w:val="00B752A0"/>
    <w:rsid w:val="00B75823"/>
    <w:rsid w:val="00B763D3"/>
    <w:rsid w:val="00B77119"/>
    <w:rsid w:val="00B77CEE"/>
    <w:rsid w:val="00B77ED2"/>
    <w:rsid w:val="00B823AA"/>
    <w:rsid w:val="00B82581"/>
    <w:rsid w:val="00B86D18"/>
    <w:rsid w:val="00B9068E"/>
    <w:rsid w:val="00B93069"/>
    <w:rsid w:val="00B934F1"/>
    <w:rsid w:val="00B954B2"/>
    <w:rsid w:val="00B95B73"/>
    <w:rsid w:val="00B970C8"/>
    <w:rsid w:val="00BA02DF"/>
    <w:rsid w:val="00BA06F2"/>
    <w:rsid w:val="00BA0FB9"/>
    <w:rsid w:val="00BA1F27"/>
    <w:rsid w:val="00BA793A"/>
    <w:rsid w:val="00BB02BB"/>
    <w:rsid w:val="00BB0B8D"/>
    <w:rsid w:val="00BB4F35"/>
    <w:rsid w:val="00BB5019"/>
    <w:rsid w:val="00BB61EE"/>
    <w:rsid w:val="00BB651E"/>
    <w:rsid w:val="00BC15B4"/>
    <w:rsid w:val="00BC44F1"/>
    <w:rsid w:val="00BC6187"/>
    <w:rsid w:val="00BC6D11"/>
    <w:rsid w:val="00BD11FF"/>
    <w:rsid w:val="00BD2C11"/>
    <w:rsid w:val="00BD3E7D"/>
    <w:rsid w:val="00BD5256"/>
    <w:rsid w:val="00BD61BB"/>
    <w:rsid w:val="00BD6DF0"/>
    <w:rsid w:val="00BE33A9"/>
    <w:rsid w:val="00BE4E95"/>
    <w:rsid w:val="00BE6F4B"/>
    <w:rsid w:val="00BF1BAF"/>
    <w:rsid w:val="00BF2BFA"/>
    <w:rsid w:val="00BF3F15"/>
    <w:rsid w:val="00BF4209"/>
    <w:rsid w:val="00BF5559"/>
    <w:rsid w:val="00BF7047"/>
    <w:rsid w:val="00C03C24"/>
    <w:rsid w:val="00C04257"/>
    <w:rsid w:val="00C06D14"/>
    <w:rsid w:val="00C076AB"/>
    <w:rsid w:val="00C10604"/>
    <w:rsid w:val="00C11CB4"/>
    <w:rsid w:val="00C124E4"/>
    <w:rsid w:val="00C12DD1"/>
    <w:rsid w:val="00C14003"/>
    <w:rsid w:val="00C148F0"/>
    <w:rsid w:val="00C206E4"/>
    <w:rsid w:val="00C31471"/>
    <w:rsid w:val="00C32493"/>
    <w:rsid w:val="00C3522B"/>
    <w:rsid w:val="00C36751"/>
    <w:rsid w:val="00C37B75"/>
    <w:rsid w:val="00C4197D"/>
    <w:rsid w:val="00C41ADF"/>
    <w:rsid w:val="00C4228B"/>
    <w:rsid w:val="00C43F3E"/>
    <w:rsid w:val="00C50727"/>
    <w:rsid w:val="00C531EE"/>
    <w:rsid w:val="00C537C7"/>
    <w:rsid w:val="00C5445D"/>
    <w:rsid w:val="00C56DFB"/>
    <w:rsid w:val="00C5793C"/>
    <w:rsid w:val="00C60DB5"/>
    <w:rsid w:val="00C62701"/>
    <w:rsid w:val="00C6479D"/>
    <w:rsid w:val="00C662B4"/>
    <w:rsid w:val="00C665B7"/>
    <w:rsid w:val="00C66EA5"/>
    <w:rsid w:val="00C72216"/>
    <w:rsid w:val="00C723C7"/>
    <w:rsid w:val="00C74450"/>
    <w:rsid w:val="00C7578D"/>
    <w:rsid w:val="00C843F8"/>
    <w:rsid w:val="00C851B0"/>
    <w:rsid w:val="00C9258E"/>
    <w:rsid w:val="00C925B9"/>
    <w:rsid w:val="00C94C59"/>
    <w:rsid w:val="00C94F38"/>
    <w:rsid w:val="00CA0C44"/>
    <w:rsid w:val="00CA4A6F"/>
    <w:rsid w:val="00CA6F77"/>
    <w:rsid w:val="00CA7F00"/>
    <w:rsid w:val="00CB1938"/>
    <w:rsid w:val="00CB4BCC"/>
    <w:rsid w:val="00CB5162"/>
    <w:rsid w:val="00CB53F1"/>
    <w:rsid w:val="00CB5CF2"/>
    <w:rsid w:val="00CC1712"/>
    <w:rsid w:val="00CC270A"/>
    <w:rsid w:val="00CC52C2"/>
    <w:rsid w:val="00CD1910"/>
    <w:rsid w:val="00CD3616"/>
    <w:rsid w:val="00CD3EE9"/>
    <w:rsid w:val="00CD4363"/>
    <w:rsid w:val="00CD5176"/>
    <w:rsid w:val="00CD5FF6"/>
    <w:rsid w:val="00CE27B3"/>
    <w:rsid w:val="00CE3AB5"/>
    <w:rsid w:val="00CE47BB"/>
    <w:rsid w:val="00CE5A0D"/>
    <w:rsid w:val="00CE72F1"/>
    <w:rsid w:val="00CF0B27"/>
    <w:rsid w:val="00CF1113"/>
    <w:rsid w:val="00CF137A"/>
    <w:rsid w:val="00CF3141"/>
    <w:rsid w:val="00CF6F95"/>
    <w:rsid w:val="00D0041B"/>
    <w:rsid w:val="00D00BE8"/>
    <w:rsid w:val="00D01CCF"/>
    <w:rsid w:val="00D032B8"/>
    <w:rsid w:val="00D045AF"/>
    <w:rsid w:val="00D05647"/>
    <w:rsid w:val="00D070F5"/>
    <w:rsid w:val="00D075A4"/>
    <w:rsid w:val="00D112EB"/>
    <w:rsid w:val="00D12599"/>
    <w:rsid w:val="00D14319"/>
    <w:rsid w:val="00D163E3"/>
    <w:rsid w:val="00D2019A"/>
    <w:rsid w:val="00D22AEA"/>
    <w:rsid w:val="00D25085"/>
    <w:rsid w:val="00D25253"/>
    <w:rsid w:val="00D26763"/>
    <w:rsid w:val="00D27AA3"/>
    <w:rsid w:val="00D32AE6"/>
    <w:rsid w:val="00D3587B"/>
    <w:rsid w:val="00D362C9"/>
    <w:rsid w:val="00D4136E"/>
    <w:rsid w:val="00D44CC7"/>
    <w:rsid w:val="00D467B9"/>
    <w:rsid w:val="00D53E2B"/>
    <w:rsid w:val="00D5588C"/>
    <w:rsid w:val="00D56EFF"/>
    <w:rsid w:val="00D61097"/>
    <w:rsid w:val="00D73A30"/>
    <w:rsid w:val="00D74E7F"/>
    <w:rsid w:val="00D761B6"/>
    <w:rsid w:val="00D82974"/>
    <w:rsid w:val="00D83701"/>
    <w:rsid w:val="00D84B88"/>
    <w:rsid w:val="00D874CD"/>
    <w:rsid w:val="00D90CE6"/>
    <w:rsid w:val="00D91688"/>
    <w:rsid w:val="00D93279"/>
    <w:rsid w:val="00D93876"/>
    <w:rsid w:val="00D93BFA"/>
    <w:rsid w:val="00D94AF4"/>
    <w:rsid w:val="00D97A87"/>
    <w:rsid w:val="00DA0861"/>
    <w:rsid w:val="00DA2863"/>
    <w:rsid w:val="00DA2C43"/>
    <w:rsid w:val="00DA437E"/>
    <w:rsid w:val="00DA6C13"/>
    <w:rsid w:val="00DB2921"/>
    <w:rsid w:val="00DC0BD4"/>
    <w:rsid w:val="00DC0D78"/>
    <w:rsid w:val="00DC1C4E"/>
    <w:rsid w:val="00DC35F4"/>
    <w:rsid w:val="00DC409D"/>
    <w:rsid w:val="00DC6B0B"/>
    <w:rsid w:val="00DC6E3D"/>
    <w:rsid w:val="00DC7ABF"/>
    <w:rsid w:val="00DD0FC6"/>
    <w:rsid w:val="00DD1E4B"/>
    <w:rsid w:val="00DD2AB2"/>
    <w:rsid w:val="00DD46C9"/>
    <w:rsid w:val="00DD5E21"/>
    <w:rsid w:val="00DD5EAD"/>
    <w:rsid w:val="00DD7215"/>
    <w:rsid w:val="00DD78FE"/>
    <w:rsid w:val="00DE1A7D"/>
    <w:rsid w:val="00DE4263"/>
    <w:rsid w:val="00DE5009"/>
    <w:rsid w:val="00DE650E"/>
    <w:rsid w:val="00DE7346"/>
    <w:rsid w:val="00DF1135"/>
    <w:rsid w:val="00DF22F6"/>
    <w:rsid w:val="00DF30B9"/>
    <w:rsid w:val="00E017BB"/>
    <w:rsid w:val="00E029D3"/>
    <w:rsid w:val="00E06368"/>
    <w:rsid w:val="00E068BB"/>
    <w:rsid w:val="00E10C43"/>
    <w:rsid w:val="00E1228D"/>
    <w:rsid w:val="00E13487"/>
    <w:rsid w:val="00E17BB6"/>
    <w:rsid w:val="00E22A58"/>
    <w:rsid w:val="00E2357F"/>
    <w:rsid w:val="00E242D8"/>
    <w:rsid w:val="00E258F1"/>
    <w:rsid w:val="00E266C8"/>
    <w:rsid w:val="00E3066B"/>
    <w:rsid w:val="00E3093D"/>
    <w:rsid w:val="00E32E09"/>
    <w:rsid w:val="00E370D2"/>
    <w:rsid w:val="00E372BD"/>
    <w:rsid w:val="00E374DF"/>
    <w:rsid w:val="00E37F53"/>
    <w:rsid w:val="00E40788"/>
    <w:rsid w:val="00E40A24"/>
    <w:rsid w:val="00E40A43"/>
    <w:rsid w:val="00E54C56"/>
    <w:rsid w:val="00E54C5F"/>
    <w:rsid w:val="00E54EEA"/>
    <w:rsid w:val="00E60EB0"/>
    <w:rsid w:val="00E61E41"/>
    <w:rsid w:val="00E61E7C"/>
    <w:rsid w:val="00E634DC"/>
    <w:rsid w:val="00E648E7"/>
    <w:rsid w:val="00E6632B"/>
    <w:rsid w:val="00E67234"/>
    <w:rsid w:val="00E677EF"/>
    <w:rsid w:val="00E67EED"/>
    <w:rsid w:val="00E72C81"/>
    <w:rsid w:val="00E739D1"/>
    <w:rsid w:val="00E7548B"/>
    <w:rsid w:val="00E80252"/>
    <w:rsid w:val="00E83E01"/>
    <w:rsid w:val="00E84A93"/>
    <w:rsid w:val="00E86B01"/>
    <w:rsid w:val="00E92CD9"/>
    <w:rsid w:val="00E942B8"/>
    <w:rsid w:val="00E9488F"/>
    <w:rsid w:val="00E94C07"/>
    <w:rsid w:val="00E96311"/>
    <w:rsid w:val="00E9671F"/>
    <w:rsid w:val="00EA0FC2"/>
    <w:rsid w:val="00EA2870"/>
    <w:rsid w:val="00EA521C"/>
    <w:rsid w:val="00EA5AE0"/>
    <w:rsid w:val="00EB0977"/>
    <w:rsid w:val="00EB21F1"/>
    <w:rsid w:val="00EB4353"/>
    <w:rsid w:val="00EB5F3B"/>
    <w:rsid w:val="00EB6709"/>
    <w:rsid w:val="00EB69A8"/>
    <w:rsid w:val="00EC3B17"/>
    <w:rsid w:val="00EC4BBD"/>
    <w:rsid w:val="00EC5282"/>
    <w:rsid w:val="00ED0CEA"/>
    <w:rsid w:val="00ED2DAA"/>
    <w:rsid w:val="00ED4AE2"/>
    <w:rsid w:val="00ED4FD9"/>
    <w:rsid w:val="00ED6374"/>
    <w:rsid w:val="00ED7B2B"/>
    <w:rsid w:val="00EE0DA3"/>
    <w:rsid w:val="00EE0DD3"/>
    <w:rsid w:val="00EE179A"/>
    <w:rsid w:val="00EE2704"/>
    <w:rsid w:val="00EE40F2"/>
    <w:rsid w:val="00EE560D"/>
    <w:rsid w:val="00EF08ED"/>
    <w:rsid w:val="00EF0B2B"/>
    <w:rsid w:val="00EF1784"/>
    <w:rsid w:val="00EF5599"/>
    <w:rsid w:val="00EF75BF"/>
    <w:rsid w:val="00F02B4A"/>
    <w:rsid w:val="00F03882"/>
    <w:rsid w:val="00F06D9A"/>
    <w:rsid w:val="00F10FD2"/>
    <w:rsid w:val="00F12193"/>
    <w:rsid w:val="00F16319"/>
    <w:rsid w:val="00F16798"/>
    <w:rsid w:val="00F2281A"/>
    <w:rsid w:val="00F2640D"/>
    <w:rsid w:val="00F35191"/>
    <w:rsid w:val="00F45E7A"/>
    <w:rsid w:val="00F46CE1"/>
    <w:rsid w:val="00F50CDC"/>
    <w:rsid w:val="00F52E63"/>
    <w:rsid w:val="00F550AA"/>
    <w:rsid w:val="00F55FCC"/>
    <w:rsid w:val="00F61973"/>
    <w:rsid w:val="00F62406"/>
    <w:rsid w:val="00F6432B"/>
    <w:rsid w:val="00F64361"/>
    <w:rsid w:val="00F666B5"/>
    <w:rsid w:val="00F66F16"/>
    <w:rsid w:val="00F67A76"/>
    <w:rsid w:val="00F67BF9"/>
    <w:rsid w:val="00F73E6F"/>
    <w:rsid w:val="00F74C3D"/>
    <w:rsid w:val="00F75B7B"/>
    <w:rsid w:val="00F75FA1"/>
    <w:rsid w:val="00F7759E"/>
    <w:rsid w:val="00F835CD"/>
    <w:rsid w:val="00F84C36"/>
    <w:rsid w:val="00F85421"/>
    <w:rsid w:val="00F85460"/>
    <w:rsid w:val="00F85613"/>
    <w:rsid w:val="00F85AC7"/>
    <w:rsid w:val="00F86B2F"/>
    <w:rsid w:val="00F86E81"/>
    <w:rsid w:val="00F870FE"/>
    <w:rsid w:val="00F87F4D"/>
    <w:rsid w:val="00F91156"/>
    <w:rsid w:val="00F921FC"/>
    <w:rsid w:val="00F92D14"/>
    <w:rsid w:val="00F94272"/>
    <w:rsid w:val="00F97740"/>
    <w:rsid w:val="00FA042E"/>
    <w:rsid w:val="00FA42E2"/>
    <w:rsid w:val="00FA6928"/>
    <w:rsid w:val="00FA766E"/>
    <w:rsid w:val="00FB21AE"/>
    <w:rsid w:val="00FB5E09"/>
    <w:rsid w:val="00FB6934"/>
    <w:rsid w:val="00FC2512"/>
    <w:rsid w:val="00FC321F"/>
    <w:rsid w:val="00FC3A92"/>
    <w:rsid w:val="00FC413A"/>
    <w:rsid w:val="00FC7356"/>
    <w:rsid w:val="00FC7F10"/>
    <w:rsid w:val="00FD0271"/>
    <w:rsid w:val="00FD25A5"/>
    <w:rsid w:val="00FD5230"/>
    <w:rsid w:val="00FD53B7"/>
    <w:rsid w:val="00FD57B8"/>
    <w:rsid w:val="00FD6918"/>
    <w:rsid w:val="00FD7233"/>
    <w:rsid w:val="00FE036D"/>
    <w:rsid w:val="00FE2235"/>
    <w:rsid w:val="00FE2E3C"/>
    <w:rsid w:val="00FE3BB3"/>
    <w:rsid w:val="00FE3E9F"/>
    <w:rsid w:val="00FE51C5"/>
    <w:rsid w:val="00FF05FA"/>
    <w:rsid w:val="00FF09CB"/>
    <w:rsid w:val="00FF2005"/>
    <w:rsid w:val="00FF215A"/>
    <w:rsid w:val="00FF303C"/>
    <w:rsid w:val="00FF32BB"/>
    <w:rsid w:val="00FF3AB6"/>
    <w:rsid w:val="00FF4128"/>
    <w:rsid w:val="00FF62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75A74E72-65AD-E24E-8EA1-B27E01C2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rPr>
      <w:lang w:val="es-ES"/>
    </w:rPr>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rsid w:val="004B05BC"/>
    <w:rPr>
      <w:sz w:val="20"/>
      <w:szCs w:val="20"/>
    </w:rPr>
  </w:style>
  <w:style w:type="character" w:styleId="FootnoteReference">
    <w:name w:val="footnote reference"/>
    <w:basedOn w:val="DefaultParagraphFont"/>
    <w:uiPriority w:val="99"/>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071AFA"/>
    <w:rPr>
      <w:color w:val="467886" w:themeColor="hyperlink"/>
      <w:u w:val="single"/>
    </w:rPr>
  </w:style>
  <w:style w:type="character" w:styleId="UnresolvedMention">
    <w:name w:val="Unresolved Mention"/>
    <w:basedOn w:val="DefaultParagraphFont"/>
    <w:uiPriority w:val="99"/>
    <w:semiHidden/>
    <w:unhideWhenUsed/>
    <w:rsid w:val="00071AFA"/>
    <w:rPr>
      <w:color w:val="605E5C"/>
      <w:shd w:val="clear" w:color="auto" w:fill="E1DFDD"/>
    </w:rPr>
  </w:style>
  <w:style w:type="paragraph" w:styleId="Revision">
    <w:name w:val="Revision"/>
    <w:hidden/>
    <w:uiPriority w:val="99"/>
    <w:semiHidden/>
    <w:rsid w:val="005B5ECB"/>
    <w:pPr>
      <w:spacing w:after="0" w:line="240" w:lineRule="auto"/>
    </w:pPr>
  </w:style>
  <w:style w:type="character" w:styleId="CommentReference">
    <w:name w:val="annotation reference"/>
    <w:basedOn w:val="DefaultParagraphFont"/>
    <w:uiPriority w:val="99"/>
    <w:semiHidden/>
    <w:unhideWhenUsed/>
    <w:rsid w:val="00E84A93"/>
    <w:rPr>
      <w:sz w:val="16"/>
      <w:szCs w:val="16"/>
    </w:rPr>
  </w:style>
  <w:style w:type="paragraph" w:styleId="CommentText">
    <w:name w:val="annotation text"/>
    <w:basedOn w:val="Normal"/>
    <w:link w:val="CommentTextChar"/>
    <w:uiPriority w:val="99"/>
    <w:unhideWhenUsed/>
    <w:rsid w:val="00E84A93"/>
    <w:pPr>
      <w:spacing w:line="240" w:lineRule="auto"/>
    </w:pPr>
    <w:rPr>
      <w:sz w:val="20"/>
      <w:szCs w:val="20"/>
    </w:rPr>
  </w:style>
  <w:style w:type="character" w:customStyle="1" w:styleId="CommentTextChar">
    <w:name w:val="Comment Text Char"/>
    <w:basedOn w:val="DefaultParagraphFont"/>
    <w:link w:val="CommentText"/>
    <w:uiPriority w:val="99"/>
    <w:rsid w:val="00E84A93"/>
    <w:rPr>
      <w:sz w:val="20"/>
      <w:szCs w:val="20"/>
    </w:rPr>
  </w:style>
  <w:style w:type="paragraph" w:styleId="CommentSubject">
    <w:name w:val="annotation subject"/>
    <w:basedOn w:val="CommentText"/>
    <w:next w:val="CommentText"/>
    <w:link w:val="CommentSubjectChar"/>
    <w:uiPriority w:val="99"/>
    <w:semiHidden/>
    <w:unhideWhenUsed/>
    <w:rsid w:val="00E84A93"/>
    <w:rPr>
      <w:b/>
      <w:bCs/>
    </w:rPr>
  </w:style>
  <w:style w:type="character" w:customStyle="1" w:styleId="CommentSubjectChar">
    <w:name w:val="Comment Subject Char"/>
    <w:basedOn w:val="CommentTextChar"/>
    <w:link w:val="CommentSubject"/>
    <w:uiPriority w:val="99"/>
    <w:semiHidden/>
    <w:rsid w:val="00E84A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092">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55012">
      <w:bodyDiv w:val="1"/>
      <w:marLeft w:val="0"/>
      <w:marRight w:val="0"/>
      <w:marTop w:val="0"/>
      <w:marBottom w:val="0"/>
      <w:divBdr>
        <w:top w:val="none" w:sz="0" w:space="0" w:color="auto"/>
        <w:left w:val="none" w:sz="0" w:space="0" w:color="auto"/>
        <w:bottom w:val="none" w:sz="0" w:space="0" w:color="auto"/>
        <w:right w:val="none" w:sz="0" w:space="0" w:color="auto"/>
      </w:divBdr>
      <w:divsChild>
        <w:div w:id="280654442">
          <w:marLeft w:val="0"/>
          <w:marRight w:val="0"/>
          <w:marTop w:val="0"/>
          <w:marBottom w:val="0"/>
          <w:divBdr>
            <w:top w:val="none" w:sz="0" w:space="0" w:color="auto"/>
            <w:left w:val="none" w:sz="0" w:space="0" w:color="auto"/>
            <w:bottom w:val="none" w:sz="0" w:space="0" w:color="auto"/>
            <w:right w:val="none" w:sz="0" w:space="0" w:color="auto"/>
          </w:divBdr>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264170">
      <w:bodyDiv w:val="1"/>
      <w:marLeft w:val="0"/>
      <w:marRight w:val="0"/>
      <w:marTop w:val="0"/>
      <w:marBottom w:val="0"/>
      <w:divBdr>
        <w:top w:val="none" w:sz="0" w:space="0" w:color="auto"/>
        <w:left w:val="none" w:sz="0" w:space="0" w:color="auto"/>
        <w:bottom w:val="none" w:sz="0" w:space="0" w:color="auto"/>
        <w:right w:val="none" w:sz="0" w:space="0" w:color="auto"/>
      </w:divBdr>
    </w:div>
    <w:div w:id="551886307">
      <w:bodyDiv w:val="1"/>
      <w:marLeft w:val="0"/>
      <w:marRight w:val="0"/>
      <w:marTop w:val="0"/>
      <w:marBottom w:val="0"/>
      <w:divBdr>
        <w:top w:val="none" w:sz="0" w:space="0" w:color="auto"/>
        <w:left w:val="none" w:sz="0" w:space="0" w:color="auto"/>
        <w:bottom w:val="none" w:sz="0" w:space="0" w:color="auto"/>
        <w:right w:val="none" w:sz="0" w:space="0" w:color="auto"/>
      </w:divBdr>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515517">
      <w:bodyDiv w:val="1"/>
      <w:marLeft w:val="0"/>
      <w:marRight w:val="0"/>
      <w:marTop w:val="0"/>
      <w:marBottom w:val="0"/>
      <w:divBdr>
        <w:top w:val="none" w:sz="0" w:space="0" w:color="auto"/>
        <w:left w:val="none" w:sz="0" w:space="0" w:color="auto"/>
        <w:bottom w:val="none" w:sz="0" w:space="0" w:color="auto"/>
        <w:right w:val="none" w:sz="0" w:space="0" w:color="auto"/>
      </w:divBdr>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055255">
      <w:bodyDiv w:val="1"/>
      <w:marLeft w:val="0"/>
      <w:marRight w:val="0"/>
      <w:marTop w:val="0"/>
      <w:marBottom w:val="0"/>
      <w:divBdr>
        <w:top w:val="none" w:sz="0" w:space="0" w:color="auto"/>
        <w:left w:val="none" w:sz="0" w:space="0" w:color="auto"/>
        <w:bottom w:val="none" w:sz="0" w:space="0" w:color="auto"/>
        <w:right w:val="none" w:sz="0" w:space="0" w:color="auto"/>
      </w:divBdr>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7798">
      <w:bodyDiv w:val="1"/>
      <w:marLeft w:val="0"/>
      <w:marRight w:val="0"/>
      <w:marTop w:val="0"/>
      <w:marBottom w:val="0"/>
      <w:divBdr>
        <w:top w:val="none" w:sz="0" w:space="0" w:color="auto"/>
        <w:left w:val="none" w:sz="0" w:space="0" w:color="auto"/>
        <w:bottom w:val="none" w:sz="0" w:space="0" w:color="auto"/>
        <w:right w:val="none" w:sz="0" w:space="0" w:color="auto"/>
      </w:divBdr>
    </w:div>
    <w:div w:id="1176505660">
      <w:bodyDiv w:val="1"/>
      <w:marLeft w:val="0"/>
      <w:marRight w:val="0"/>
      <w:marTop w:val="0"/>
      <w:marBottom w:val="0"/>
      <w:divBdr>
        <w:top w:val="none" w:sz="0" w:space="0" w:color="auto"/>
        <w:left w:val="none" w:sz="0" w:space="0" w:color="auto"/>
        <w:bottom w:val="none" w:sz="0" w:space="0" w:color="auto"/>
        <w:right w:val="none" w:sz="0" w:space="0" w:color="auto"/>
      </w:divBdr>
      <w:divsChild>
        <w:div w:id="953054279">
          <w:marLeft w:val="0"/>
          <w:marRight w:val="0"/>
          <w:marTop w:val="0"/>
          <w:marBottom w:val="0"/>
          <w:divBdr>
            <w:top w:val="none" w:sz="0" w:space="0" w:color="auto"/>
            <w:left w:val="none" w:sz="0" w:space="0" w:color="auto"/>
            <w:bottom w:val="none" w:sz="0" w:space="0" w:color="auto"/>
            <w:right w:val="none" w:sz="0" w:space="0" w:color="auto"/>
          </w:divBdr>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19044">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8043">
      <w:bodyDiv w:val="1"/>
      <w:marLeft w:val="0"/>
      <w:marRight w:val="0"/>
      <w:marTop w:val="0"/>
      <w:marBottom w:val="0"/>
      <w:divBdr>
        <w:top w:val="none" w:sz="0" w:space="0" w:color="auto"/>
        <w:left w:val="none" w:sz="0" w:space="0" w:color="auto"/>
        <w:bottom w:val="none" w:sz="0" w:space="0" w:color="auto"/>
        <w:right w:val="none" w:sz="0" w:space="0" w:color="auto"/>
      </w:divBdr>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13">
      <w:bodyDiv w:val="1"/>
      <w:marLeft w:val="0"/>
      <w:marRight w:val="0"/>
      <w:marTop w:val="0"/>
      <w:marBottom w:val="0"/>
      <w:divBdr>
        <w:top w:val="none" w:sz="0" w:space="0" w:color="auto"/>
        <w:left w:val="none" w:sz="0" w:space="0" w:color="auto"/>
        <w:bottom w:val="none" w:sz="0" w:space="0" w:color="auto"/>
        <w:right w:val="none" w:sz="0" w:space="0" w:color="auto"/>
      </w:divBdr>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4936">
      <w:bodyDiv w:val="1"/>
      <w:marLeft w:val="0"/>
      <w:marRight w:val="0"/>
      <w:marTop w:val="0"/>
      <w:marBottom w:val="0"/>
      <w:divBdr>
        <w:top w:val="none" w:sz="0" w:space="0" w:color="auto"/>
        <w:left w:val="none" w:sz="0" w:space="0" w:color="auto"/>
        <w:bottom w:val="none" w:sz="0" w:space="0" w:color="auto"/>
        <w:right w:val="none" w:sz="0" w:space="0" w:color="auto"/>
      </w:divBdr>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14166">
      <w:bodyDiv w:val="1"/>
      <w:marLeft w:val="0"/>
      <w:marRight w:val="0"/>
      <w:marTop w:val="0"/>
      <w:marBottom w:val="0"/>
      <w:divBdr>
        <w:top w:val="none" w:sz="0" w:space="0" w:color="auto"/>
        <w:left w:val="none" w:sz="0" w:space="0" w:color="auto"/>
        <w:bottom w:val="none" w:sz="0" w:space="0" w:color="auto"/>
        <w:right w:val="none" w:sz="0" w:space="0" w:color="auto"/>
      </w:divBdr>
    </w:div>
    <w:div w:id="1800025803">
      <w:bodyDiv w:val="1"/>
      <w:marLeft w:val="0"/>
      <w:marRight w:val="0"/>
      <w:marTop w:val="0"/>
      <w:marBottom w:val="0"/>
      <w:divBdr>
        <w:top w:val="none" w:sz="0" w:space="0" w:color="auto"/>
        <w:left w:val="none" w:sz="0" w:space="0" w:color="auto"/>
        <w:bottom w:val="none" w:sz="0" w:space="0" w:color="auto"/>
        <w:right w:val="none" w:sz="0" w:space="0" w:color="auto"/>
      </w:divBdr>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2067">
      <w:bodyDiv w:val="1"/>
      <w:marLeft w:val="0"/>
      <w:marRight w:val="0"/>
      <w:marTop w:val="0"/>
      <w:marBottom w:val="0"/>
      <w:divBdr>
        <w:top w:val="none" w:sz="0" w:space="0" w:color="auto"/>
        <w:left w:val="none" w:sz="0" w:space="0" w:color="auto"/>
        <w:bottom w:val="none" w:sz="0" w:space="0" w:color="auto"/>
        <w:right w:val="none" w:sz="0" w:space="0" w:color="auto"/>
      </w:divBdr>
    </w:div>
    <w:div w:id="1894806791">
      <w:bodyDiv w:val="1"/>
      <w:marLeft w:val="0"/>
      <w:marRight w:val="0"/>
      <w:marTop w:val="0"/>
      <w:marBottom w:val="0"/>
      <w:divBdr>
        <w:top w:val="none" w:sz="0" w:space="0" w:color="auto"/>
        <w:left w:val="none" w:sz="0" w:space="0" w:color="auto"/>
        <w:bottom w:val="none" w:sz="0" w:space="0" w:color="auto"/>
        <w:right w:val="none" w:sz="0" w:space="0" w:color="auto"/>
      </w:divBdr>
    </w:div>
    <w:div w:id="1899974596">
      <w:bodyDiv w:val="1"/>
      <w:marLeft w:val="0"/>
      <w:marRight w:val="0"/>
      <w:marTop w:val="0"/>
      <w:marBottom w:val="0"/>
      <w:divBdr>
        <w:top w:val="none" w:sz="0" w:space="0" w:color="auto"/>
        <w:left w:val="none" w:sz="0" w:space="0" w:color="auto"/>
        <w:bottom w:val="none" w:sz="0" w:space="0" w:color="auto"/>
        <w:right w:val="none" w:sz="0" w:space="0" w:color="auto"/>
      </w:divBdr>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8563">
      <w:bodyDiv w:val="1"/>
      <w:marLeft w:val="0"/>
      <w:marRight w:val="0"/>
      <w:marTop w:val="0"/>
      <w:marBottom w:val="0"/>
      <w:divBdr>
        <w:top w:val="none" w:sz="0" w:space="0" w:color="auto"/>
        <w:left w:val="none" w:sz="0" w:space="0" w:color="auto"/>
        <w:bottom w:val="none" w:sz="0" w:space="0" w:color="auto"/>
        <w:right w:val="none" w:sz="0" w:space="0" w:color="auto"/>
      </w:divBdr>
    </w:div>
    <w:div w:id="21100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4SQX5P7U7WPY-958212181-795518</_dlc_DocId>
    <_dlc_DocIdUrl xmlns="c890fddd-4e87-4e08-8b51-545f2a3f7b06">
      <Url>https://senpr.sharepoint.com/sites/obralegislativa/_layouts/15/DocIdRedir.aspx?ID=4SQX5P7U7WPY-958212181-795518</Url>
      <Description>4SQX5P7U7WPY-958212181-795518</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3.xml><?xml version="1.0" encoding="utf-8"?>
<ds:datastoreItem xmlns:ds="http://schemas.openxmlformats.org/officeDocument/2006/customXml" ds:itemID="{BAA462E0-D196-40F9-A068-57E4F8BD8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C677E0-AA33-4ABA-B0E9-085B0258F678}">
  <ds:schemaRefs>
    <ds:schemaRef ds:uri="http://schemas.microsoft.com/sharepoint/events"/>
  </ds:schemaRefs>
</ds:datastoreItem>
</file>

<file path=customXml/itemProps5.xml><?xml version="1.0" encoding="utf-8"?>
<ds:datastoreItem xmlns:ds="http://schemas.openxmlformats.org/officeDocument/2006/customXml" ds:itemID="{3F477C81-B903-48BA-A05A-1FCB72C2D2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1731</Words>
  <Characters>9538</Characters>
  <Application>Microsoft Office Word</Application>
  <DocSecurity>4</DocSecurity>
  <Lines>179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2026-04-15T15:20:00Z</cp:lastPrinted>
  <dcterms:created xsi:type="dcterms:W3CDTF">2026-04-17T14:53:00Z</dcterms:created>
  <dcterms:modified xsi:type="dcterms:W3CDTF">2026-04-17T14:53:00Z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6ae9c013-38e4-4425-a8a2-5bdaee703ffb</vt:lpwstr>
  </property>
  <property fmtid="{D5CDD505-2E9C-101B-9397-08002B2CF9AE}" pid="4" name="MediaServiceImageTags">
    <vt:lpwstr/>
  </property>
</Properties>
</file>